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883" w:firstLineChars="200"/>
        <w:jc w:val="center"/>
        <w:rPr>
          <w:rFonts w:hint="eastAsia" w:ascii="宋体" w:hAnsi="宋体" w:eastAsia="宋体" w:cs="宋体"/>
          <w:b/>
          <w:color w:val="auto"/>
          <w:sz w:val="44"/>
          <w:szCs w:val="44"/>
          <w:lang w:val="en-US" w:eastAsia="zh-CN"/>
        </w:rPr>
      </w:pPr>
      <w:r>
        <w:rPr>
          <w:rFonts w:hint="eastAsia" w:ascii="宋体" w:hAnsi="宋体" w:eastAsia="宋体" w:cs="宋体"/>
          <w:b/>
          <w:color w:val="auto"/>
          <w:sz w:val="44"/>
          <w:szCs w:val="44"/>
          <w:lang w:val="en-US" w:eastAsia="zh-CN"/>
        </w:rPr>
        <w:t>202</w:t>
      </w:r>
      <w:r>
        <w:rPr>
          <w:rFonts w:hint="eastAsia" w:ascii="宋体" w:hAnsi="宋体" w:cs="宋体"/>
          <w:b/>
          <w:color w:val="auto"/>
          <w:sz w:val="44"/>
          <w:szCs w:val="44"/>
          <w:lang w:val="en-US" w:eastAsia="zh-CN"/>
        </w:rPr>
        <w:t>2</w:t>
      </w:r>
      <w:r>
        <w:rPr>
          <w:rFonts w:hint="eastAsia" w:ascii="宋体" w:hAnsi="宋体" w:eastAsia="宋体" w:cs="宋体"/>
          <w:b/>
          <w:color w:val="auto"/>
          <w:sz w:val="44"/>
          <w:szCs w:val="44"/>
          <w:lang w:val="en-US" w:eastAsia="zh-CN"/>
        </w:rPr>
        <w:t>年埇桥区民政局</w:t>
      </w:r>
      <w:r>
        <w:rPr>
          <w:rFonts w:hint="eastAsia" w:ascii="宋体" w:hAnsi="宋体" w:cs="宋体"/>
          <w:b/>
          <w:color w:val="auto"/>
          <w:sz w:val="44"/>
          <w:szCs w:val="44"/>
          <w:lang w:val="en-US" w:eastAsia="zh-CN"/>
        </w:rPr>
        <w:t>部门</w:t>
      </w:r>
      <w:r>
        <w:rPr>
          <w:rFonts w:hint="eastAsia" w:ascii="宋体" w:hAnsi="宋体" w:eastAsia="宋体" w:cs="宋体"/>
          <w:b/>
          <w:color w:val="auto"/>
          <w:sz w:val="44"/>
          <w:szCs w:val="44"/>
          <w:lang w:val="en-US" w:eastAsia="zh-CN"/>
        </w:rPr>
        <w:t>项目</w:t>
      </w:r>
    </w:p>
    <w:p>
      <w:pPr>
        <w:adjustRightInd w:val="0"/>
        <w:snapToGrid w:val="0"/>
        <w:spacing w:line="600" w:lineRule="exact"/>
        <w:ind w:firstLine="883" w:firstLineChars="200"/>
        <w:jc w:val="center"/>
        <w:rPr>
          <w:rFonts w:hint="eastAsia" w:ascii="仿宋_GB2312" w:hAnsi="楷体" w:eastAsia="仿宋_GB2312"/>
          <w:b/>
          <w:color w:val="auto"/>
          <w:sz w:val="32"/>
          <w:szCs w:val="32"/>
          <w:lang w:eastAsia="zh-CN"/>
        </w:rPr>
      </w:pPr>
      <w:r>
        <w:rPr>
          <w:rFonts w:hint="eastAsia" w:ascii="宋体" w:hAnsi="宋体" w:eastAsia="宋体" w:cs="宋体"/>
          <w:b/>
          <w:color w:val="auto"/>
          <w:sz w:val="44"/>
          <w:szCs w:val="44"/>
          <w:lang w:val="en-US" w:eastAsia="zh-CN"/>
        </w:rPr>
        <w:t>及绩效目标情况</w:t>
      </w: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w:t>
      </w:r>
      <w:r>
        <w:rPr>
          <w:rFonts w:hint="eastAsia" w:ascii="仿宋_GB2312" w:hAnsi="楷体" w:eastAsia="仿宋_GB2312"/>
          <w:b/>
          <w:color w:val="auto"/>
          <w:sz w:val="32"/>
          <w:szCs w:val="32"/>
          <w:lang w:eastAsia="zh-CN"/>
        </w:rPr>
        <w:t>、</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城市传统社会定期救济</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楷体" w:eastAsia="仿宋_GB2312"/>
          <w:color w:val="auto"/>
          <w:sz w:val="32"/>
          <w:szCs w:val="32"/>
          <w:lang w:eastAsia="zh-CN"/>
        </w:rPr>
        <w:t>。</w:t>
      </w:r>
      <w:r>
        <w:rPr>
          <w:rFonts w:hint="eastAsia" w:ascii="仿宋_GB2312" w:hAnsi="仿宋" w:eastAsia="仿宋_GB2312"/>
          <w:color w:val="auto"/>
          <w:sz w:val="32"/>
          <w:szCs w:val="32"/>
        </w:rPr>
        <w:t xml:space="preserve"> 切实做好退职老职工的救济工作，解决退职老职工的生活问题。</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。国务院（65）国内字224号文件精神。</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切实做好退职老职工的救济工作，解决退职老职工的生活问题。享受此项救助的人员同时满足两个条件：（一）1961年1月1日至1965年6月9日期间精简退职的；（二）1957年底之前参加工作的国营、公私合营企业、事业单位和国家机关、人民团体、民主党派，以及在军事系统工作而无军籍的职工。</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财政拨款58</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59</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100"/>
        <w:gridCol w:w="975"/>
        <w:gridCol w:w="139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100" w:type="dxa"/>
            <w:tcBorders>
              <w:top w:val="nil"/>
              <w:left w:val="nil"/>
              <w:bottom w:val="nil"/>
              <w:right w:val="nil"/>
            </w:tcBorders>
            <w:vAlign w:val="center"/>
          </w:tcPr>
          <w:p>
            <w:pPr>
              <w:widowControl/>
              <w:jc w:val="left"/>
              <w:rPr>
                <w:rFonts w:ascii="宋体" w:hAnsi="宋体" w:cs="宋体"/>
                <w:color w:val="auto"/>
                <w:kern w:val="0"/>
                <w:sz w:val="24"/>
              </w:rPr>
            </w:pPr>
          </w:p>
        </w:tc>
        <w:tc>
          <w:tcPr>
            <w:tcW w:w="975" w:type="dxa"/>
            <w:tcBorders>
              <w:top w:val="nil"/>
              <w:left w:val="nil"/>
              <w:bottom w:val="nil"/>
              <w:right w:val="nil"/>
            </w:tcBorders>
            <w:vAlign w:val="center"/>
          </w:tcPr>
          <w:p>
            <w:pPr>
              <w:widowControl/>
              <w:jc w:val="left"/>
              <w:rPr>
                <w:rFonts w:ascii="宋体" w:hAnsi="宋体" w:cs="宋体"/>
                <w:color w:val="auto"/>
                <w:kern w:val="0"/>
                <w:sz w:val="24"/>
              </w:rPr>
            </w:pPr>
          </w:p>
        </w:tc>
        <w:tc>
          <w:tcPr>
            <w:tcW w:w="139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城市传统社会定期救济</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1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1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中期资金总额：</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eastAsia="zh-CN"/>
              </w:rPr>
              <w:t>58</w:t>
            </w:r>
            <w:r>
              <w:rPr>
                <w:rFonts w:hint="eastAsia" w:ascii="宋体" w:hAnsi="宋体" w:cs="宋体"/>
                <w:kern w:val="0"/>
                <w:sz w:val="24"/>
                <w:lang w:val="en-US" w:eastAsia="zh-CN"/>
              </w:rPr>
              <w:t>.</w:t>
            </w:r>
            <w:r>
              <w:rPr>
                <w:rFonts w:hint="eastAsia" w:ascii="宋体" w:hAnsi="宋体" w:cs="宋体"/>
                <w:kern w:val="0"/>
                <w:sz w:val="24"/>
                <w:lang w:eastAsia="zh-CN"/>
              </w:rPr>
              <w:t>59</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2"/>
                <w:szCs w:val="22"/>
                <w:lang w:eastAsia="zh-CN"/>
              </w:rPr>
              <w:t>58</w:t>
            </w:r>
            <w:r>
              <w:rPr>
                <w:rFonts w:hint="eastAsia" w:ascii="宋体" w:hAnsi="宋体" w:cs="宋体"/>
                <w:kern w:val="0"/>
                <w:sz w:val="22"/>
                <w:szCs w:val="22"/>
                <w:lang w:val="en-US" w:eastAsia="zh-CN"/>
              </w:rPr>
              <w:t>.</w:t>
            </w:r>
            <w:r>
              <w:rPr>
                <w:rFonts w:hint="eastAsia" w:ascii="宋体" w:hAnsi="宋体" w:cs="宋体"/>
                <w:kern w:val="0"/>
                <w:sz w:val="22"/>
                <w:szCs w:val="22"/>
                <w:lang w:eastAsia="zh-CN"/>
              </w:rPr>
              <w:t>59</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2"/>
                <w:szCs w:val="22"/>
                <w:lang w:eastAsia="zh-CN"/>
              </w:rPr>
              <w:t>58</w:t>
            </w:r>
            <w:r>
              <w:rPr>
                <w:rFonts w:hint="eastAsia" w:ascii="宋体" w:hAnsi="宋体" w:cs="宋体"/>
                <w:kern w:val="0"/>
                <w:sz w:val="22"/>
                <w:szCs w:val="22"/>
                <w:lang w:val="en-US" w:eastAsia="zh-CN"/>
              </w:rPr>
              <w:t>.</w:t>
            </w:r>
            <w:r>
              <w:rPr>
                <w:rFonts w:hint="eastAsia" w:ascii="宋体" w:hAnsi="宋体" w:cs="宋体"/>
                <w:kern w:val="0"/>
                <w:sz w:val="22"/>
                <w:szCs w:val="22"/>
                <w:lang w:eastAsia="zh-CN"/>
              </w:rPr>
              <w:t>59</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2"/>
                <w:szCs w:val="22"/>
                <w:lang w:eastAsia="zh-CN"/>
              </w:rPr>
              <w:t>58</w:t>
            </w:r>
            <w:r>
              <w:rPr>
                <w:rFonts w:hint="eastAsia" w:ascii="宋体" w:hAnsi="宋体" w:cs="宋体"/>
                <w:kern w:val="0"/>
                <w:sz w:val="22"/>
                <w:szCs w:val="22"/>
                <w:lang w:val="en-US" w:eastAsia="zh-CN"/>
              </w:rPr>
              <w:t>.</w:t>
            </w:r>
            <w:r>
              <w:rPr>
                <w:rFonts w:hint="eastAsia" w:ascii="宋体" w:hAnsi="宋体" w:cs="宋体"/>
                <w:kern w:val="0"/>
                <w:sz w:val="22"/>
                <w:szCs w:val="22"/>
                <w:lang w:eastAsia="zh-CN"/>
              </w:rPr>
              <w:t>59</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7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87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7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87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目标1：切实做好退职老职工的救济工作，解决退职老职工生活问题</w:t>
            </w:r>
          </w:p>
        </w:tc>
        <w:tc>
          <w:tcPr>
            <w:tcW w:w="547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切实做好退职老职工的救济工作，解决退职老职工生活问题</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105</w:t>
            </w:r>
            <w:r>
              <w:rPr>
                <w:rFonts w:hint="eastAsia" w:ascii="宋体" w:hAnsi="宋体" w:eastAsia="宋体" w:cs="宋体"/>
                <w:i w:val="0"/>
                <w:color w:val="auto"/>
                <w:kern w:val="0"/>
                <w:sz w:val="20"/>
                <w:szCs w:val="20"/>
                <w:u w:val="none"/>
                <w:lang w:val="en-US" w:eastAsia="zh-CN" w:bidi="ar"/>
              </w:rPr>
              <w:t>人</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default" w:ascii="宋体" w:hAnsi="宋体" w:cs="宋体"/>
                <w:color w:val="auto"/>
                <w:kern w:val="0"/>
                <w:sz w:val="24"/>
                <w:lang w:val="en-US"/>
              </w:rPr>
              <w:t>该指标动态调整</w:t>
            </w:r>
          </w:p>
        </w:tc>
        <w:tc>
          <w:tcPr>
            <w:tcW w:w="139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105</w:t>
            </w:r>
            <w:r>
              <w:rPr>
                <w:rFonts w:hint="eastAsia" w:ascii="宋体" w:hAnsi="宋体" w:eastAsia="宋体" w:cs="宋体"/>
                <w:i w:val="0"/>
                <w:color w:val="auto"/>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cs="宋体"/>
                <w:color w:val="auto"/>
                <w:kern w:val="0"/>
                <w:sz w:val="24"/>
                <w:lang w:val="en-US"/>
              </w:rPr>
              <w:t>该指标动态调整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指标1：补贴社会化发放率</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391"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lang w:eastAsia="zh-CN"/>
              </w:rPr>
            </w:pPr>
            <w:r>
              <w:rPr>
                <w:rFonts w:hint="eastAsia"/>
                <w:lang w:eastAsia="zh-CN"/>
              </w:rPr>
              <w:t>参照上年度城市人均补差水平，每人每月</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kern w:val="2"/>
                <w:sz w:val="21"/>
                <w:szCs w:val="24"/>
                <w:lang w:val="en-US" w:eastAsia="zh-CN" w:bidi="ar-SA"/>
              </w:rPr>
            </w:pPr>
            <w:r>
              <w:rPr>
                <w:rFonts w:hint="eastAsia"/>
                <w:lang w:eastAsia="zh-CN"/>
              </w:rPr>
              <w:t>参照上年度城市人均补差水平，每人每月</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稳步提升</w:t>
            </w:r>
          </w:p>
        </w:tc>
        <w:tc>
          <w:tcPr>
            <w:tcW w:w="1391"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城市最低生活保障</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不断完善社会救助制度，实行应保尽保，确保把所有符合条件的困难群众全部纳入低保范围。加强动态管理，切实做到保障对象有进有出、补助水平有升有降。做到城市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。《宿州市最低生活保障工作操作细则》（宿民发[2019]88号）、宿州市人民政府办公室《关于调整提高宿州市2021年最低生活保障标准和特困人员供养标准的方案》。</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仿宋"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仿宋" w:eastAsia="仿宋_GB2312"/>
          <w:color w:val="auto"/>
          <w:sz w:val="32"/>
          <w:szCs w:val="32"/>
        </w:rPr>
        <w:t>保障城市生活困难家庭基本生活</w:t>
      </w:r>
      <w:r>
        <w:rPr>
          <w:rFonts w:hint="eastAsia" w:ascii="仿宋_GB2312" w:hAnsi="仿宋"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财政拨款4985</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778"/>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778" w:type="dxa"/>
            <w:tcBorders>
              <w:top w:val="nil"/>
              <w:left w:val="nil"/>
              <w:bottom w:val="nil"/>
              <w:right w:val="nil"/>
            </w:tcBorders>
            <w:vAlign w:val="center"/>
          </w:tcPr>
          <w:p>
            <w:pPr>
              <w:widowControl/>
              <w:jc w:val="left"/>
              <w:rPr>
                <w:rFonts w:ascii="宋体" w:hAnsi="宋体" w:cs="宋体"/>
                <w:color w:val="auto"/>
                <w:kern w:val="0"/>
                <w:sz w:val="24"/>
              </w:rPr>
            </w:pPr>
          </w:p>
        </w:tc>
        <w:tc>
          <w:tcPr>
            <w:tcW w:w="1733"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城市最低生活保障</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4985</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4985</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4985</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lang w:val="en-US" w:eastAsia="zh-CN"/>
              </w:rPr>
            </w:pPr>
            <w:r>
              <w:rPr>
                <w:rFonts w:hint="eastAsia" w:ascii="宋体" w:hAnsi="宋体" w:cs="宋体"/>
                <w:kern w:val="0"/>
                <w:sz w:val="24"/>
                <w:lang w:val="en-US" w:eastAsia="zh-CN"/>
              </w:rPr>
              <w:t>4985</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目标1：保障城市生活困难家庭基本生活，确保应保尽保。</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保障城市生活困难家庭基本生活，确保应保尽保。</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7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低保对象人数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应保尽保</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低保对象人数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低保标准</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不低于上年</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城市最低生活补助金按时发放</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城市最低生活补助金按时发放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指标1：困难群众基本生活保障制度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eastAsia="zh-CN"/>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w:t>
            </w:r>
            <w:r>
              <w:rPr>
                <w:rFonts w:hint="eastAsia" w:ascii="宋体" w:hAnsi="宋体" w:cs="宋体"/>
                <w:color w:val="auto"/>
                <w:kern w:val="0"/>
                <w:sz w:val="24"/>
                <w:lang w:val="en-US" w:eastAsia="zh-CN"/>
              </w:rPr>
              <w:t>1</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3</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城乡社区办公经费</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本项目经费用于维持正常运转的必需支出（水、电、暖、通信、网络、办公耗材等方面的费用）、保障硬件完好的必要支出（包括办公场所、活动场所、宣传场所及其设备设施的维护费用）、社区组织开展各项文娱体育活动所需费用（包括社区组织的精神文明建设、法律宣传服务等各种社会公益活动所需费用;走访慰问辖区特殊群体等），每年不低于10万元。</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。关于印发《关于进一步健全全市城市社区专职工作者职业化薪酬体系的实施意见》的通知（宿民发【2020】94号））和中共宿州市委《中共宿州市委关于加强城市基层党建工作的实施意见》（宿发【2018】25号）。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本项目经费用于维持正常运转的必需支出（水、电、暖、通信、网络、办公耗材等方面的费用）、保障硬件完好的必要支出（包括办公场所、活动场所、宣传场所及其设备设施的维护费用）、社区组织开展各项文娱体育活动所需费用（包括社区组织的精神文明建设、法律宣传服务等各种社会公益活动所需费用;走访慰问辖区特殊群体等），每年不低于10万元。</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426万元。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80"/>
        <w:gridCol w:w="945"/>
        <w:gridCol w:w="154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80" w:type="dxa"/>
            <w:tcBorders>
              <w:top w:val="nil"/>
              <w:left w:val="nil"/>
              <w:bottom w:val="nil"/>
              <w:right w:val="nil"/>
            </w:tcBorders>
            <w:vAlign w:val="center"/>
          </w:tcPr>
          <w:p>
            <w:pPr>
              <w:widowControl/>
              <w:jc w:val="left"/>
              <w:rPr>
                <w:rFonts w:ascii="宋体" w:hAnsi="宋体" w:cs="宋体"/>
                <w:color w:val="auto"/>
                <w:kern w:val="0"/>
                <w:sz w:val="24"/>
              </w:rPr>
            </w:pPr>
          </w:p>
        </w:tc>
        <w:tc>
          <w:tcPr>
            <w:tcW w:w="945" w:type="dxa"/>
            <w:tcBorders>
              <w:top w:val="nil"/>
              <w:left w:val="nil"/>
              <w:bottom w:val="nil"/>
              <w:right w:val="nil"/>
            </w:tcBorders>
            <w:vAlign w:val="center"/>
          </w:tcPr>
          <w:p>
            <w:pPr>
              <w:widowControl/>
              <w:jc w:val="left"/>
              <w:rPr>
                <w:rFonts w:ascii="宋体" w:hAnsi="宋体" w:cs="宋体"/>
                <w:color w:val="auto"/>
                <w:kern w:val="0"/>
                <w:sz w:val="24"/>
              </w:rPr>
            </w:pPr>
          </w:p>
        </w:tc>
        <w:tc>
          <w:tcPr>
            <w:tcW w:w="154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城乡社区办公经费</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16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71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16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52"/>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A3"/>
            </w:r>
            <w:r>
              <w:rPr>
                <w:rFonts w:hint="eastAsia" w:ascii="宋体" w:hAnsi="宋体" w:cs="宋体"/>
                <w:color w:val="auto"/>
                <w:kern w:val="0"/>
                <w:sz w:val="24"/>
              </w:rPr>
              <w:t>延续项目</w:t>
            </w:r>
          </w:p>
        </w:tc>
        <w:tc>
          <w:tcPr>
            <w:tcW w:w="271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426</w:t>
            </w:r>
          </w:p>
        </w:tc>
        <w:tc>
          <w:tcPr>
            <w:tcW w:w="271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426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426</w:t>
            </w:r>
          </w:p>
        </w:tc>
        <w:tc>
          <w:tcPr>
            <w:tcW w:w="271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lang w:val="en-US" w:eastAsia="zh-CN"/>
              </w:rPr>
            </w:pPr>
            <w:r>
              <w:rPr>
                <w:rFonts w:hint="eastAsia" w:ascii="宋体" w:hAnsi="宋体" w:cs="宋体"/>
                <w:kern w:val="0"/>
                <w:sz w:val="24"/>
                <w:lang w:val="en-US" w:eastAsia="zh-CN"/>
              </w:rPr>
              <w:t>426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192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1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2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2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2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目标1：健全完善经费保障机制：社区工作经费（不含社区党组织服务群众专项经费）每年不低于10万元。</w:t>
            </w:r>
          </w:p>
        </w:tc>
        <w:tc>
          <w:tcPr>
            <w:tcW w:w="562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目标1：健全完善经费保障机制：社区工作经费（不含社区党组织服务群众专项经费）每年不低于10万元。　</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4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指标1：享受社区办公经费数</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c>
          <w:tcPr>
            <w:tcW w:w="154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指标1：享受社区办公经费数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71个</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指标1：社区办公经费发放准确率</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4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指标1：社区办公经费发放准确率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指标1：资金在规定时间下达率</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4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指标1：资金在规定时间下达率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100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指标1：区级配套60%社区办公经费补贴标准</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=426万元</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szCs w:val="24"/>
                <w:lang w:val="en-US" w:eastAsia="zh-CN" w:bidi="ar-SA"/>
              </w:rPr>
              <w:t>=426万元</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指标1：区级配套60%社区办公经费补贴标准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=426万元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=426万元</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指标1：确保社区正常运行，保持居民满意度</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指标1：确保社区正常运行，保持居民满意度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指标1：完善社区基础设施建设，保障社区建设工作正常运行，为群众提供更好的办事服务体验和效能。</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指标1：完善社区基础设施建设，保障社区建设工作正常运行，为群众提供更好的办事服务体验和效能。</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w:t>
            </w:r>
            <w:r>
              <w:rPr>
                <w:rFonts w:hint="eastAsia" w:ascii="宋体" w:hAnsi="宋体" w:cs="宋体"/>
                <w:color w:val="auto"/>
                <w:kern w:val="0"/>
                <w:sz w:val="24"/>
                <w:lang w:val="en-US" w:eastAsia="zh-CN"/>
              </w:rPr>
              <w:t>1</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社区满意度</w:t>
            </w:r>
          </w:p>
        </w:tc>
        <w:tc>
          <w:tcPr>
            <w:tcW w:w="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41" w:type="dxa"/>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1</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社区满意度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95</w:t>
            </w:r>
            <w:r>
              <w:rPr>
                <w:rFonts w:hint="eastAsia" w:ascii="宋体" w:hAnsi="宋体" w:eastAsia="宋体" w:cs="宋体"/>
                <w:i w:val="0"/>
                <w:color w:val="auto"/>
                <w:kern w:val="0"/>
                <w:sz w:val="22"/>
                <w:szCs w:val="22"/>
                <w:u w:val="none"/>
                <w:lang w:val="en-US" w:eastAsia="zh-CN" w:bidi="ar"/>
              </w:rPr>
              <w:t>%</w:t>
            </w:r>
          </w:p>
        </w:tc>
      </w:tr>
    </w:tbl>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4</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城乡社区两委干部绩效</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sz w:val="32"/>
          <w:szCs w:val="32"/>
        </w:rPr>
        <w:t>（1）项目概述。</w:t>
      </w:r>
      <w:r>
        <w:rPr>
          <w:rFonts w:hint="eastAsia" w:ascii="仿宋_GB2312" w:hAnsi="仿宋" w:eastAsia="仿宋_GB2312"/>
          <w:sz w:val="32"/>
          <w:szCs w:val="32"/>
        </w:rPr>
        <w:t>根据市政府要求，发放城乡社区两委</w:t>
      </w:r>
      <w:r>
        <w:rPr>
          <w:rFonts w:hint="eastAsia" w:ascii="仿宋_GB2312" w:hAnsi="仿宋" w:eastAsia="仿宋_GB2312"/>
          <w:sz w:val="32"/>
          <w:szCs w:val="32"/>
          <w:lang w:eastAsia="zh-CN"/>
        </w:rPr>
        <w:t>干部绩效</w:t>
      </w:r>
      <w:r>
        <w:rPr>
          <w:rFonts w:hint="eastAsia" w:ascii="仿宋_GB2312" w:hAnsi="仿宋" w:eastAsia="仿宋_GB2312"/>
          <w:sz w:val="32"/>
          <w:szCs w:val="32"/>
        </w:rPr>
        <w:t>。</w:t>
      </w:r>
    </w:p>
    <w:p>
      <w:pPr>
        <w:spacing w:line="600" w:lineRule="exact"/>
        <w:ind w:firstLine="585" w:firstLineChars="183"/>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关于印发《关于进一步健全全市城市社区专职工作者职业化薪酬体系的实施意见》的通知（宿民发【2020】94号））和关于印发《宿州市埇桥区社区专职工作者管理办法》的通知（埇民发【2021】21号）</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本项目资金用于发放社区专职工作者的奖励性绩效工资，根据考核等次发放,设为不合格、合格良好和优秀四个等级,其中正职奖励性绩效工资不低于6000元,副职奖励性绩效工资不低于5000元,一般工作人员奖励性绩效工资不低于4000元。</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财政拨款247</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08</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95"/>
        <w:gridCol w:w="1245"/>
        <w:gridCol w:w="122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95" w:type="dxa"/>
            <w:tcBorders>
              <w:top w:val="nil"/>
              <w:left w:val="nil"/>
              <w:bottom w:val="nil"/>
              <w:right w:val="nil"/>
            </w:tcBorders>
            <w:vAlign w:val="center"/>
          </w:tcPr>
          <w:p>
            <w:pPr>
              <w:widowControl/>
              <w:jc w:val="left"/>
              <w:rPr>
                <w:rFonts w:ascii="宋体" w:hAnsi="宋体" w:cs="宋体"/>
                <w:kern w:val="0"/>
                <w:sz w:val="24"/>
              </w:rPr>
            </w:pPr>
          </w:p>
        </w:tc>
        <w:tc>
          <w:tcPr>
            <w:tcW w:w="1245" w:type="dxa"/>
            <w:tcBorders>
              <w:top w:val="nil"/>
              <w:left w:val="nil"/>
              <w:bottom w:val="nil"/>
              <w:right w:val="nil"/>
            </w:tcBorders>
            <w:vAlign w:val="center"/>
          </w:tcPr>
          <w:p>
            <w:pPr>
              <w:widowControl/>
              <w:jc w:val="left"/>
              <w:rPr>
                <w:rFonts w:ascii="宋体" w:hAnsi="宋体" w:cs="宋体"/>
                <w:kern w:val="0"/>
                <w:sz w:val="24"/>
              </w:rPr>
            </w:pPr>
          </w:p>
        </w:tc>
        <w:tc>
          <w:tcPr>
            <w:tcW w:w="12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城乡社区两委干部绩效</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4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4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2"/>
                <w:szCs w:val="22"/>
                <w:lang w:eastAsia="zh-CN"/>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240" w:type="dxa"/>
            <w:gridSpan w:val="2"/>
            <w:tcBorders>
              <w:top w:val="single" w:color="auto" w:sz="4" w:space="0"/>
              <w:left w:val="nil"/>
              <w:bottom w:val="single" w:color="auto" w:sz="4" w:space="0"/>
              <w:right w:val="single" w:color="auto" w:sz="4" w:space="0"/>
            </w:tcBorders>
            <w:vAlign w:val="center"/>
          </w:tcPr>
          <w:p>
            <w:pPr>
              <w:widowControl/>
              <w:ind w:firstLine="660" w:firstLineChars="300"/>
              <w:jc w:val="both"/>
              <w:rPr>
                <w:rFonts w:hint="eastAsia" w:ascii="宋体" w:hAnsi="宋体" w:cs="宋体"/>
                <w:kern w:val="0"/>
                <w:sz w:val="22"/>
                <w:szCs w:val="22"/>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2"/>
                <w:szCs w:val="22"/>
                <w:lang w:eastAsia="zh-CN"/>
              </w:rPr>
            </w:pPr>
            <w:r>
              <w:rPr>
                <w:rFonts w:hint="eastAsia" w:ascii="宋体" w:hAnsi="宋体" w:cs="宋体"/>
                <w:kern w:val="0"/>
                <w:sz w:val="22"/>
                <w:szCs w:val="22"/>
                <w:lang w:eastAsia="zh-CN"/>
              </w:rPr>
              <w:t>247</w:t>
            </w:r>
            <w:r>
              <w:rPr>
                <w:rFonts w:hint="eastAsia" w:ascii="宋体" w:hAnsi="宋体" w:cs="宋体"/>
                <w:kern w:val="0"/>
                <w:sz w:val="22"/>
                <w:szCs w:val="22"/>
                <w:lang w:val="en-US" w:eastAsia="zh-CN"/>
              </w:rPr>
              <w:t>.</w:t>
            </w:r>
            <w:r>
              <w:rPr>
                <w:rFonts w:hint="eastAsia" w:ascii="宋体" w:hAnsi="宋体" w:cs="宋体"/>
                <w:kern w:val="0"/>
                <w:sz w:val="22"/>
                <w:szCs w:val="22"/>
                <w:lang w:eastAsia="zh-CN"/>
              </w:rPr>
              <w:t>08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35" w:type="dxa"/>
            <w:gridSpan w:val="5"/>
            <w:tcBorders>
              <w:top w:val="single" w:color="auto" w:sz="4" w:space="0"/>
              <w:left w:val="nil"/>
              <w:bottom w:val="single" w:color="auto" w:sz="4" w:space="0"/>
              <w:right w:val="nil"/>
            </w:tcBorders>
            <w:vAlign w:val="top"/>
          </w:tcPr>
          <w:p>
            <w:pPr>
              <w:widowControl/>
              <w:jc w:val="left"/>
              <w:rPr>
                <w:rFonts w:ascii="宋体" w:hAnsi="宋体" w:cs="宋体"/>
                <w:kern w:val="0"/>
                <w:sz w:val="24"/>
              </w:rPr>
            </w:pPr>
            <w:r>
              <w:rPr>
                <w:rFonts w:hint="eastAsia" w:ascii="宋体" w:hAnsi="宋体" w:cs="宋体"/>
                <w:kern w:val="0"/>
                <w:sz w:val="24"/>
              </w:rPr>
              <w:t>目标1： 正职奖励性绩效工资不低于6000元,副职奖励性绩效工资不低于5000元,一般工作人员奖励性绩效工资不低于4000元</w:t>
            </w:r>
          </w:p>
        </w:tc>
        <w:tc>
          <w:tcPr>
            <w:tcW w:w="53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kern w:val="0"/>
                <w:sz w:val="24"/>
              </w:rPr>
            </w:pPr>
            <w:r>
              <w:rPr>
                <w:rFonts w:hint="eastAsia" w:ascii="宋体" w:hAnsi="宋体" w:cs="宋体"/>
                <w:kern w:val="0"/>
                <w:sz w:val="24"/>
              </w:rPr>
              <w:t>目标1</w:t>
            </w:r>
            <w:r>
              <w:rPr>
                <w:rFonts w:hint="eastAsia" w:ascii="宋体" w:hAnsi="宋体" w:cs="宋体"/>
                <w:kern w:val="0"/>
                <w:sz w:val="24"/>
                <w:lang w:eastAsia="zh-CN"/>
              </w:rPr>
              <w:t>：正职奖励性绩效工资不低于6000元,副职奖励性绩效工资不低于5000元,一般工作人员奖励性绩效工资不低于4000元</w:t>
            </w:r>
          </w:p>
        </w:tc>
      </w:tr>
      <w:tr>
        <w:tblPrEx>
          <w:tblCellMar>
            <w:top w:w="0" w:type="dxa"/>
            <w:left w:w="108" w:type="dxa"/>
            <w:bottom w:w="0" w:type="dxa"/>
            <w:right w:w="108" w:type="dxa"/>
          </w:tblCellMar>
        </w:tblPrEx>
        <w:trPr>
          <w:trHeight w:val="61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9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1333"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指标1：区级配套60%社区专职人员补贴标准</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2470800</w:t>
            </w:r>
            <w:r>
              <w:rPr>
                <w:rFonts w:hint="eastAsia" w:ascii="宋体" w:hAnsi="宋体" w:eastAsia="宋体" w:cs="宋体"/>
                <w:i w:val="0"/>
                <w:color w:val="000000"/>
                <w:kern w:val="0"/>
                <w:sz w:val="20"/>
                <w:szCs w:val="20"/>
                <w:u w:val="none"/>
                <w:lang w:val="en-US" w:eastAsia="zh-CN" w:bidi="ar"/>
              </w:rPr>
              <w:t>元</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i w:val="0"/>
                <w:color w:val="000000"/>
                <w:kern w:val="0"/>
                <w:sz w:val="20"/>
                <w:szCs w:val="20"/>
                <w:u w:val="none"/>
                <w:lang w:val="en-US" w:eastAsia="zh-CN" w:bidi="ar"/>
              </w:rPr>
              <w:t>按标准执行</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指标1：区级配套60%社区专职人员补贴标准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2470800</w:t>
            </w:r>
            <w:r>
              <w:rPr>
                <w:rFonts w:hint="eastAsia" w:ascii="宋体" w:hAnsi="宋体" w:eastAsia="宋体" w:cs="宋体"/>
                <w:i w:val="0"/>
                <w:color w:val="000000"/>
                <w:kern w:val="0"/>
                <w:sz w:val="20"/>
                <w:szCs w:val="20"/>
                <w:u w:val="none"/>
                <w:lang w:val="en-US" w:eastAsia="zh-CN" w:bidi="ar"/>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按标准执行</w:t>
            </w:r>
          </w:p>
        </w:tc>
      </w:tr>
      <w:tr>
        <w:tblPrEx>
          <w:tblCellMar>
            <w:top w:w="0" w:type="dxa"/>
            <w:left w:w="108" w:type="dxa"/>
            <w:bottom w:w="0" w:type="dxa"/>
            <w:right w:w="108" w:type="dxa"/>
          </w:tblCellMar>
        </w:tblPrEx>
        <w:trPr>
          <w:trHeight w:val="31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nil"/>
              <w:left w:val="single" w:color="auto" w:sz="4" w:space="0"/>
              <w:right w:val="single" w:color="auto" w:sz="4" w:space="0"/>
            </w:tcBorders>
            <w:vAlign w:val="center"/>
          </w:tcPr>
          <w:p>
            <w:pPr>
              <w:widowControl/>
              <w:ind w:firstLine="307" w:firstLineChars="0"/>
              <w:jc w:val="left"/>
              <w:rPr>
                <w:rFonts w:hint="eastAsia" w:ascii="宋体" w:hAnsi="宋体" w:eastAsia="宋体" w:cs="宋体"/>
                <w:kern w:val="0"/>
                <w:sz w:val="24"/>
                <w:lang w:eastAsia="zh-CN"/>
              </w:rPr>
            </w:pPr>
            <w:r>
              <w:rPr>
                <w:rFonts w:hint="eastAsia" w:ascii="宋体" w:hAnsi="宋体" w:cs="宋体"/>
                <w:kern w:val="0"/>
                <w:sz w:val="24"/>
                <w:lang w:eastAsia="zh-CN"/>
              </w:rPr>
              <w:t>效益指标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解决就业人数</w:t>
            </w:r>
          </w:p>
        </w:tc>
        <w:tc>
          <w:tcPr>
            <w:tcW w:w="995" w:type="dxa"/>
            <w:tcBorders>
              <w:top w:val="nil"/>
              <w:left w:val="nil"/>
              <w:bottom w:val="single" w:color="auto" w:sz="4" w:space="0"/>
              <w:right w:val="single" w:color="auto"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=923人</w:t>
            </w:r>
          </w:p>
        </w:tc>
        <w:tc>
          <w:tcPr>
            <w:tcW w:w="124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100%</w:t>
            </w:r>
          </w:p>
        </w:tc>
        <w:tc>
          <w:tcPr>
            <w:tcW w:w="1226" w:type="dxa"/>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kern w:val="0"/>
                <w:sz w:val="24"/>
                <w:lang w:val="en-US" w:eastAsia="zh-CN"/>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lang w:val="en-US" w:eastAsia="zh-CN"/>
              </w:rPr>
            </w:pPr>
            <w:r>
              <w:rPr>
                <w:rFonts w:hint="eastAsia" w:ascii="宋体" w:hAnsi="宋体" w:cs="宋体"/>
                <w:kern w:val="0"/>
                <w:sz w:val="24"/>
              </w:rPr>
              <w:t xml:space="preserve"> 指标1：</w:t>
            </w:r>
            <w:r>
              <w:rPr>
                <w:rFonts w:hint="eastAsia" w:ascii="宋体" w:hAnsi="宋体" w:cs="宋体"/>
                <w:kern w:val="0"/>
                <w:sz w:val="24"/>
                <w:lang w:val="en-US" w:eastAsia="zh-CN"/>
              </w:rPr>
              <w:t>解决就业人数</w:t>
            </w:r>
          </w:p>
        </w:tc>
        <w:tc>
          <w:tcPr>
            <w:tcW w:w="1333" w:type="dxa"/>
            <w:tcBorders>
              <w:top w:val="nil"/>
              <w:left w:val="nil"/>
              <w:bottom w:val="single" w:color="auto" w:sz="4" w:space="0"/>
              <w:right w:val="single" w:color="auto"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=923人</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lang w:val="en-US" w:eastAsia="zh-CN"/>
              </w:rPr>
            </w:pPr>
            <w:r>
              <w:rPr>
                <w:rFonts w:hint="eastAsia" w:ascii="宋体" w:hAnsi="宋体" w:cs="宋体"/>
                <w:kern w:val="0"/>
                <w:sz w:val="24"/>
                <w:lang w:val="en-US" w:eastAsia="zh-CN"/>
              </w:rPr>
              <w:t>100%</w:t>
            </w:r>
          </w:p>
        </w:tc>
      </w:tr>
      <w:tr>
        <w:tblPrEx>
          <w:tblCellMar>
            <w:top w:w="0" w:type="dxa"/>
            <w:left w:w="108" w:type="dxa"/>
            <w:bottom w:w="0" w:type="dxa"/>
            <w:right w:w="108" w:type="dxa"/>
          </w:tblCellMar>
        </w:tblPrEx>
        <w:trPr>
          <w:trHeight w:val="312"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p>
        </w:tc>
        <w:tc>
          <w:tcPr>
            <w:tcW w:w="857"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可持续影响指标</w:t>
            </w: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26"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可持续影响指标</w:t>
            </w: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≥95%</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bl>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5</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城乡社区两委干部薪酬</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sz w:val="32"/>
          <w:szCs w:val="32"/>
        </w:rPr>
        <w:t>（1）项目概述。</w:t>
      </w:r>
      <w:r>
        <w:rPr>
          <w:rFonts w:hint="eastAsia" w:ascii="仿宋_GB2312" w:hAnsi="仿宋" w:eastAsia="仿宋_GB2312"/>
          <w:sz w:val="32"/>
          <w:szCs w:val="32"/>
        </w:rPr>
        <w:t>根据市政府要求，发放城乡社区两委</w:t>
      </w:r>
      <w:r>
        <w:rPr>
          <w:rFonts w:hint="eastAsia" w:ascii="仿宋_GB2312" w:hAnsi="仿宋" w:eastAsia="仿宋_GB2312"/>
          <w:sz w:val="32"/>
          <w:szCs w:val="32"/>
          <w:lang w:eastAsia="zh-CN"/>
        </w:rPr>
        <w:t>干部薪酬</w:t>
      </w:r>
      <w:r>
        <w:rPr>
          <w:rFonts w:hint="eastAsia" w:ascii="仿宋_GB2312" w:hAnsi="仿宋" w:eastAsia="仿宋_GB2312"/>
          <w:sz w:val="32"/>
          <w:szCs w:val="32"/>
        </w:rPr>
        <w:t>。</w:t>
      </w:r>
    </w:p>
    <w:p>
      <w:pPr>
        <w:spacing w:line="600" w:lineRule="exact"/>
        <w:ind w:firstLine="585" w:firstLineChars="183"/>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关于印发《关于进一步健全全市城市社区专职工作者职业化薪酬体系的实施意见》的通知（宿民发【2020】94号））和关于印发《宿州市埇桥区社区专职工作者管理办法》的通知（埇民发【2021】21号）</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本项目资金用于建立社区专职工作者岗位、等级、职称相结合的职业化薪酬体系，具体参照上年度当地事业单位管理岗8级、9级、10级职员待遇确定社区专职工作者薪酬，确保基本工资、五险一金、带薪休假等待遇得到基本保障。此外，薪酬将根据实际情况联动调整,一般每3年至少调整一次。</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财政拨款2669</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9976</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95"/>
        <w:gridCol w:w="1245"/>
        <w:gridCol w:w="122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95" w:type="dxa"/>
            <w:tcBorders>
              <w:top w:val="nil"/>
              <w:left w:val="nil"/>
              <w:bottom w:val="nil"/>
              <w:right w:val="nil"/>
            </w:tcBorders>
            <w:vAlign w:val="center"/>
          </w:tcPr>
          <w:p>
            <w:pPr>
              <w:widowControl/>
              <w:jc w:val="left"/>
              <w:rPr>
                <w:rFonts w:ascii="宋体" w:hAnsi="宋体" w:cs="宋体"/>
                <w:kern w:val="0"/>
                <w:sz w:val="24"/>
              </w:rPr>
            </w:pPr>
          </w:p>
        </w:tc>
        <w:tc>
          <w:tcPr>
            <w:tcW w:w="1245" w:type="dxa"/>
            <w:tcBorders>
              <w:top w:val="nil"/>
              <w:left w:val="nil"/>
              <w:bottom w:val="nil"/>
              <w:right w:val="nil"/>
            </w:tcBorders>
            <w:vAlign w:val="center"/>
          </w:tcPr>
          <w:p>
            <w:pPr>
              <w:widowControl/>
              <w:jc w:val="left"/>
              <w:rPr>
                <w:rFonts w:ascii="宋体" w:hAnsi="宋体" w:cs="宋体"/>
                <w:kern w:val="0"/>
                <w:sz w:val="24"/>
              </w:rPr>
            </w:pPr>
          </w:p>
        </w:tc>
        <w:tc>
          <w:tcPr>
            <w:tcW w:w="12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城乡社区两委干部薪酬</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4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4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2669</w:t>
            </w:r>
            <w:r>
              <w:rPr>
                <w:rFonts w:hint="eastAsia" w:ascii="宋体" w:hAnsi="宋体" w:cs="宋体"/>
                <w:kern w:val="0"/>
                <w:sz w:val="24"/>
                <w:lang w:val="en-US" w:eastAsia="zh-CN"/>
              </w:rPr>
              <w:t>.</w:t>
            </w:r>
            <w:r>
              <w:rPr>
                <w:rFonts w:hint="eastAsia" w:ascii="宋体" w:hAnsi="宋体" w:cs="宋体"/>
                <w:kern w:val="0"/>
                <w:sz w:val="24"/>
                <w:lang w:eastAsia="zh-CN"/>
              </w:rPr>
              <w:t>9976</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35" w:type="dxa"/>
            <w:gridSpan w:val="5"/>
            <w:tcBorders>
              <w:top w:val="single" w:color="auto" w:sz="4" w:space="0"/>
              <w:left w:val="nil"/>
              <w:bottom w:val="single" w:color="auto" w:sz="4" w:space="0"/>
              <w:right w:val="nil"/>
            </w:tcBorders>
            <w:vAlign w:val="top"/>
          </w:tcPr>
          <w:p>
            <w:pPr>
              <w:widowControl/>
              <w:jc w:val="left"/>
              <w:rPr>
                <w:rFonts w:ascii="宋体" w:hAnsi="宋体" w:cs="宋体"/>
                <w:kern w:val="0"/>
                <w:sz w:val="24"/>
              </w:rPr>
            </w:pPr>
            <w:r>
              <w:rPr>
                <w:rFonts w:hint="eastAsia" w:ascii="宋体" w:hAnsi="宋体" w:cs="宋体"/>
                <w:kern w:val="0"/>
                <w:sz w:val="24"/>
              </w:rPr>
              <w:t>目标1： 进一步调动全区城乡社区工作人员的积极性，推进城市社区工作人员队伍建设，建立社区专职工作者岗位、等级、职称相结合的职业化薪酬体系，完善基本工资和绩效工资相结合的薪酬结构，落实五险一金、带薪年休等基本保障。</w:t>
            </w:r>
          </w:p>
        </w:tc>
        <w:tc>
          <w:tcPr>
            <w:tcW w:w="53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kern w:val="0"/>
                <w:sz w:val="24"/>
              </w:rPr>
            </w:pPr>
            <w:r>
              <w:rPr>
                <w:rFonts w:hint="eastAsia" w:ascii="宋体" w:hAnsi="宋体" w:cs="宋体"/>
                <w:kern w:val="0"/>
                <w:sz w:val="24"/>
              </w:rPr>
              <w:t>目标1：进一步调动全区城乡社区工作人员的积极性，推进城市社区工作人员队伍建设，建立社区专职工作者岗位、等级、职称相结合的职业化薪酬体系，完善基本工资和绩效工资相结合的薪酬结构，落实五险一金、带薪年休等基本保障。</w:t>
            </w:r>
          </w:p>
        </w:tc>
      </w:tr>
      <w:tr>
        <w:tblPrEx>
          <w:tblCellMar>
            <w:top w:w="0" w:type="dxa"/>
            <w:left w:w="108" w:type="dxa"/>
            <w:bottom w:w="0" w:type="dxa"/>
            <w:right w:w="108" w:type="dxa"/>
          </w:tblCellMar>
        </w:tblPrEx>
        <w:trPr>
          <w:trHeight w:val="61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享受社区专职人员生活补贴人数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=923</w:t>
            </w:r>
            <w:r>
              <w:rPr>
                <w:rFonts w:hint="eastAsia" w:ascii="宋体" w:hAnsi="宋体" w:cs="宋体"/>
                <w:i w:val="0"/>
                <w:color w:val="000000"/>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社区专职人员生活补贴发放准确率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9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资金在规定时间下达率</w:t>
            </w:r>
          </w:p>
        </w:tc>
        <w:tc>
          <w:tcPr>
            <w:tcW w:w="1333" w:type="dxa"/>
            <w:tcBorders>
              <w:top w:val="nil"/>
              <w:left w:val="nil"/>
              <w:bottom w:val="single" w:color="auto" w:sz="4" w:space="0"/>
              <w:right w:val="single" w:color="auto" w:sz="4" w:space="0"/>
            </w:tcBorders>
            <w:vAlign w:val="center"/>
          </w:tcPr>
          <w:p>
            <w:pPr>
              <w:widowControl/>
              <w:ind w:firstLine="200" w:firstLineChars="100"/>
              <w:jc w:val="left"/>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指标1：区级配套60%社区专职人员补贴标准</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kern w:val="0"/>
                <w:sz w:val="24"/>
                <w:lang w:eastAsia="zh-CN"/>
              </w:rPr>
              <w:t>26699976</w:t>
            </w:r>
            <w:r>
              <w:rPr>
                <w:rFonts w:hint="eastAsia" w:ascii="宋体" w:hAnsi="宋体" w:eastAsia="宋体" w:cs="宋体"/>
                <w:i w:val="0"/>
                <w:color w:val="000000"/>
                <w:kern w:val="0"/>
                <w:sz w:val="20"/>
                <w:szCs w:val="20"/>
                <w:u w:val="none"/>
                <w:lang w:val="en-US" w:eastAsia="zh-CN" w:bidi="ar"/>
              </w:rPr>
              <w:t>元</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cs="宋体"/>
                <w:kern w:val="0"/>
                <w:sz w:val="24"/>
                <w:lang w:eastAsia="zh-CN"/>
              </w:rPr>
              <w:t>26699976元</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指标1：区级配套60%社区专职人员补贴标准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kern w:val="0"/>
                <w:sz w:val="24"/>
                <w:lang w:eastAsia="zh-CN"/>
              </w:rPr>
              <w:t>26699976</w:t>
            </w:r>
            <w:r>
              <w:rPr>
                <w:rFonts w:hint="eastAsia" w:ascii="宋体" w:hAnsi="宋体" w:eastAsia="宋体" w:cs="宋体"/>
                <w:i w:val="0"/>
                <w:color w:val="000000"/>
                <w:kern w:val="0"/>
                <w:sz w:val="20"/>
                <w:szCs w:val="20"/>
                <w:u w:val="none"/>
                <w:lang w:val="en-US" w:eastAsia="zh-CN" w:bidi="ar"/>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26699976元</w:t>
            </w:r>
          </w:p>
        </w:tc>
      </w:tr>
      <w:tr>
        <w:tblPrEx>
          <w:tblCellMar>
            <w:top w:w="0" w:type="dxa"/>
            <w:left w:w="108" w:type="dxa"/>
            <w:bottom w:w="0" w:type="dxa"/>
            <w:right w:w="108" w:type="dxa"/>
          </w:tblCellMar>
        </w:tblPrEx>
        <w:trPr>
          <w:trHeight w:val="31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nil"/>
              <w:left w:val="single" w:color="auto" w:sz="4" w:space="0"/>
              <w:right w:val="single" w:color="auto" w:sz="4" w:space="0"/>
            </w:tcBorders>
            <w:vAlign w:val="center"/>
          </w:tcPr>
          <w:p>
            <w:pPr>
              <w:widowControl/>
              <w:ind w:firstLine="307" w:firstLineChars="0"/>
              <w:jc w:val="left"/>
              <w:rPr>
                <w:rFonts w:hint="eastAsia" w:ascii="宋体" w:hAnsi="宋体" w:eastAsia="宋体" w:cs="宋体"/>
                <w:kern w:val="0"/>
                <w:sz w:val="24"/>
                <w:lang w:eastAsia="zh-CN"/>
              </w:rPr>
            </w:pPr>
            <w:r>
              <w:rPr>
                <w:rFonts w:hint="eastAsia" w:ascii="宋体" w:hAnsi="宋体" w:cs="宋体"/>
                <w:kern w:val="0"/>
                <w:sz w:val="24"/>
                <w:lang w:eastAsia="zh-CN"/>
              </w:rPr>
              <w:t>效益指标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解决就业人数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=923人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cs="宋体"/>
                <w:i w:val="0"/>
                <w:color w:val="000000"/>
                <w:kern w:val="0"/>
                <w:sz w:val="20"/>
                <w:szCs w:val="20"/>
                <w:u w:val="none"/>
                <w:lang w:val="en-US" w:eastAsia="zh-CN" w:bidi="ar"/>
              </w:rPr>
              <w:t>100%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解决就业人数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=923人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12"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p>
        </w:tc>
        <w:tc>
          <w:tcPr>
            <w:tcW w:w="857"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可持续影响指标</w:t>
            </w: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持续提升</w:t>
            </w:r>
          </w:p>
        </w:tc>
        <w:tc>
          <w:tcPr>
            <w:tcW w:w="1226"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可持续影响指标</w:t>
            </w: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指标</w:t>
            </w:r>
            <w:r>
              <w:rPr>
                <w:rFonts w:hint="eastAsia" w:ascii="宋体" w:hAnsi="宋体" w:cs="宋体"/>
                <w:kern w:val="0"/>
                <w:sz w:val="24"/>
                <w:lang w:val="en-US" w:eastAsia="zh-CN"/>
              </w:rPr>
              <w:t>1：提高社区专职工作者岗位吸引力，进一步调动广大社区工作者干事创业的积极性和主动性，为推进城市基层党建、加强城市社区治理提供人才保证</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持续提升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≥95%</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w:t>
            </w:r>
            <w:r>
              <w:rPr>
                <w:rFonts w:hint="eastAsia" w:ascii="宋体" w:hAnsi="宋体" w:eastAsia="宋体" w:cs="宋体"/>
                <w:i w:val="0"/>
                <w:color w:val="000000"/>
                <w:kern w:val="0"/>
                <w:sz w:val="22"/>
                <w:szCs w:val="22"/>
                <w:u w:val="none"/>
                <w:lang w:val="en-US" w:eastAsia="zh-CN" w:bidi="ar"/>
              </w:rPr>
              <w:t>社区专职人员补贴满意度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6</w:t>
      </w:r>
      <w:r>
        <w:rPr>
          <w:rFonts w:hint="eastAsia" w:ascii="仿宋_GB2312" w:hAnsi="楷体" w:eastAsia="仿宋_GB2312"/>
          <w:b/>
          <w:sz w:val="32"/>
          <w:szCs w:val="32"/>
        </w:rPr>
        <w:t>.“</w:t>
      </w:r>
      <w:r>
        <w:rPr>
          <w:rFonts w:hint="eastAsia" w:ascii="仿宋_GB2312" w:hAnsi="楷体" w:eastAsia="仿宋_GB2312"/>
          <w:b/>
          <w:sz w:val="32"/>
          <w:szCs w:val="32"/>
          <w:lang w:eastAsia="zh-CN"/>
        </w:rPr>
        <w:t>低收入老年人养老服务补贴</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sz w:val="32"/>
          <w:szCs w:val="32"/>
        </w:rPr>
        <w:t>（1）项目概述。为推进社会养老服务体系建设，加快建设与我区经济社会发展水平相适应、与老年人养老服务实际需求相匹配的社会养老服务体系，为低收入老年人发放养老服务补贴，其中城市低收入养老服务补贴以政府购买服务为主，提升老人幸福感、获得感。</w:t>
      </w:r>
    </w:p>
    <w:p>
      <w:pPr>
        <w:spacing w:line="600" w:lineRule="exact"/>
        <w:ind w:firstLine="585" w:firstLineChars="183"/>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（2）立项依据。《宿州市2021年养老服务和智慧养老工作实施方案》（宿民发[2021]45号）、《埇桥区2021年社会养老服务体系和养老智慧化建设实施办法》（埇民发[2021]68号）</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为推进社会养老服务体系建设，加快建设与我区经济社会发展水平相适应、与老年人养老服务实际需求相匹配的社会养老服务体系，为低收入老年人发放养老服务补贴，其中城市低收入养老服务补贴以政府购买服务为主，提升老人幸福感、获得感。</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w:t>
      </w:r>
      <w:r>
        <w:rPr>
          <w:rFonts w:hint="eastAsia" w:ascii="仿宋_GB2312" w:hAnsi="仿宋" w:eastAsia="仿宋_GB2312"/>
          <w:sz w:val="32"/>
          <w:szCs w:val="32"/>
          <w:lang w:val="en-US" w:eastAsia="zh-CN"/>
        </w:rPr>
        <w:t>1032万元。</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95"/>
        <w:gridCol w:w="1245"/>
        <w:gridCol w:w="122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95" w:type="dxa"/>
            <w:tcBorders>
              <w:top w:val="nil"/>
              <w:left w:val="nil"/>
              <w:bottom w:val="nil"/>
              <w:right w:val="nil"/>
            </w:tcBorders>
            <w:vAlign w:val="center"/>
          </w:tcPr>
          <w:p>
            <w:pPr>
              <w:widowControl/>
              <w:jc w:val="left"/>
              <w:rPr>
                <w:rFonts w:ascii="宋体" w:hAnsi="宋体" w:cs="宋体"/>
                <w:kern w:val="0"/>
                <w:sz w:val="24"/>
              </w:rPr>
            </w:pPr>
          </w:p>
        </w:tc>
        <w:tc>
          <w:tcPr>
            <w:tcW w:w="1245" w:type="dxa"/>
            <w:tcBorders>
              <w:top w:val="nil"/>
              <w:left w:val="nil"/>
              <w:bottom w:val="nil"/>
              <w:right w:val="nil"/>
            </w:tcBorders>
            <w:vAlign w:val="center"/>
          </w:tcPr>
          <w:p>
            <w:pPr>
              <w:widowControl/>
              <w:jc w:val="left"/>
              <w:rPr>
                <w:rFonts w:ascii="宋体" w:hAnsi="宋体" w:cs="宋体"/>
                <w:kern w:val="0"/>
                <w:sz w:val="24"/>
              </w:rPr>
            </w:pPr>
          </w:p>
        </w:tc>
        <w:tc>
          <w:tcPr>
            <w:tcW w:w="12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低收入老年人养老服务补贴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4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4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4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40"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1032</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1032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240" w:type="dxa"/>
            <w:gridSpan w:val="2"/>
            <w:tcBorders>
              <w:top w:val="single" w:color="auto" w:sz="4" w:space="0"/>
              <w:left w:val="nil"/>
              <w:bottom w:val="single" w:color="auto" w:sz="4" w:space="0"/>
              <w:right w:val="single" w:color="auto" w:sz="4" w:space="0"/>
            </w:tcBorders>
            <w:vAlign w:val="center"/>
          </w:tcPr>
          <w:p>
            <w:pPr>
              <w:widowControl/>
              <w:ind w:firstLine="240" w:firstLineChars="100"/>
              <w:jc w:val="left"/>
              <w:rPr>
                <w:rFonts w:hint="default" w:ascii="宋体" w:hAnsi="宋体" w:eastAsia="宋体" w:cs="宋体"/>
                <w:kern w:val="0"/>
                <w:sz w:val="24"/>
                <w:lang w:val="en-US" w:eastAsia="zh-CN"/>
              </w:rPr>
            </w:pPr>
            <w:r>
              <w:rPr>
                <w:rFonts w:hint="eastAsia" w:ascii="宋体" w:hAnsi="宋体" w:cs="宋体"/>
                <w:kern w:val="0"/>
                <w:sz w:val="24"/>
                <w:lang w:val="en-US" w:eastAsia="zh-CN"/>
              </w:rPr>
              <w:t>1032</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1032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35" w:type="dxa"/>
            <w:gridSpan w:val="5"/>
            <w:tcBorders>
              <w:top w:val="single" w:color="auto" w:sz="4" w:space="0"/>
              <w:left w:val="nil"/>
              <w:bottom w:val="single" w:color="auto" w:sz="4" w:space="0"/>
              <w:right w:val="nil"/>
            </w:tcBorders>
            <w:vAlign w:val="top"/>
          </w:tcPr>
          <w:p>
            <w:pPr>
              <w:widowControl/>
              <w:jc w:val="left"/>
              <w:rPr>
                <w:rFonts w:ascii="宋体" w:hAnsi="宋体" w:cs="宋体"/>
                <w:kern w:val="0"/>
                <w:sz w:val="24"/>
              </w:rPr>
            </w:pPr>
            <w:r>
              <w:rPr>
                <w:rFonts w:hint="eastAsia" w:ascii="宋体" w:hAnsi="宋体" w:cs="宋体"/>
                <w:kern w:val="0"/>
                <w:sz w:val="24"/>
              </w:rPr>
              <w:t>目标1：推进我区社会养老服务体系建设，发展居家养老服务。</w:t>
            </w:r>
          </w:p>
        </w:tc>
        <w:tc>
          <w:tcPr>
            <w:tcW w:w="53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kern w:val="0"/>
                <w:sz w:val="24"/>
              </w:rPr>
            </w:pPr>
            <w:r>
              <w:rPr>
                <w:rFonts w:hint="eastAsia" w:ascii="宋体" w:hAnsi="宋体" w:cs="宋体"/>
                <w:kern w:val="0"/>
                <w:sz w:val="24"/>
              </w:rPr>
              <w:t>目标1：推进我区社会养老服务体系建设，发展居家养老服务。</w:t>
            </w:r>
          </w:p>
        </w:tc>
      </w:tr>
      <w:tr>
        <w:tblPrEx>
          <w:tblCellMar>
            <w:top w:w="0" w:type="dxa"/>
            <w:left w:w="108" w:type="dxa"/>
            <w:bottom w:w="0" w:type="dxa"/>
            <w:right w:w="108" w:type="dxa"/>
          </w:tblCellMar>
        </w:tblPrEx>
        <w:trPr>
          <w:trHeight w:val="61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指标1：享受人数</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80岁以上城市低保老人600人；80岁以上农村低保老人7500人；城乡低保中60-79岁失能失智老人1000人，80岁以上建档立卡贫困对象范围内的老年人7500人</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default" w:ascii="宋体" w:hAnsi="宋体" w:cs="宋体"/>
                <w:kern w:val="0"/>
                <w:sz w:val="24"/>
                <w:lang w:val="en-US"/>
              </w:rPr>
              <w:t>80岁以上城市低保老人600人；80岁以上农村低保老人7500人；城乡低保中60-79岁失能失智老人1000人，80岁以上建档立卡贫困对象范围内的老年人7500人</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指标1：享受人数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80岁以上城市低保老人600人；80岁以上农村低保老人7500人；城乡低保中60-79岁失能失智老人1000人，80岁以上建档立卡贫困对象范围内的老年人7500人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cs="宋体"/>
                <w:kern w:val="0"/>
                <w:sz w:val="24"/>
                <w:lang w:val="en-US"/>
              </w:rPr>
              <w:t>80岁以上城市低保老人600人；80岁以上农村低保老人7500人；城乡低保中60-79岁失能失智老人1000人，80岁以上建档立卡贫困对象范围内的老年人7500人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指标1：社会化发放率</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指标1：按时发放</w:t>
            </w:r>
          </w:p>
        </w:tc>
        <w:tc>
          <w:tcPr>
            <w:tcW w:w="9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指标1：按时发放</w:t>
            </w:r>
          </w:p>
        </w:tc>
        <w:tc>
          <w:tcPr>
            <w:tcW w:w="1333"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c>
          <w:tcPr>
            <w:tcW w:w="157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指标1：分段补助标准</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80岁以上城市低保老人每人每月100元；80岁以上农村低保老人每人每月50元；城乡低保中60-79岁失能失智老人每人每月50元，80岁以上建档立卡贫困对象范围内的老年人每人每月50元</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default" w:ascii="宋体" w:hAnsi="宋体" w:cs="宋体"/>
                <w:kern w:val="0"/>
                <w:sz w:val="24"/>
                <w:lang w:val="en-US"/>
              </w:rPr>
              <w:t>80岁以上城市低保老人每人每月100元；80岁以上农村低保老人每人每月50元；城乡低保中60-79岁失能失智老人每人每月50元，80岁以上建档立卡贫困对象范围内的老年人每人每月50元</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指标1：分段补助标准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80岁以上城市低保老人每人每月100元；80岁以上农村低保老人每人每月50元；城乡低保中60-79岁失能失智老人每人每月50元，80岁以上建档立卡贫困对象范围内的老年人每人每月50元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cs="宋体"/>
                <w:kern w:val="0"/>
                <w:sz w:val="24"/>
                <w:lang w:val="en-US"/>
              </w:rPr>
              <w:t>80岁以上城市低保老人每人每月100元；80岁以上农村低保老人每人每月50元；城乡低保中60-79岁失能失智老人每人每月50元，80岁以上建档立卡贫困对象范围内的老年人每人每月50元</w:t>
            </w:r>
          </w:p>
        </w:tc>
      </w:tr>
      <w:tr>
        <w:tblPrEx>
          <w:tblCellMar>
            <w:top w:w="0" w:type="dxa"/>
            <w:left w:w="108" w:type="dxa"/>
            <w:bottom w:w="0" w:type="dxa"/>
            <w:right w:w="108" w:type="dxa"/>
          </w:tblCellMar>
        </w:tblPrEx>
        <w:trPr>
          <w:trHeight w:val="31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vMerge w:val="restart"/>
            <w:tcBorders>
              <w:top w:val="nil"/>
              <w:left w:val="single" w:color="auto" w:sz="4" w:space="0"/>
              <w:right w:val="single" w:color="auto" w:sz="4" w:space="0"/>
            </w:tcBorders>
            <w:vAlign w:val="center"/>
          </w:tcPr>
          <w:p>
            <w:pPr>
              <w:widowControl/>
              <w:ind w:firstLine="307" w:firstLineChars="0"/>
              <w:jc w:val="left"/>
              <w:rPr>
                <w:rFonts w:hint="eastAsia" w:ascii="宋体" w:hAnsi="宋体" w:eastAsia="宋体" w:cs="宋体"/>
                <w:kern w:val="0"/>
                <w:sz w:val="24"/>
                <w:lang w:eastAsia="zh-CN"/>
              </w:rPr>
            </w:pPr>
            <w:r>
              <w:rPr>
                <w:rFonts w:hint="eastAsia" w:ascii="宋体" w:hAnsi="宋体" w:cs="宋体"/>
                <w:kern w:val="0"/>
                <w:sz w:val="24"/>
                <w:lang w:eastAsia="zh-CN"/>
              </w:rPr>
              <w:t>效益指标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指标1：低收入老年人获得感、幸福感</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稳步提升</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cs="宋体"/>
                <w:kern w:val="0"/>
                <w:sz w:val="24"/>
              </w:rPr>
              <w:t>稳步提升</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指标1：低收入老年人获得感、幸福感</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cs="宋体"/>
                <w:kern w:val="0"/>
                <w:sz w:val="24"/>
              </w:rPr>
              <w:t>稳步提升</w:t>
            </w:r>
          </w:p>
        </w:tc>
      </w:tr>
      <w:tr>
        <w:tblPrEx>
          <w:tblCellMar>
            <w:top w:w="0" w:type="dxa"/>
            <w:left w:w="108" w:type="dxa"/>
            <w:bottom w:w="0" w:type="dxa"/>
            <w:right w:w="108" w:type="dxa"/>
          </w:tblCellMar>
        </w:tblPrEx>
        <w:trPr>
          <w:trHeight w:val="312"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p>
        </w:tc>
        <w:tc>
          <w:tcPr>
            <w:tcW w:w="857"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可持续影响指标</w:t>
            </w: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cs="宋体"/>
                <w:kern w:val="0"/>
                <w:sz w:val="24"/>
                <w:lang w:eastAsia="zh-CN"/>
              </w:rPr>
              <w:t>指标</w:t>
            </w:r>
            <w:r>
              <w:rPr>
                <w:rFonts w:hint="eastAsia" w:ascii="宋体" w:hAnsi="宋体" w:cs="宋体"/>
                <w:kern w:val="0"/>
                <w:sz w:val="24"/>
                <w:lang w:val="en-US" w:eastAsia="zh-CN"/>
              </w:rPr>
              <w:t>1：社会养老服务体系建设</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不断完善</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cs="宋体"/>
                <w:kern w:val="0"/>
                <w:sz w:val="24"/>
              </w:rPr>
              <w:t>不断完善</w:t>
            </w:r>
          </w:p>
        </w:tc>
        <w:tc>
          <w:tcPr>
            <w:tcW w:w="1226"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可持续影响指标</w:t>
            </w: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指标</w:t>
            </w:r>
            <w:r>
              <w:rPr>
                <w:rFonts w:hint="eastAsia" w:ascii="宋体" w:hAnsi="宋体" w:cs="宋体"/>
                <w:kern w:val="0"/>
                <w:sz w:val="24"/>
                <w:lang w:val="en-US" w:eastAsia="zh-CN"/>
              </w:rPr>
              <w:t>1：社会养老服务体系建设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指标1：不断完善</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2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2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xml:space="preserve"> 指标1：不断完善</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r>
    </w:tbl>
    <w:p>
      <w:pPr>
        <w:pStyle w:val="2"/>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7</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分散五保供养老人和建档立卡贫困户中的一级残疾人生活费</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仿宋" w:eastAsia="仿宋_GB2312"/>
          <w:color w:val="auto"/>
          <w:sz w:val="32"/>
          <w:szCs w:val="32"/>
        </w:rPr>
        <w:t>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。《宿州市人民政府办公室关于印发宿州市分散供养失能五保老人和建档立卡贫困户中的一级残疾人集中入住供养工作实施方案的通知》宿州市人民政府  宿政办秘﹝2018﹞32 号）文件。</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财政拨款216</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eastAsia="仿宋_GB2312"/>
          <w:color w:val="auto"/>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720"/>
        <w:gridCol w:w="1375"/>
        <w:gridCol w:w="955"/>
        <w:gridCol w:w="1045"/>
        <w:gridCol w:w="146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20" w:type="dxa"/>
            <w:tcBorders>
              <w:top w:val="nil"/>
              <w:left w:val="nil"/>
              <w:bottom w:val="nil"/>
              <w:right w:val="nil"/>
            </w:tcBorders>
            <w:vAlign w:val="center"/>
          </w:tcPr>
          <w:p>
            <w:pPr>
              <w:widowControl/>
              <w:jc w:val="left"/>
              <w:rPr>
                <w:rFonts w:ascii="宋体" w:hAnsi="宋体" w:cs="宋体"/>
                <w:color w:val="auto"/>
                <w:kern w:val="0"/>
                <w:sz w:val="24"/>
              </w:rPr>
            </w:pPr>
          </w:p>
        </w:tc>
        <w:tc>
          <w:tcPr>
            <w:tcW w:w="1375"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1045" w:type="dxa"/>
            <w:tcBorders>
              <w:top w:val="nil"/>
              <w:left w:val="nil"/>
              <w:bottom w:val="nil"/>
              <w:right w:val="nil"/>
            </w:tcBorders>
            <w:vAlign w:val="center"/>
          </w:tcPr>
          <w:p>
            <w:pPr>
              <w:widowControl/>
              <w:jc w:val="left"/>
              <w:rPr>
                <w:rFonts w:ascii="宋体" w:hAnsi="宋体" w:cs="宋体"/>
                <w:color w:val="auto"/>
                <w:kern w:val="0"/>
                <w:sz w:val="24"/>
              </w:rPr>
            </w:pPr>
          </w:p>
        </w:tc>
        <w:tc>
          <w:tcPr>
            <w:tcW w:w="146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040"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923"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分散五保供养老人和建档立卡贫困户中的一级残疾人生活费</w:t>
            </w:r>
          </w:p>
        </w:tc>
      </w:tr>
      <w:tr>
        <w:tblPrEx>
          <w:tblCellMar>
            <w:top w:w="0" w:type="dxa"/>
            <w:left w:w="108" w:type="dxa"/>
            <w:bottom w:w="0" w:type="dxa"/>
            <w:right w:w="108" w:type="dxa"/>
          </w:tblCellMar>
        </w:tblPrEx>
        <w:trPr>
          <w:trHeight w:val="439" w:hRule="atLeast"/>
          <w:jc w:val="center"/>
        </w:trPr>
        <w:tc>
          <w:tcPr>
            <w:tcW w:w="2040"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75"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040"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75"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040"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val="en-US" w:eastAsia="zh-CN"/>
              </w:rPr>
              <w:t>216</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216</w:t>
            </w:r>
          </w:p>
        </w:tc>
      </w:tr>
      <w:tr>
        <w:tblPrEx>
          <w:tblCellMar>
            <w:top w:w="0" w:type="dxa"/>
            <w:left w:w="108" w:type="dxa"/>
            <w:bottom w:w="0" w:type="dxa"/>
            <w:right w:w="108" w:type="dxa"/>
          </w:tblCellMar>
        </w:tblPrEx>
        <w:trPr>
          <w:trHeight w:val="439" w:hRule="atLeast"/>
          <w:jc w:val="center"/>
        </w:trPr>
        <w:tc>
          <w:tcPr>
            <w:tcW w:w="204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216</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216</w:t>
            </w:r>
          </w:p>
        </w:tc>
      </w:tr>
      <w:tr>
        <w:tblPrEx>
          <w:tblCellMar>
            <w:top w:w="0" w:type="dxa"/>
            <w:left w:w="108" w:type="dxa"/>
            <w:bottom w:w="0" w:type="dxa"/>
            <w:right w:w="108" w:type="dxa"/>
          </w:tblCellMar>
        </w:tblPrEx>
        <w:trPr>
          <w:trHeight w:val="439" w:hRule="atLeast"/>
          <w:jc w:val="center"/>
        </w:trPr>
        <w:tc>
          <w:tcPr>
            <w:tcW w:w="204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9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54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9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tc>
        <w:tc>
          <w:tcPr>
            <w:tcW w:w="554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有效解决农村分散供养失能五保老人和建档立卡贫困户中的一级残疾人生活无人照料或亲友没有能力照料的问题，将有意愿入住乡镇卫生院或乡镇敬老院集中供养的农村分散供养失能五保老人和建档立卡贫困户中的一级残疾人实行集中供养。</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3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72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指标1：人数为动态调整</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≥100人</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eastAsia" w:ascii="宋体" w:hAnsi="宋体" w:eastAsia="宋体" w:cs="宋体"/>
                <w:i w:val="0"/>
                <w:color w:val="auto"/>
                <w:kern w:val="0"/>
                <w:sz w:val="20"/>
                <w:szCs w:val="20"/>
                <w:u w:val="none"/>
                <w:lang w:val="en-US" w:eastAsia="zh-CN" w:bidi="ar"/>
              </w:rPr>
              <w:t>100</w:t>
            </w:r>
            <w:r>
              <w:rPr>
                <w:rFonts w:hint="eastAsia" w:ascii="宋体" w:hAnsi="宋体" w:cs="宋体"/>
                <w:i w:val="0"/>
                <w:color w:val="auto"/>
                <w:kern w:val="0"/>
                <w:sz w:val="20"/>
                <w:szCs w:val="20"/>
                <w:u w:val="none"/>
                <w:lang w:val="en-US" w:eastAsia="zh-CN" w:bidi="ar"/>
              </w:rPr>
              <w:t>%</w:t>
            </w:r>
          </w:p>
        </w:tc>
        <w:tc>
          <w:tcPr>
            <w:tcW w:w="146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指标1：人数为动态调整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≥100人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100</w:t>
            </w:r>
            <w:r>
              <w:rPr>
                <w:rFonts w:hint="eastAsia" w:ascii="宋体" w:hAnsi="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720"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466"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720"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指标1：补贴资金在规定时间内支付到位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46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37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指标1：补助标准每人每月（市、区财政按4：6比例承担）</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3000元/人/月</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lang w:val="en-US" w:eastAsia="zh-CN"/>
              </w:rPr>
              <w:t>按标准发放</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指标1：补助标准每人每月（市、区财政按4：6比例承担）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3000元/人/月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eastAsia"/>
                <w:lang w:val="en-US" w:eastAsia="zh-CN"/>
              </w:rPr>
              <w:t>按标准发放</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3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解决失能老人照料</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效果明显</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效果明显</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解决失能老人照料</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效果明显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效果明显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8</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高龄津贴</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1）项目概述。推进社会养老服务体系建设，加快建设与我区经济社会发展水平相适应、与老年人养老服务实际需求相匹配的社会养老服务体系，为我区80周岁以上老年人发放高龄津贴，改善高龄老人生活、健康条件，提升老人幸福感、获得感。</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（2）立项依据。埇政办秘〔2014〕68号</w:t>
      </w:r>
      <w:r>
        <w:rPr>
          <w:rFonts w:hint="eastAsia" w:ascii="仿宋_GB2312" w:hAnsi="楷体" w:eastAsia="仿宋_GB2312"/>
          <w:sz w:val="32"/>
          <w:szCs w:val="32"/>
          <w:lang w:eastAsia="zh-CN"/>
        </w:rPr>
        <w:t>。</w:t>
      </w:r>
    </w:p>
    <w:p>
      <w:pPr>
        <w:adjustRightInd w:val="0"/>
        <w:snapToGrid w:val="0"/>
        <w:spacing w:line="600" w:lineRule="exact"/>
        <w:ind w:firstLine="320" w:firstLineChars="1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val="en-US" w:eastAsia="zh-CN"/>
        </w:rPr>
        <w:t>(4)</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推进社会养老服务体系建设，加快建设与我区经济社会发展水平相适应、与老年人养老服务实际需求相匹配的社会养老服务体系，为我区80周岁以上老年人发放高龄津贴，改善高龄老人生活、健康条件，提升老人幸福感、获得感。</w:t>
      </w:r>
    </w:p>
    <w:p>
      <w:pPr>
        <w:adjustRightInd w:val="0"/>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财政拨款2340</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eastAsia="仿宋_GB231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r>
        <w:rPr>
          <w:rFonts w:hint="eastAsia" w:ascii="仿宋_GB2312" w:hAnsi="楷体" w:eastAsia="仿宋_GB2312"/>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778"/>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55" w:type="dxa"/>
            <w:tcBorders>
              <w:top w:val="nil"/>
              <w:left w:val="nil"/>
              <w:bottom w:val="nil"/>
              <w:right w:val="nil"/>
            </w:tcBorders>
            <w:vAlign w:val="center"/>
          </w:tcPr>
          <w:p>
            <w:pPr>
              <w:widowControl/>
              <w:jc w:val="left"/>
              <w:rPr>
                <w:rFonts w:ascii="宋体" w:hAnsi="宋体" w:cs="宋体"/>
                <w:kern w:val="0"/>
                <w:sz w:val="24"/>
              </w:rPr>
            </w:pPr>
          </w:p>
        </w:tc>
        <w:tc>
          <w:tcPr>
            <w:tcW w:w="778" w:type="dxa"/>
            <w:tcBorders>
              <w:top w:val="nil"/>
              <w:left w:val="nil"/>
              <w:bottom w:val="nil"/>
              <w:right w:val="nil"/>
            </w:tcBorders>
            <w:vAlign w:val="center"/>
          </w:tcPr>
          <w:p>
            <w:pPr>
              <w:widowControl/>
              <w:jc w:val="left"/>
              <w:rPr>
                <w:rFonts w:ascii="宋体" w:hAnsi="宋体" w:cs="宋体"/>
                <w:kern w:val="0"/>
                <w:sz w:val="24"/>
              </w:rPr>
            </w:pPr>
          </w:p>
        </w:tc>
        <w:tc>
          <w:tcPr>
            <w:tcW w:w="1733"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高龄津贴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both"/>
              <w:rPr>
                <w:rFonts w:hint="default" w:ascii="宋体" w:hAnsi="宋体" w:eastAsia="宋体" w:cs="宋体"/>
                <w:kern w:val="0"/>
                <w:sz w:val="24"/>
                <w:lang w:val="en-US" w:eastAsia="zh-CN"/>
              </w:rPr>
            </w:pPr>
            <w:r>
              <w:rPr>
                <w:rFonts w:hint="eastAsia" w:ascii="宋体" w:hAnsi="宋体" w:cs="宋体"/>
                <w:kern w:val="0"/>
                <w:sz w:val="24"/>
                <w:lang w:val="en-US" w:eastAsia="zh-CN"/>
              </w:rPr>
              <w:t>2340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7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享受高龄津贴人数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80-89周岁35000人，90-99周岁10000人，100周岁及以上250人，低保老人7000人</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cs="宋体"/>
                <w:color w:val="auto"/>
                <w:kern w:val="0"/>
                <w:sz w:val="24"/>
              </w:rPr>
              <w:t>80-89周岁35000人，90-99周岁10000人，100周岁及以上250人，低保老人7000人</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享受高龄津贴人数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80-89周岁35000人，90-99周岁10000人，100周岁及以上250人，低保老人7000人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80-89周岁35000人，90-99周岁10000人，100周岁及以上250人，低保老人7000人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0"/>
                <w:szCs w:val="20"/>
                <w:u w:val="none"/>
                <w:lang w:val="en-US" w:eastAsia="zh-CN" w:bidi="ar"/>
              </w:rPr>
              <w:t>≥90%</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kern w:val="0"/>
                <w:sz w:val="24"/>
              </w:rPr>
            </w:pPr>
            <w:r>
              <w:rPr>
                <w:rFonts w:ascii="宋体" w:hAnsi="宋体" w:eastAsia="宋体" w:cs="宋体"/>
                <w:i w:val="0"/>
                <w:color w:val="auto"/>
                <w:kern w:val="0"/>
                <w:sz w:val="20"/>
                <w:szCs w:val="20"/>
                <w:u w:val="none"/>
                <w:lang w:val="en-US" w:eastAsia="zh-CN" w:bidi="ar"/>
              </w:rPr>
              <w:t>≥90%</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补助资金在规定时间内发放到位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Style w:val="5"/>
                <w:color w:val="auto"/>
                <w:lang w:val="en-US" w:eastAsia="zh-CN" w:bidi="ar"/>
              </w:rPr>
              <w:t>≥90</w:t>
            </w:r>
            <w:r>
              <w:rPr>
                <w:rStyle w:val="6"/>
                <w:color w:val="auto"/>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Style w:val="5"/>
                <w:color w:val="auto"/>
                <w:lang w:val="en-US" w:eastAsia="zh-CN" w:bidi="ar"/>
              </w:rPr>
              <w:t>≥90</w:t>
            </w:r>
            <w:r>
              <w:rPr>
                <w:rStyle w:val="6"/>
                <w:color w:val="auto"/>
                <w:lang w:val="en-US" w:eastAsia="zh-CN" w:bidi="ar"/>
              </w:rPr>
              <w:t>%</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补助资金在规定时间内发放到位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Style w:val="5"/>
                <w:color w:val="auto"/>
                <w:lang w:val="en-US" w:eastAsia="zh-CN" w:bidi="ar"/>
              </w:rPr>
              <w:t>≥90</w:t>
            </w:r>
            <w:r>
              <w:rPr>
                <w:rStyle w:val="6"/>
                <w:color w:val="auto"/>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Style w:val="5"/>
                <w:color w:val="auto"/>
                <w:lang w:val="en-US" w:eastAsia="zh-CN" w:bidi="ar"/>
              </w:rPr>
              <w:t>≥90</w:t>
            </w:r>
            <w:r>
              <w:rPr>
                <w:rStyle w:val="6"/>
                <w:color w:val="auto"/>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高龄津贴标准</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80-89周岁30元/月/人，90-99周岁50元/月/人，低保人员50元/月/人，百岁200元/月/人</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2"/>
                <w:szCs w:val="22"/>
                <w:u w:val="none"/>
                <w:lang w:val="en-US" w:eastAsia="zh-CN" w:bidi="ar"/>
              </w:rPr>
              <w:t>按标准执行</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高龄津贴标准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80-89周岁30元/月/人，90-99周岁50元/月/人，低保人员50元/月/人，百岁200元/月/人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2"/>
                <w:szCs w:val="22"/>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改善高龄老人生活、健康条件</w:t>
            </w:r>
          </w:p>
        </w:tc>
        <w:tc>
          <w:tcPr>
            <w:tcW w:w="9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7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改善高龄老人生活、健康条件</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加快老年人社会保障体系建设，推进老年人社会福利由补缺型向适度惠普型转变使老年人共享改革发展成果</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加快老年人社会保障体系建设，推进老年人社会福利由补缺型向适度惠普型转变使老年人共享改革发展成果</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享受高龄津贴人群满意度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享受高龄津贴人群满意度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9</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孤儿基本生活费（社会散居）</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孤儿基本生活费保障失去父母、查找不到生父母且未被依法收养的未满18周岁的孤儿；父母因重大困难无法履行抚养和监护责任的事实无人抚养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18周岁的未成年人；未满18周岁的感染艾滋病病毒的未成年人。目前我区保障标准为社会散居孤儿每人每月基本生活费标准为1100元，福利机构集中养育孤儿每人每月为1510元，事实无人抚养儿童参照上述孤儿保障标准执行。孤儿基本生活费对保障我区孤儿和事实无人抚养儿童生存权和发展权有积极重要的作用。</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《宿州市埇桥区2021年孤儿基本生活保障实施方案》宿民发（[2021]42号）文件。</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孤儿基本生活费保障失去父母、查找不到生父母且未被依法收养的未满18周岁的孤儿；父母因重大困难无法履行抚养和监护责任的事实无人抚养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18周岁的未成年人；未满18周岁的感染艾滋病病毒的未成年人。目前我区保障标准为社会散居孤儿每人每月基本生活费标准为1100元，福利机构集中养育孤儿每人每月为1510元，事实无人抚养儿童参照上述孤儿保障标准执行。孤儿基本生活费对保障我区孤儿和事实无人抚养儿童生存权和发展权有积极重要的作用。</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财政拨款844</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8</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348"/>
        <w:gridCol w:w="845"/>
        <w:gridCol w:w="1300"/>
        <w:gridCol w:w="1211"/>
        <w:gridCol w:w="1178"/>
        <w:gridCol w:w="1333"/>
        <w:gridCol w:w="1571"/>
      </w:tblGrid>
      <w:tr>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348" w:type="dxa"/>
            <w:tcBorders>
              <w:top w:val="nil"/>
              <w:left w:val="nil"/>
              <w:bottom w:val="nil"/>
              <w:right w:val="nil"/>
            </w:tcBorders>
            <w:vAlign w:val="center"/>
          </w:tcPr>
          <w:p>
            <w:pPr>
              <w:widowControl/>
              <w:jc w:val="left"/>
              <w:rPr>
                <w:rFonts w:ascii="宋体" w:hAnsi="宋体" w:cs="宋体"/>
                <w:color w:val="auto"/>
                <w:kern w:val="0"/>
                <w:sz w:val="24"/>
              </w:rPr>
            </w:pPr>
          </w:p>
        </w:tc>
        <w:tc>
          <w:tcPr>
            <w:tcW w:w="845" w:type="dxa"/>
            <w:tcBorders>
              <w:top w:val="nil"/>
              <w:left w:val="nil"/>
              <w:bottom w:val="nil"/>
              <w:right w:val="nil"/>
            </w:tcBorders>
            <w:vAlign w:val="center"/>
          </w:tcPr>
          <w:p>
            <w:pPr>
              <w:widowControl/>
              <w:jc w:val="left"/>
              <w:rPr>
                <w:rFonts w:ascii="宋体" w:hAnsi="宋体" w:cs="宋体"/>
                <w:color w:val="auto"/>
                <w:kern w:val="0"/>
                <w:sz w:val="24"/>
              </w:rPr>
            </w:pPr>
          </w:p>
        </w:tc>
        <w:tc>
          <w:tcPr>
            <w:tcW w:w="1300" w:type="dxa"/>
            <w:tcBorders>
              <w:top w:val="nil"/>
              <w:left w:val="nil"/>
              <w:bottom w:val="nil"/>
              <w:right w:val="nil"/>
            </w:tcBorders>
            <w:vAlign w:val="center"/>
          </w:tcPr>
          <w:p>
            <w:pPr>
              <w:widowControl/>
              <w:jc w:val="left"/>
              <w:rPr>
                <w:rFonts w:ascii="宋体" w:hAnsi="宋体" w:cs="宋体"/>
                <w:color w:val="auto"/>
                <w:kern w:val="0"/>
                <w:sz w:val="24"/>
              </w:rPr>
            </w:pPr>
          </w:p>
        </w:tc>
        <w:tc>
          <w:tcPr>
            <w:tcW w:w="121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rPr>
              <w:t>孤儿基本生活费</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社会</w:t>
            </w:r>
            <w:r>
              <w:rPr>
                <w:rFonts w:hint="eastAsia" w:ascii="宋体" w:hAnsi="宋体" w:cs="宋体"/>
                <w:color w:val="auto"/>
                <w:kern w:val="0"/>
                <w:sz w:val="24"/>
                <w:lang w:eastAsia="zh-CN"/>
              </w:rPr>
              <w:t>散居）</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9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9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项目资金</w:t>
            </w:r>
            <w:r>
              <w:rPr>
                <w:rFonts w:hint="eastAsia" w:ascii="宋体" w:hAnsi="宋体" w:cs="宋体"/>
                <w:color w:val="auto"/>
                <w:kern w:val="0"/>
                <w:sz w:val="24"/>
              </w:rPr>
              <w:br w:type="textWrapping"/>
            </w:r>
            <w:r>
              <w:rPr>
                <w:rFonts w:hint="eastAsia" w:ascii="宋体" w:hAnsi="宋体" w:cs="宋体"/>
                <w:color w:val="auto"/>
                <w:kern w:val="0"/>
                <w:sz w:val="24"/>
              </w:rPr>
              <w:t>（万元）</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中期资金总额：</w:t>
            </w:r>
          </w:p>
        </w:tc>
        <w:tc>
          <w:tcPr>
            <w:tcW w:w="214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844.8</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color w:val="auto"/>
                <w:kern w:val="0"/>
                <w:sz w:val="24"/>
                <w:lang w:val="en-US"/>
              </w:rPr>
            </w:pPr>
            <w:r>
              <w:rPr>
                <w:rFonts w:hint="eastAsia" w:ascii="宋体" w:hAnsi="宋体" w:cs="宋体"/>
                <w:color w:val="auto"/>
                <w:kern w:val="0"/>
                <w:sz w:val="24"/>
                <w:lang w:val="en-US" w:eastAsia="zh-CN"/>
              </w:rPr>
              <w:t>844.8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其中：财政拨款</w:t>
            </w:r>
          </w:p>
        </w:tc>
        <w:tc>
          <w:tcPr>
            <w:tcW w:w="214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color w:val="auto"/>
                <w:kern w:val="0"/>
                <w:sz w:val="24"/>
                <w:lang w:val="en-US"/>
              </w:rPr>
            </w:pPr>
            <w:r>
              <w:rPr>
                <w:rFonts w:hint="eastAsia" w:ascii="宋体" w:hAnsi="宋体" w:cs="宋体"/>
                <w:color w:val="auto"/>
                <w:kern w:val="0"/>
                <w:sz w:val="24"/>
                <w:lang w:val="en-US" w:eastAsia="zh-CN"/>
              </w:rPr>
              <w:t>844.8</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color w:val="auto"/>
                <w:kern w:val="0"/>
                <w:sz w:val="24"/>
                <w:lang w:val="en-US"/>
              </w:rPr>
            </w:pPr>
            <w:r>
              <w:rPr>
                <w:rFonts w:hint="eastAsia" w:ascii="宋体" w:hAnsi="宋体" w:cs="宋体"/>
                <w:color w:val="auto"/>
                <w:kern w:val="0"/>
                <w:sz w:val="24"/>
                <w:lang w:val="en-US" w:eastAsia="zh-CN"/>
              </w:rPr>
              <w:t>844.8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14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总</w:t>
            </w:r>
            <w:r>
              <w:rPr>
                <w:rFonts w:hint="eastAsia" w:ascii="宋体" w:hAnsi="宋体" w:cs="宋体"/>
                <w:color w:val="auto"/>
                <w:kern w:val="0"/>
                <w:sz w:val="24"/>
              </w:rPr>
              <w:br w:type="textWrapping"/>
            </w:r>
            <w:r>
              <w:rPr>
                <w:rFonts w:hint="eastAsia" w:ascii="宋体" w:hAnsi="宋体" w:cs="宋体"/>
                <w:color w:val="auto"/>
                <w:kern w:val="0"/>
                <w:sz w:val="24"/>
              </w:rPr>
              <w:t>体</w:t>
            </w:r>
            <w:r>
              <w:rPr>
                <w:rFonts w:hint="eastAsia" w:ascii="宋体" w:hAnsi="宋体" w:cs="宋体"/>
                <w:color w:val="auto"/>
                <w:kern w:val="0"/>
                <w:sz w:val="24"/>
              </w:rPr>
              <w:br w:type="textWrapping"/>
            </w:r>
            <w:r>
              <w:rPr>
                <w:rFonts w:hint="eastAsia" w:ascii="宋体" w:hAnsi="宋体" w:cs="宋体"/>
                <w:color w:val="auto"/>
                <w:kern w:val="0"/>
                <w:sz w:val="24"/>
              </w:rPr>
              <w:t>目</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5050" w:type="dxa"/>
            <w:gridSpan w:val="5"/>
            <w:tcBorders>
              <w:top w:val="single" w:color="auto" w:sz="4" w:space="0"/>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中期目标（20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1月</w:t>
            </w:r>
            <w:r>
              <w:rPr>
                <w:rFonts w:hint="eastAsia" w:ascii="宋体" w:hAnsi="宋体" w:cs="宋体"/>
                <w:color w:val="auto"/>
                <w:kern w:val="0"/>
                <w:sz w:val="24"/>
              </w:rPr>
              <w:t>—20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12月</w:t>
            </w:r>
            <w:r>
              <w:rPr>
                <w:rFonts w:hint="eastAsia" w:ascii="宋体" w:hAnsi="宋体" w:cs="宋体"/>
                <w:color w:val="auto"/>
                <w:kern w:val="0"/>
                <w:sz w:val="24"/>
              </w:rPr>
              <w:t>）</w:t>
            </w:r>
          </w:p>
        </w:tc>
        <w:tc>
          <w:tcPr>
            <w:tcW w:w="529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505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目标1：进一步规范我区城乡孤儿、事实无人抚养儿童基本生活保障制度，保障其生存、保护和发展权益。</w:t>
            </w:r>
          </w:p>
        </w:tc>
        <w:tc>
          <w:tcPr>
            <w:tcW w:w="529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目标1：进一步规范我区城乡孤儿、事实无人抚养儿童基本生活保障制度，保障其生存、保护和发展权益。</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w:t>
            </w:r>
            <w:r>
              <w:rPr>
                <w:rFonts w:hint="eastAsia" w:ascii="宋体" w:hAnsi="宋体" w:cs="宋体"/>
                <w:color w:val="auto"/>
                <w:kern w:val="0"/>
                <w:sz w:val="24"/>
              </w:rPr>
              <w:br w:type="textWrapping"/>
            </w:r>
            <w:r>
              <w:rPr>
                <w:rFonts w:hint="eastAsia" w:ascii="宋体" w:hAnsi="宋体" w:cs="宋体"/>
                <w:color w:val="auto"/>
                <w:kern w:val="0"/>
                <w:sz w:val="24"/>
              </w:rPr>
              <w:t>效</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3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8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34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指标1</w:t>
            </w:r>
            <w:r>
              <w:rPr>
                <w:rFonts w:hint="eastAsia" w:ascii="宋体" w:hAnsi="宋体" w:cs="宋体"/>
                <w:color w:val="auto"/>
                <w:kern w:val="0"/>
                <w:sz w:val="24"/>
                <w:lang w:eastAsia="zh-CN"/>
              </w:rPr>
              <w:t>：散居孤儿</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0人</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100%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eastAsia="zh-CN"/>
              </w:rPr>
              <w:t>：散居孤儿</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补贴社会化发放率</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21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指标1：社会散居孤儿每人每月标准</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每人每月1</w:t>
            </w:r>
            <w:r>
              <w:rPr>
                <w:rFonts w:hint="eastAsia" w:ascii="宋体" w:hAnsi="宋体" w:cs="宋体"/>
                <w:i w:val="0"/>
                <w:color w:val="auto"/>
                <w:kern w:val="0"/>
                <w:sz w:val="20"/>
                <w:szCs w:val="20"/>
                <w:u w:val="none"/>
                <w:lang w:val="en-US" w:eastAsia="zh-CN" w:bidi="ar"/>
              </w:rPr>
              <w:t>100</w:t>
            </w:r>
            <w:r>
              <w:rPr>
                <w:rFonts w:hint="eastAsia" w:ascii="宋体" w:hAnsi="宋体" w:eastAsia="宋体" w:cs="宋体"/>
                <w:i w:val="0"/>
                <w:color w:val="auto"/>
                <w:kern w:val="0"/>
                <w:sz w:val="20"/>
                <w:szCs w:val="20"/>
                <w:u w:val="none"/>
                <w:lang w:val="en-US" w:eastAsia="zh-CN" w:bidi="ar"/>
              </w:rPr>
              <w:t>元</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pPr>
            <w:r>
              <w:rPr>
                <w:rFonts w:hint="eastAsia"/>
                <w:lang w:val="en-US" w:eastAsia="zh-CN"/>
              </w:rPr>
              <w:t>按标准执行</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指标1：社会散居孤儿每人每月标准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每人每月1</w:t>
            </w:r>
            <w:r>
              <w:rPr>
                <w:rFonts w:hint="eastAsia" w:ascii="宋体" w:hAnsi="宋体" w:cs="宋体"/>
                <w:i w:val="0"/>
                <w:color w:val="auto"/>
                <w:kern w:val="0"/>
                <w:sz w:val="20"/>
                <w:szCs w:val="20"/>
                <w:u w:val="none"/>
                <w:lang w:val="en-US" w:eastAsia="zh-CN" w:bidi="ar"/>
              </w:rPr>
              <w:t>100</w:t>
            </w:r>
            <w:r>
              <w:rPr>
                <w:rFonts w:hint="eastAsia" w:ascii="宋体" w:hAnsi="宋体" w:eastAsia="宋体" w:cs="宋体"/>
                <w:i w:val="0"/>
                <w:color w:val="auto"/>
                <w:kern w:val="0"/>
                <w:sz w:val="20"/>
                <w:szCs w:val="20"/>
                <w:u w:val="none"/>
                <w:lang w:val="en-US" w:eastAsia="zh-CN" w:bidi="ar"/>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Times New Roman" w:hAnsi="Times New Roman" w:eastAsia="宋体" w:cs="Times New Roman"/>
                <w:kern w:val="2"/>
                <w:sz w:val="21"/>
                <w:szCs w:val="24"/>
                <w:lang w:val="en-US" w:eastAsia="zh-CN" w:bidi="ar-SA"/>
              </w:rPr>
            </w:pPr>
            <w:r>
              <w:rPr>
                <w:rFonts w:hint="eastAsia"/>
                <w:lang w:val="en-US" w:eastAsia="zh-CN"/>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指标1：孤儿生活水平提升情况</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指标1：孤儿生活水平提升情况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指标1：孤儿基本生活保障制度</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指标1：孤儿基本生活保障制度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救助服务</w:t>
            </w:r>
            <w:r>
              <w:rPr>
                <w:rFonts w:hint="eastAsia" w:ascii="宋体" w:hAnsi="宋体" w:cs="宋体"/>
                <w:i w:val="0"/>
                <w:color w:val="auto"/>
                <w:kern w:val="0"/>
                <w:sz w:val="22"/>
                <w:szCs w:val="22"/>
                <w:u w:val="none"/>
                <w:lang w:val="en-US" w:eastAsia="zh-CN" w:bidi="ar"/>
              </w:rPr>
              <w:t>对象</w:t>
            </w:r>
            <w:r>
              <w:rPr>
                <w:rFonts w:hint="eastAsia" w:ascii="宋体" w:hAnsi="宋体" w:eastAsia="宋体" w:cs="宋体"/>
                <w:i w:val="0"/>
                <w:color w:val="auto"/>
                <w:kern w:val="0"/>
                <w:sz w:val="22"/>
                <w:szCs w:val="22"/>
                <w:u w:val="none"/>
                <w:lang w:val="en-US" w:eastAsia="zh-CN" w:bidi="ar"/>
              </w:rPr>
              <w:t>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10</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eastAsia="zh-CN"/>
        </w:rPr>
        <w:t>敬老院运营维护</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主要用于补助特困供养人员产生的额外生活支出和长期照护支出。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农村特困供养人员按照生活自理能力和失能失智情况分为全护理、半护理，护理标准分别为每人每月100元、150元；集中供养特困人员按照全护理、半护理标准分别为每人每月300元、200元。</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（2）立项依据。宿民发〔2021〕31号关于印发《宿州市特困人员救助供养实施办法》的通知、关于征求《调整提高我市2021年最低生活保障标准和特困人员供养标准的方案（征求意见稿）》的通知</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主要用于补助特困供养人员产生的额外生活支出和长期照护支出。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财政拨款676</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62</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348"/>
        <w:gridCol w:w="845"/>
        <w:gridCol w:w="1300"/>
        <w:gridCol w:w="121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348" w:type="dxa"/>
            <w:tcBorders>
              <w:top w:val="nil"/>
              <w:left w:val="nil"/>
              <w:bottom w:val="nil"/>
              <w:right w:val="nil"/>
            </w:tcBorders>
            <w:vAlign w:val="center"/>
          </w:tcPr>
          <w:p>
            <w:pPr>
              <w:widowControl/>
              <w:jc w:val="left"/>
              <w:rPr>
                <w:rFonts w:ascii="宋体" w:hAnsi="宋体" w:cs="宋体"/>
                <w:color w:val="auto"/>
                <w:kern w:val="0"/>
                <w:sz w:val="24"/>
              </w:rPr>
            </w:pPr>
          </w:p>
        </w:tc>
        <w:tc>
          <w:tcPr>
            <w:tcW w:w="845" w:type="dxa"/>
            <w:tcBorders>
              <w:top w:val="nil"/>
              <w:left w:val="nil"/>
              <w:bottom w:val="nil"/>
              <w:right w:val="nil"/>
            </w:tcBorders>
            <w:vAlign w:val="center"/>
          </w:tcPr>
          <w:p>
            <w:pPr>
              <w:widowControl/>
              <w:jc w:val="left"/>
              <w:rPr>
                <w:rFonts w:ascii="宋体" w:hAnsi="宋体" w:cs="宋体"/>
                <w:color w:val="auto"/>
                <w:kern w:val="0"/>
                <w:sz w:val="24"/>
              </w:rPr>
            </w:pPr>
          </w:p>
        </w:tc>
        <w:tc>
          <w:tcPr>
            <w:tcW w:w="1300" w:type="dxa"/>
            <w:tcBorders>
              <w:top w:val="nil"/>
              <w:left w:val="nil"/>
              <w:bottom w:val="nil"/>
              <w:right w:val="nil"/>
            </w:tcBorders>
            <w:vAlign w:val="center"/>
          </w:tcPr>
          <w:p>
            <w:pPr>
              <w:widowControl/>
              <w:jc w:val="left"/>
              <w:rPr>
                <w:rFonts w:ascii="宋体" w:hAnsi="宋体" w:cs="宋体"/>
                <w:color w:val="auto"/>
                <w:kern w:val="0"/>
                <w:sz w:val="24"/>
              </w:rPr>
            </w:pPr>
          </w:p>
        </w:tc>
        <w:tc>
          <w:tcPr>
            <w:tcW w:w="121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敬老院运营维护</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9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9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项目资金</w:t>
            </w:r>
            <w:r>
              <w:rPr>
                <w:rFonts w:hint="eastAsia" w:ascii="宋体" w:hAnsi="宋体" w:cs="宋体"/>
                <w:color w:val="auto"/>
                <w:kern w:val="0"/>
                <w:sz w:val="24"/>
              </w:rPr>
              <w:br w:type="textWrapping"/>
            </w:r>
            <w:r>
              <w:rPr>
                <w:rFonts w:hint="eastAsia" w:ascii="宋体" w:hAnsi="宋体" w:cs="宋体"/>
                <w:color w:val="auto"/>
                <w:kern w:val="0"/>
                <w:sz w:val="24"/>
              </w:rPr>
              <w:t>（万元）</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中期资金总额：</w:t>
            </w:r>
          </w:p>
        </w:tc>
        <w:tc>
          <w:tcPr>
            <w:tcW w:w="214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eastAsia="zh-CN"/>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其中：财政拨款</w:t>
            </w:r>
          </w:p>
        </w:tc>
        <w:tc>
          <w:tcPr>
            <w:tcW w:w="214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left"/>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676</w:t>
            </w:r>
            <w:r>
              <w:rPr>
                <w:rFonts w:hint="eastAsia" w:ascii="宋体" w:hAnsi="宋体" w:cs="宋体"/>
                <w:color w:val="auto"/>
                <w:kern w:val="0"/>
                <w:sz w:val="24"/>
                <w:lang w:val="en-US" w:eastAsia="zh-CN"/>
              </w:rPr>
              <w:t>.</w:t>
            </w:r>
            <w:r>
              <w:rPr>
                <w:rFonts w:hint="eastAsia" w:ascii="宋体" w:hAnsi="宋体" w:cs="宋体"/>
                <w:color w:val="auto"/>
                <w:kern w:val="0"/>
                <w:sz w:val="24"/>
                <w:lang w:eastAsia="zh-CN"/>
              </w:rPr>
              <w:t>62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14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总</w:t>
            </w:r>
            <w:r>
              <w:rPr>
                <w:rFonts w:hint="eastAsia" w:ascii="宋体" w:hAnsi="宋体" w:cs="宋体"/>
                <w:color w:val="auto"/>
                <w:kern w:val="0"/>
                <w:sz w:val="24"/>
              </w:rPr>
              <w:br w:type="textWrapping"/>
            </w:r>
            <w:r>
              <w:rPr>
                <w:rFonts w:hint="eastAsia" w:ascii="宋体" w:hAnsi="宋体" w:cs="宋体"/>
                <w:color w:val="auto"/>
                <w:kern w:val="0"/>
                <w:sz w:val="24"/>
              </w:rPr>
              <w:t>体</w:t>
            </w:r>
            <w:r>
              <w:rPr>
                <w:rFonts w:hint="eastAsia" w:ascii="宋体" w:hAnsi="宋体" w:cs="宋体"/>
                <w:color w:val="auto"/>
                <w:kern w:val="0"/>
                <w:sz w:val="24"/>
              </w:rPr>
              <w:br w:type="textWrapping"/>
            </w:r>
            <w:r>
              <w:rPr>
                <w:rFonts w:hint="eastAsia" w:ascii="宋体" w:hAnsi="宋体" w:cs="宋体"/>
                <w:color w:val="auto"/>
                <w:kern w:val="0"/>
                <w:sz w:val="24"/>
              </w:rPr>
              <w:t>目</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5050" w:type="dxa"/>
            <w:gridSpan w:val="5"/>
            <w:tcBorders>
              <w:top w:val="single" w:color="auto" w:sz="4" w:space="0"/>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中期目标（20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1月</w:t>
            </w:r>
            <w:r>
              <w:rPr>
                <w:rFonts w:hint="eastAsia" w:ascii="宋体" w:hAnsi="宋体" w:cs="宋体"/>
                <w:color w:val="auto"/>
                <w:kern w:val="0"/>
                <w:sz w:val="24"/>
              </w:rPr>
              <w:t>—20</w:t>
            </w:r>
            <w:r>
              <w:rPr>
                <w:rFonts w:hint="eastAsia" w:ascii="宋体" w:hAnsi="宋体" w:cs="宋体"/>
                <w:color w:val="auto"/>
                <w:kern w:val="0"/>
                <w:sz w:val="24"/>
                <w:lang w:val="en-US" w:eastAsia="zh-CN"/>
              </w:rPr>
              <w:t>22</w:t>
            </w:r>
            <w:r>
              <w:rPr>
                <w:rFonts w:hint="eastAsia" w:ascii="宋体" w:hAnsi="宋体" w:cs="宋体"/>
                <w:color w:val="auto"/>
                <w:kern w:val="0"/>
                <w:sz w:val="24"/>
              </w:rPr>
              <w:t>年</w:t>
            </w:r>
            <w:r>
              <w:rPr>
                <w:rFonts w:hint="eastAsia" w:ascii="宋体" w:hAnsi="宋体" w:cs="宋体"/>
                <w:color w:val="auto"/>
                <w:kern w:val="0"/>
                <w:sz w:val="24"/>
                <w:lang w:val="en-US" w:eastAsia="zh-CN"/>
              </w:rPr>
              <w:t>12月</w:t>
            </w:r>
            <w:r>
              <w:rPr>
                <w:rFonts w:hint="eastAsia" w:ascii="宋体" w:hAnsi="宋体" w:cs="宋体"/>
                <w:color w:val="auto"/>
                <w:kern w:val="0"/>
                <w:sz w:val="24"/>
              </w:rPr>
              <w:t>）</w:t>
            </w:r>
          </w:p>
        </w:tc>
        <w:tc>
          <w:tcPr>
            <w:tcW w:w="529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5050" w:type="dxa"/>
            <w:gridSpan w:val="5"/>
            <w:tcBorders>
              <w:top w:val="single" w:color="auto" w:sz="4" w:space="0"/>
              <w:left w:val="nil"/>
              <w:bottom w:val="single" w:color="auto" w:sz="4" w:space="0"/>
              <w:right w:val="nil"/>
            </w:tcBorders>
            <w:vAlign w:val="top"/>
          </w:tcPr>
          <w:p>
            <w:pPr>
              <w:widowControl/>
              <w:jc w:val="left"/>
              <w:rPr>
                <w:rFonts w:hint="eastAsia" w:ascii="宋体" w:hAnsi="宋体" w:cs="宋体"/>
                <w:color w:val="auto"/>
                <w:kern w:val="0"/>
                <w:sz w:val="24"/>
              </w:rPr>
            </w:pPr>
            <w:r>
              <w:rPr>
                <w:rFonts w:hint="eastAsia" w:ascii="宋体" w:hAnsi="宋体" w:cs="宋体"/>
                <w:color w:val="auto"/>
                <w:kern w:val="0"/>
                <w:sz w:val="24"/>
              </w:rPr>
              <w:t>目标1：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农村特困供养人员按照生活自理能力和失能失智情况分为全护理、半护理，护理标准分别为每人每月100元、150元；集中供养特困人员按照全护理、半护理标准分别为每人每月300元、200元。</w:t>
            </w:r>
          </w:p>
        </w:tc>
        <w:tc>
          <w:tcPr>
            <w:tcW w:w="529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cs="宋体"/>
                <w:color w:val="auto"/>
                <w:kern w:val="0"/>
                <w:sz w:val="24"/>
              </w:rPr>
            </w:pPr>
            <w:r>
              <w:rPr>
                <w:rFonts w:hint="eastAsia" w:ascii="宋体" w:hAnsi="宋体" w:cs="宋体"/>
                <w:color w:val="auto"/>
                <w:kern w:val="0"/>
                <w:sz w:val="24"/>
              </w:rPr>
              <w:t>目标1：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2020年，农村集中特困供养敬老院等级评定给予运行维护费用补助。一星级标准每人每年600元、二星级标准每人每年1200元、三星级标准每人每年2400元。</w:t>
            </w:r>
          </w:p>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农村特困供养人员按照生活自理能力和失能失智情况分为全护理、半护理，护理标准分别为每人每月100元、150元；集中供养特困人员按照全护理、半护理标准分别为每人每月300元、200元。</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w:t>
            </w:r>
            <w:r>
              <w:rPr>
                <w:rFonts w:hint="eastAsia" w:ascii="宋体" w:hAnsi="宋体" w:cs="宋体"/>
                <w:color w:val="auto"/>
                <w:kern w:val="0"/>
                <w:sz w:val="24"/>
              </w:rPr>
              <w:br w:type="textWrapping"/>
            </w:r>
            <w:r>
              <w:rPr>
                <w:rFonts w:hint="eastAsia" w:ascii="宋体" w:hAnsi="宋体" w:cs="宋体"/>
                <w:color w:val="auto"/>
                <w:kern w:val="0"/>
                <w:sz w:val="24"/>
              </w:rPr>
              <w:t>效</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3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8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34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指标1</w:t>
            </w:r>
            <w:r>
              <w:rPr>
                <w:rFonts w:hint="eastAsia" w:ascii="宋体" w:hAnsi="宋体" w:cs="宋体"/>
                <w:color w:val="auto"/>
                <w:kern w:val="0"/>
                <w:sz w:val="24"/>
                <w:lang w:eastAsia="zh-CN"/>
              </w:rPr>
              <w:t>：救助人数</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管理人员补助1800元/敬老院星级补助（一星级550人，二星级110人）、管理人员180人、失能失智五保户（分散：半失能234人 、失能237人；集中半失能391人、失能214人）</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100%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eastAsia="zh-CN"/>
              </w:rPr>
              <w:t>：救助人数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管理人员补助1800元/敬老院星级补助（一星级550人，二星级110人）、管理人员180人、失能失智五保户（分散：半失能234人 、失能237人；集中半失能391人、失能214人）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指标1：补贴资金发放准确率</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指标1：补贴资金发放准确率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21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指标1：分段补贴标准</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管理人员补助1800元/月/人、一星级600元/人/年；二星级1200元/人/年、失能失智五保户标准（分散：半失能、失能分别为100元/人/月、150元/人/月、；集中半失能、失能分别200元/人/月、300元/人/月）</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pPr>
            <w:r>
              <w:rPr>
                <w:rFonts w:hint="eastAsia"/>
                <w:lang w:val="en-US" w:eastAsia="zh-CN"/>
              </w:rPr>
              <w:t>按标准执行</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指标1：分段补贴标准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管理人员补助1800元/月/人、一星级600元/人/年；二星级1200元/人/年、失能失智五保户标准（分散：半失能、失能分别为100元/人/月、150元/人/月、；集中半失能、失能分别200元/人/月、300元/人/月）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Times New Roman" w:hAnsi="Times New Roman" w:eastAsia="宋体" w:cs="Times New Roman"/>
                <w:kern w:val="2"/>
                <w:sz w:val="21"/>
                <w:szCs w:val="24"/>
                <w:lang w:val="en-US" w:eastAsia="zh-CN" w:bidi="ar-SA"/>
              </w:rPr>
            </w:pPr>
            <w:r>
              <w:rPr>
                <w:rFonts w:hint="eastAsia"/>
                <w:lang w:val="en-US" w:eastAsia="zh-CN"/>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3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指标1：困难群众生活水平提升情况</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指标1：对健全社会救助体系的影响</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指标1：对健全社会救助体系的影响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指标1：救助对象对社会救助实施的满意度</w:t>
            </w:r>
          </w:p>
        </w:tc>
        <w:tc>
          <w:tcPr>
            <w:tcW w:w="8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21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11</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困难残疾人生活补贴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促进残疾人家庭增收，加快推进残疾人小康进程，着力解决残疾人因残疾产生的额外生活支出和长期照护支出困难。困难残疾人生活补贴指具有埇桥区户籍的最低生活保障对象、建档立卡贫困户等原有政策范围内，持有《中华人民共和国残疾人证》且残疾等级在四级以上（含四级）的残疾人。可将低收入救助对象、因病支出型贫困家庭中的困难残疾人纳入保障范围。</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（2）立项依据。《宿州市2021年困难残疾人生活和重残疾人护理补贴实施办法》宿民发（[2021]43号）文件</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促进残疾人家庭增收，加快推进残疾人小康进程，着力解决残疾人因残疾产生的额外生活支出和长期照护支出困难。困难残疾人生活补贴指具有埇桥区户籍的最低生活保障对象、建档立卡贫困户等原有政策范围内，持有《中华人民共和国残疾人证》且残疾等级在四级以上（含四级）的残疾人。可将低收入救助对象、因病支出型贫困家庭中的困难残疾人纳入保障范围。</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835.2万元。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153"/>
        <w:gridCol w:w="1040"/>
        <w:gridCol w:w="925"/>
        <w:gridCol w:w="158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153" w:type="dxa"/>
            <w:tcBorders>
              <w:top w:val="nil"/>
              <w:left w:val="nil"/>
              <w:bottom w:val="nil"/>
              <w:right w:val="nil"/>
            </w:tcBorders>
            <w:vAlign w:val="center"/>
          </w:tcPr>
          <w:p>
            <w:pPr>
              <w:widowControl/>
              <w:jc w:val="left"/>
              <w:rPr>
                <w:rFonts w:ascii="宋体" w:hAnsi="宋体" w:cs="宋体"/>
                <w:color w:val="auto"/>
                <w:kern w:val="0"/>
                <w:sz w:val="24"/>
              </w:rPr>
            </w:pPr>
          </w:p>
        </w:tc>
        <w:tc>
          <w:tcPr>
            <w:tcW w:w="1040" w:type="dxa"/>
            <w:tcBorders>
              <w:top w:val="nil"/>
              <w:left w:val="nil"/>
              <w:bottom w:val="nil"/>
              <w:right w:val="nil"/>
            </w:tcBorders>
            <w:vAlign w:val="center"/>
          </w:tcPr>
          <w:p>
            <w:pPr>
              <w:widowControl/>
              <w:jc w:val="left"/>
              <w:rPr>
                <w:rFonts w:ascii="宋体" w:hAnsi="宋体" w:cs="宋体"/>
                <w:color w:val="auto"/>
                <w:kern w:val="0"/>
                <w:sz w:val="24"/>
              </w:rPr>
            </w:pPr>
          </w:p>
        </w:tc>
        <w:tc>
          <w:tcPr>
            <w:tcW w:w="925" w:type="dxa"/>
            <w:tcBorders>
              <w:top w:val="nil"/>
              <w:left w:val="nil"/>
              <w:bottom w:val="nil"/>
              <w:right w:val="nil"/>
            </w:tcBorders>
            <w:vAlign w:val="center"/>
          </w:tcPr>
          <w:p>
            <w:pPr>
              <w:widowControl/>
              <w:jc w:val="left"/>
              <w:rPr>
                <w:rFonts w:ascii="宋体" w:hAnsi="宋体" w:cs="宋体"/>
                <w:color w:val="auto"/>
                <w:kern w:val="0"/>
                <w:sz w:val="24"/>
              </w:rPr>
            </w:pPr>
          </w:p>
        </w:tc>
        <w:tc>
          <w:tcPr>
            <w:tcW w:w="158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困难残疾人生活补贴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11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7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11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7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835.2</w:t>
            </w:r>
          </w:p>
        </w:tc>
        <w:tc>
          <w:tcPr>
            <w:tcW w:w="27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835.2</w:t>
            </w:r>
          </w:p>
        </w:tc>
      </w:tr>
      <w:tr>
        <w:tblPrEx>
          <w:tblCellMar>
            <w:top w:w="0" w:type="dxa"/>
            <w:left w:w="108" w:type="dxa"/>
            <w:bottom w:w="0" w:type="dxa"/>
            <w:right w:w="108" w:type="dxa"/>
          </w:tblCellMar>
        </w:tblPrEx>
        <w:trPr>
          <w:trHeight w:val="1012"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835.2</w:t>
            </w:r>
          </w:p>
        </w:tc>
        <w:tc>
          <w:tcPr>
            <w:tcW w:w="276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835.2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96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67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6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67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促进残疾人家庭增收，加快推进残疾人小康进程，着力解决残疾人因残疾产生的额外生活支出和长期照护支出困难。</w:t>
            </w:r>
          </w:p>
        </w:tc>
        <w:tc>
          <w:tcPr>
            <w:tcW w:w="566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促进残疾人家庭增收，加快推进残疾人小康进程，着力解决残疾人因残疾产生的额外生活支出和长期照护支出困难。</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5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8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补贴人数</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一二级17500人、三四级8500人</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eastAsia" w:ascii="宋体" w:hAnsi="宋体" w:cs="宋体"/>
                <w:i w:val="0"/>
                <w:color w:val="auto"/>
                <w:kern w:val="0"/>
                <w:sz w:val="20"/>
                <w:szCs w:val="20"/>
                <w:u w:val="none"/>
                <w:lang w:val="en-US" w:eastAsia="zh-CN" w:bidi="ar"/>
              </w:rPr>
              <w:t>100%</w:t>
            </w:r>
          </w:p>
        </w:tc>
        <w:tc>
          <w:tcPr>
            <w:tcW w:w="158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一二级17500人、三四级8500人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i w:val="0"/>
                <w:color w:val="auto"/>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补贴社会化发放率</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58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补贴按时发放率</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58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补贴按时发放率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补贴标准（省区两级6:4比例分担）</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一级、二级残疾人80元/人/月；三级、四级残疾人40元/人/月。</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按标准执行</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补贴标准（省区两级6:4比例分担）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一级、二级残疾人80元/人/月；三级、四级残疾人40元/人/月。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5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解决残疾人长期照护支出困难</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成效明显</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成效明显</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解决残疾人长期照护支出困难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促进残疾人家庭增收</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促进残疾人家庭增收</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指标1：救助服务满意度、政策知晓率</w:t>
            </w:r>
          </w:p>
        </w:tc>
        <w:tc>
          <w:tcPr>
            <w:tcW w:w="10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92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指标1：救助服务满意度、政策知晓率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困难群众殡葬救助</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（1）项目概述。城乡困难群众殡葬救助标准1100元/人，需市区两级财政承担。</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（2）立项依据。《宿州市埇桥区人民政府办公室关于印发埇桥区城乡困难群众殡葬救助实施办法的通知》埇政办[2015]7号</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。城乡困难群众殡葬救助标准1100元/人，需市区两级财政承担。</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财政拨款198</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65"/>
        <w:gridCol w:w="1170"/>
        <w:gridCol w:w="133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65" w:type="dxa"/>
            <w:tcBorders>
              <w:top w:val="nil"/>
              <w:left w:val="nil"/>
              <w:bottom w:val="nil"/>
              <w:right w:val="nil"/>
            </w:tcBorders>
            <w:vAlign w:val="center"/>
          </w:tcPr>
          <w:p>
            <w:pPr>
              <w:widowControl/>
              <w:jc w:val="left"/>
              <w:rPr>
                <w:rFonts w:ascii="宋体" w:hAnsi="宋体" w:cs="宋体"/>
                <w:color w:val="auto"/>
                <w:kern w:val="0"/>
                <w:sz w:val="24"/>
              </w:rPr>
            </w:pPr>
          </w:p>
        </w:tc>
        <w:tc>
          <w:tcPr>
            <w:tcW w:w="1170" w:type="dxa"/>
            <w:tcBorders>
              <w:top w:val="nil"/>
              <w:left w:val="nil"/>
              <w:bottom w:val="nil"/>
              <w:right w:val="nil"/>
            </w:tcBorders>
            <w:vAlign w:val="center"/>
          </w:tcPr>
          <w:p>
            <w:pPr>
              <w:widowControl/>
              <w:jc w:val="left"/>
              <w:rPr>
                <w:rFonts w:ascii="宋体" w:hAnsi="宋体" w:cs="宋体"/>
                <w:color w:val="auto"/>
                <w:kern w:val="0"/>
                <w:sz w:val="24"/>
              </w:rPr>
            </w:pPr>
          </w:p>
        </w:tc>
        <w:tc>
          <w:tcPr>
            <w:tcW w:w="133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困难群众殡葬救助</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7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0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7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0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13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198</w:t>
            </w:r>
          </w:p>
        </w:tc>
        <w:tc>
          <w:tcPr>
            <w:tcW w:w="25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198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13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198</w:t>
            </w:r>
          </w:p>
        </w:tc>
        <w:tc>
          <w:tcPr>
            <w:tcW w:w="25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198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13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93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1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93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为保障城乡困难群众基本殡葬需求，切实减轻群众殡葬支出负担，保障城乡困难家庭最基本的殡葬需求。符合困难救助规定的城乡居民，在办理丧事活动中产生的基本殡葬公共服务费用给予免除，对政府鼓励的项目给予补助，免除与补助的费用由财政承担。</w:t>
            </w:r>
          </w:p>
        </w:tc>
        <w:tc>
          <w:tcPr>
            <w:tcW w:w="541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目标1：对困难群众在在办理丧事活动中产生的基本殡葬公共服务费用给予免除，对政府鼓励的项目给予补助，免除与补助的费用由财政承担。</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6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3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殡葬救助困难群众</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2500人</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100%</w:t>
            </w:r>
          </w:p>
        </w:tc>
        <w:tc>
          <w:tcPr>
            <w:tcW w:w="133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p>
            <w:pPr>
              <w:widowControl/>
              <w:jc w:val="center"/>
              <w:rPr>
                <w:rFonts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殡葬救助困难群众</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2500人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符合政策规定的困难群众享受殡葬救助比例</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33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符合政策规定的困难群众享受殡葬救助比例</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殡葬救助准确率</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≥99%</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≥99%</w:t>
            </w:r>
          </w:p>
        </w:tc>
        <w:tc>
          <w:tcPr>
            <w:tcW w:w="133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殡葬救助准确率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≥99%</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≥99%</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救助困难群众及时性</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≥95%</w:t>
            </w:r>
          </w:p>
        </w:tc>
        <w:tc>
          <w:tcPr>
            <w:tcW w:w="133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救助困难群众及时性</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遗体接运（使用普通接尸车辆接运遗体）</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遗体接运（使用普通接尸车辆接运遗体）</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eastAsia="宋体" w:cs="宋体"/>
                <w:i w:val="0"/>
                <w:color w:val="000000"/>
                <w:kern w:val="0"/>
                <w:sz w:val="22"/>
                <w:szCs w:val="22"/>
                <w:u w:val="none"/>
                <w:lang w:val="en-US" w:eastAsia="zh-CN" w:bidi="ar"/>
              </w:rPr>
              <w:t>遗体火化（使用普通火化炉火化遗体）</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2：</w:t>
            </w:r>
            <w:r>
              <w:rPr>
                <w:rFonts w:hint="eastAsia" w:ascii="宋体" w:hAnsi="宋体" w:eastAsia="宋体" w:cs="宋体"/>
                <w:i w:val="0"/>
                <w:color w:val="000000"/>
                <w:kern w:val="0"/>
                <w:sz w:val="22"/>
                <w:szCs w:val="22"/>
                <w:u w:val="none"/>
                <w:lang w:val="en-US" w:eastAsia="zh-CN" w:bidi="ar"/>
              </w:rPr>
              <w:t>遗体火化（使用普通火化炉火化遗体）</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3：</w:t>
            </w:r>
            <w:r>
              <w:rPr>
                <w:rFonts w:hint="eastAsia" w:ascii="宋体" w:hAnsi="宋体" w:eastAsia="宋体" w:cs="宋体"/>
                <w:i w:val="0"/>
                <w:color w:val="000000"/>
                <w:kern w:val="0"/>
                <w:sz w:val="22"/>
                <w:szCs w:val="22"/>
                <w:u w:val="none"/>
                <w:lang w:val="en-US" w:eastAsia="zh-CN" w:bidi="ar"/>
              </w:rPr>
              <w:t>骨灰寄存（存放期限1年以内）</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w:t>
            </w:r>
            <w:r>
              <w:rPr>
                <w:rFonts w:hint="eastAsia" w:ascii="宋体" w:hAnsi="宋体" w:cs="宋体"/>
                <w:color w:val="auto"/>
                <w:kern w:val="0"/>
                <w:sz w:val="24"/>
                <w:lang w:val="en-US" w:eastAsia="zh-CN"/>
              </w:rPr>
              <w:t>3：</w:t>
            </w:r>
            <w:r>
              <w:rPr>
                <w:rFonts w:hint="eastAsia" w:ascii="宋体" w:hAnsi="宋体" w:eastAsia="宋体" w:cs="宋体"/>
                <w:i w:val="0"/>
                <w:color w:val="000000"/>
                <w:kern w:val="0"/>
                <w:sz w:val="22"/>
                <w:szCs w:val="22"/>
                <w:u w:val="none"/>
                <w:lang w:val="en-US" w:eastAsia="zh-CN" w:bidi="ar"/>
              </w:rPr>
              <w:t>骨灰寄存（存放期限1年以内）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w:t>
            </w:r>
            <w:r>
              <w:rPr>
                <w:rFonts w:hint="eastAsia" w:ascii="宋体" w:hAnsi="宋体" w:cs="宋体"/>
                <w:color w:val="auto"/>
                <w:kern w:val="0"/>
                <w:sz w:val="24"/>
                <w:lang w:val="en-US" w:eastAsia="zh-CN"/>
              </w:rPr>
              <w:t>:4</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100元以内普通骨灰盒</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60元</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0"/>
                <w:szCs w:val="20"/>
                <w:u w:val="none"/>
                <w:lang w:val="en-US" w:eastAsia="zh-CN" w:bidi="ar"/>
              </w:rPr>
              <w:t>按标准执行</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:4</w:t>
            </w:r>
            <w:r>
              <w:rPr>
                <w:rFonts w:hint="eastAsia" w:ascii="宋体" w:hAnsi="宋体" w:cs="宋体"/>
                <w:color w:val="auto"/>
                <w:kern w:val="0"/>
                <w:sz w:val="24"/>
              </w:rPr>
              <w:t>：</w:t>
            </w:r>
            <w:r>
              <w:rPr>
                <w:rFonts w:hint="eastAsia" w:ascii="宋体" w:hAnsi="宋体" w:eastAsia="宋体" w:cs="宋体"/>
                <w:i w:val="0"/>
                <w:color w:val="000000"/>
                <w:kern w:val="0"/>
                <w:sz w:val="22"/>
                <w:szCs w:val="22"/>
                <w:u w:val="none"/>
                <w:lang w:val="en-US" w:eastAsia="zh-CN" w:bidi="ar"/>
              </w:rPr>
              <w:t>100元以内普通骨灰盒</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60元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auto"/>
                <w:kern w:val="0"/>
                <w:sz w:val="20"/>
                <w:szCs w:val="20"/>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城乡困难群众救助率</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≥95%</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城乡困难群众救助率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减轻城乡困难群众殡葬支出负担</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c>
          <w:tcPr>
            <w:tcW w:w="133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减轻城乡困难群众殡葬支出负担</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不断提升救助水平</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公共服务满意度</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331"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公共服务满意度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≥95%</w:t>
            </w:r>
          </w:p>
        </w:tc>
      </w:tr>
    </w:tbl>
    <w:p>
      <w:pPr>
        <w:adjustRightInd w:val="0"/>
        <w:snapToGrid w:val="0"/>
        <w:spacing w:line="600" w:lineRule="exact"/>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13</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临时救助</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对遭遇突发性、紧迫性、灾难性困难或者其他特殊困难导致基本生活陷入困境，靠自身和家庭无力解决，其他社会救助制度暂时无法覆盖或者救助之后基本生活仍有困难的家庭或者个人给予的应急性、过渡性救助</w:t>
      </w:r>
      <w:r>
        <w:rPr>
          <w:rFonts w:hint="eastAsia" w:ascii="仿宋_GB2312" w:hAnsi="楷体"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。《宿州市临时救助实施办法》(宿政秘〔2015〕234号)《宿州市临时救助工作操作规程》（宿民发[2019]87号。</w:t>
      </w:r>
    </w:p>
    <w:p>
      <w:pPr>
        <w:adjustRightInd w:val="0"/>
        <w:snapToGrid w:val="0"/>
        <w:spacing w:line="600" w:lineRule="exact"/>
        <w:ind w:firstLine="320" w:firstLineChars="1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（4）项目内容</w:t>
      </w:r>
      <w:r>
        <w:rPr>
          <w:rFonts w:hint="eastAsia" w:ascii="仿宋_GB2312" w:hAnsi="楷体" w:eastAsia="仿宋_GB2312"/>
          <w:color w:val="auto"/>
          <w:sz w:val="32"/>
          <w:szCs w:val="32"/>
          <w:lang w:eastAsia="zh-CN"/>
        </w:rPr>
        <w:t>。对遭遇突发性、紧迫性、灾难性困难或者其他特殊困难导致基本生活陷入困境，靠自身和家庭无力解决，其他社会救助制度暂时无法覆盖或者救助之后基本生活仍有困难的家庭或者个人给予的应急性、过渡性救助。</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（5）年度预算安排。</w:t>
      </w:r>
      <w:r>
        <w:rPr>
          <w:rFonts w:hint="eastAsia" w:ascii="仿宋_GB2312" w:hAnsi="仿宋" w:eastAsia="仿宋_GB2312"/>
          <w:color w:val="auto"/>
          <w:sz w:val="32"/>
          <w:szCs w:val="32"/>
          <w:lang w:eastAsia="zh-CN"/>
        </w:rPr>
        <w:t>财政拨款</w:t>
      </w:r>
      <w:r>
        <w:rPr>
          <w:rFonts w:hint="eastAsia" w:ascii="宋体" w:hAnsi="宋体" w:cs="宋体"/>
          <w:kern w:val="0"/>
          <w:sz w:val="22"/>
          <w:szCs w:val="22"/>
        </w:rPr>
        <w:t xml:space="preserve"> </w:t>
      </w:r>
      <w:r>
        <w:rPr>
          <w:rFonts w:hint="eastAsia" w:ascii="仿宋_GB2312" w:hAnsi="仿宋" w:eastAsia="仿宋_GB2312"/>
          <w:color w:val="auto"/>
          <w:sz w:val="32"/>
          <w:szCs w:val="32"/>
          <w:lang w:eastAsia="zh-CN"/>
        </w:rPr>
        <w:t>400</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eastAsia="仿宋_GB2312"/>
          <w:color w:val="auto"/>
          <w:lang w:eastAsia="zh-CN"/>
        </w:rPr>
      </w:pPr>
      <w:r>
        <w:rPr>
          <w:rFonts w:hint="eastAsia" w:ascii="仿宋_GB2312" w:hAnsi="楷体" w:eastAsia="仿宋_GB2312"/>
          <w:color w:val="auto"/>
          <w:sz w:val="32"/>
          <w:szCs w:val="32"/>
        </w:rPr>
        <w:t>（6）绩效目标和指标。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1045"/>
        <w:gridCol w:w="146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1045" w:type="dxa"/>
            <w:tcBorders>
              <w:top w:val="nil"/>
              <w:left w:val="nil"/>
              <w:bottom w:val="nil"/>
              <w:right w:val="nil"/>
            </w:tcBorders>
            <w:vAlign w:val="center"/>
          </w:tcPr>
          <w:p>
            <w:pPr>
              <w:widowControl/>
              <w:jc w:val="left"/>
              <w:rPr>
                <w:rFonts w:ascii="宋体" w:hAnsi="宋体" w:cs="宋体"/>
                <w:color w:val="auto"/>
                <w:kern w:val="0"/>
                <w:sz w:val="24"/>
              </w:rPr>
            </w:pPr>
          </w:p>
        </w:tc>
        <w:tc>
          <w:tcPr>
            <w:tcW w:w="146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临时救助</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23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23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6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val="en-US" w:eastAsia="zh-CN"/>
              </w:rPr>
              <w:t>400</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400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400</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400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64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9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54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9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对遭遇突发性、紧迫性、灾难性困难或者其他特殊困难导致基本生活陷入困境，靠自身和家庭无力解决，其他社会救助制度暂时无法覆盖或者救助之后基本生活仍有困难的家庭或者个人给予的应急性、过渡性救助，做到应救尽救</w:t>
            </w:r>
          </w:p>
        </w:tc>
        <w:tc>
          <w:tcPr>
            <w:tcW w:w="554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对遭遇突发性、紧迫性、灾难性困难或者其他特殊困难导致基本生活陷入困境，靠自身和家庭无力解决，其他社会救助制度暂时无法覆盖或者救助之后基本生活仍有困难的家庭或者个人给予的应急性、过渡性救助，做到应救尽救</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045" w:type="dxa"/>
            <w:tcBorders>
              <w:top w:val="nil"/>
              <w:left w:val="nil"/>
              <w:bottom w:val="single" w:color="auto" w:sz="4" w:space="0"/>
              <w:right w:val="single" w:color="auto" w:sz="4" w:space="0"/>
            </w:tcBorders>
            <w:vAlign w:val="center"/>
          </w:tcPr>
          <w:p>
            <w:pPr>
              <w:widowControl/>
              <w:jc w:val="center"/>
              <w:rPr>
                <w:rFonts w:hint="eastAsia"/>
                <w:lang w:val="en-US" w:eastAsia="zh-CN"/>
              </w:rPr>
            </w:pPr>
            <w:r>
              <w:rPr>
                <w:rFonts w:hint="eastAsia"/>
                <w:lang w:val="en-US" w:eastAsia="zh-CN"/>
              </w:rPr>
              <w:t>绩效标准</w:t>
            </w: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981"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临时救助人次</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应助尽助</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应助尽助</w:t>
            </w:r>
          </w:p>
        </w:tc>
        <w:tc>
          <w:tcPr>
            <w:tcW w:w="146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临时救助人次</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应助尽助</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应助尽助</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临时救助水平</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与经济社会发展水平相适应，不低于上年</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与经济社会发展水平相适应，不低于上年</w:t>
            </w:r>
          </w:p>
        </w:tc>
        <w:tc>
          <w:tcPr>
            <w:tcW w:w="1466"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临时救助水平</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与经济社会发展水平相适应，不低于上年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与经济社会发展水平相适应，不低于上年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救助资金按时发放</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46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救助资金按时发放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救助资金社会化发放率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救助资金社会化发放率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eastAsia="zh-CN"/>
              </w:rPr>
              <w:t>：</w:t>
            </w:r>
            <w:r>
              <w:rPr>
                <w:rFonts w:hint="eastAsia" w:ascii="宋体" w:hAnsi="宋体" w:cs="宋体"/>
                <w:color w:val="auto"/>
                <w:kern w:val="0"/>
                <w:sz w:val="24"/>
              </w:rPr>
              <w:t>困难群众生活水平提升情况</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eastAsia="zh-CN"/>
              </w:rPr>
              <w:t>：</w:t>
            </w:r>
            <w:r>
              <w:rPr>
                <w:rFonts w:hint="eastAsia" w:ascii="宋体" w:hAnsi="宋体" w:cs="宋体"/>
                <w:color w:val="auto"/>
                <w:kern w:val="0"/>
                <w:sz w:val="24"/>
              </w:rPr>
              <w:t>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04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指标1：救助对象对社会救助实施的满意度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14</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民办养老机构运营补贴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积极应对人口老龄化，强化基本养老服务保障，着力补齐养老服务短板，大力推动养老机构提质增效。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（2）立项依据。宿民发〔2021〕45号关于印发《宿州市2021年养老服务和智慧养老工作实施方案》的通知文件、宿州市财政局 宿州市民政局《关于印发《宿州市社会养老服务补助资金实施细则（试行）》的通知》宿财社（2019）150号文件</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default"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w:t>
      </w:r>
      <w:r>
        <w:rPr>
          <w:rFonts w:hint="eastAsia" w:ascii="仿宋_GB2312" w:hAnsi="楷体" w:eastAsia="仿宋_GB2312"/>
          <w:color w:val="auto"/>
          <w:sz w:val="32"/>
          <w:szCs w:val="32"/>
          <w:lang w:val="en-US" w:eastAsia="zh-CN"/>
        </w:rPr>
        <w:t>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积极应对人口老龄化，强化基本养老服务保障，着力补齐养老服务短板，大力推动养老机构提质增效。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p>
      <w:pPr>
        <w:adjustRightInd w:val="0"/>
        <w:snapToGrid w:val="0"/>
        <w:spacing w:line="600" w:lineRule="exact"/>
        <w:ind w:firstLine="640" w:firstLineChars="200"/>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财政拨款536</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7</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rPr>
          <w:rFonts w:hint="eastAsia" w:eastAsia="仿宋_GB2312"/>
          <w:color w:val="auto"/>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0"/>
        <w:gridCol w:w="1230"/>
        <w:gridCol w:w="1286"/>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0" w:type="dxa"/>
            <w:tcBorders>
              <w:top w:val="nil"/>
              <w:left w:val="nil"/>
              <w:bottom w:val="nil"/>
              <w:right w:val="nil"/>
            </w:tcBorders>
            <w:vAlign w:val="center"/>
          </w:tcPr>
          <w:p>
            <w:pPr>
              <w:widowControl/>
              <w:jc w:val="left"/>
              <w:rPr>
                <w:rFonts w:ascii="宋体" w:hAnsi="宋体" w:cs="宋体"/>
                <w:color w:val="auto"/>
                <w:kern w:val="0"/>
                <w:sz w:val="24"/>
              </w:rPr>
            </w:pPr>
          </w:p>
        </w:tc>
        <w:tc>
          <w:tcPr>
            <w:tcW w:w="1230" w:type="dxa"/>
            <w:tcBorders>
              <w:top w:val="nil"/>
              <w:left w:val="nil"/>
              <w:bottom w:val="nil"/>
              <w:right w:val="nil"/>
            </w:tcBorders>
            <w:vAlign w:val="center"/>
          </w:tcPr>
          <w:p>
            <w:pPr>
              <w:widowControl/>
              <w:jc w:val="left"/>
              <w:rPr>
                <w:rFonts w:ascii="宋体" w:hAnsi="宋体" w:cs="宋体"/>
                <w:color w:val="auto"/>
                <w:kern w:val="0"/>
                <w:sz w:val="24"/>
              </w:rPr>
            </w:pPr>
          </w:p>
        </w:tc>
        <w:tc>
          <w:tcPr>
            <w:tcW w:w="1286"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民办养老机构运营补贴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1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4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1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46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2021年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18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c>
          <w:tcPr>
            <w:tcW w:w="24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180" w:type="dxa"/>
            <w:gridSpan w:val="2"/>
            <w:tcBorders>
              <w:top w:val="single" w:color="auto" w:sz="4" w:space="0"/>
              <w:left w:val="nil"/>
              <w:bottom w:val="single" w:color="auto" w:sz="4" w:space="0"/>
              <w:right w:val="single" w:color="auto" w:sz="4" w:space="0"/>
            </w:tcBorders>
            <w:vAlign w:val="center"/>
          </w:tcPr>
          <w:p>
            <w:pPr>
              <w:widowControl/>
              <w:ind w:firstLine="720" w:firstLineChars="300"/>
              <w:jc w:val="both"/>
              <w:rPr>
                <w:rFonts w:hint="default" w:ascii="宋体" w:hAnsi="宋体" w:cs="宋体"/>
                <w:kern w:val="0"/>
                <w:sz w:val="24"/>
                <w:lang w:val="en-US"/>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c>
          <w:tcPr>
            <w:tcW w:w="24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536</w:t>
            </w:r>
            <w:r>
              <w:rPr>
                <w:rFonts w:hint="eastAsia" w:ascii="宋体" w:hAnsi="宋体" w:cs="宋体"/>
                <w:kern w:val="0"/>
                <w:sz w:val="24"/>
                <w:lang w:val="en-US" w:eastAsia="zh-CN"/>
              </w:rPr>
              <w:t>.</w:t>
            </w:r>
            <w:r>
              <w:rPr>
                <w:rFonts w:hint="eastAsia" w:ascii="宋体" w:hAnsi="宋体" w:cs="宋体"/>
                <w:kern w:val="0"/>
                <w:sz w:val="24"/>
                <w:lang w:eastAsia="zh-CN"/>
              </w:rPr>
              <w:t>7</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18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97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6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97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tc>
        <w:tc>
          <w:tcPr>
            <w:tcW w:w="536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日常运营补贴。已建成并投入运营的社会办养老机构（含公建民营养老机构），由当地按照实际入住人数和服务人数给予运营补贴，运营补贴的标准为每人每月200元，为失能失智老年人服务的，按照收住对象轻、中、重度失能失智程度，运营补贴分别上浮50%、100%和200%以上补助。</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3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指标1：补贴人数</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2280人，其中能力完好173人；轻度失能388人；中度失能475人；重度失能1244人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应保尽保</w:t>
            </w:r>
          </w:p>
        </w:tc>
        <w:tc>
          <w:tcPr>
            <w:tcW w:w="128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指标1：补贴人数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2280人，其中能力完好173人；轻度失能388人；中度失能475人；重度失能1244人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应保尽保</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资金使用准确率</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128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资金使用准确率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补贴资金在规定时间内支付到位</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28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补贴标准，区财政承担60%</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每人每月200元，为失能失智老年人服务的，按照收住对象轻、中、重度失能失智程度，运营补贴分别上浮50%、100%和200%以上补助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分段补助标准（市、区财政按4：6比例承担）</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补贴标准，区财政承担60%</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每人每月200元，为失能失智老年人服务的，按照收住对象轻、中、重度失能失智程度，运营补贴分别上浮50%、100%和200%以上补助</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分段补助标准（市、区财政按4：6比例承担）</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已投入运营的社会办养老机构创建智慧养老机构，创建达标后下一年起，在现行的运营补贴标准基础上浮10%的幅度提高运营补贴。</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已投入运营的社会办养老机构创建智慧养老机构，创建达标后下一年起，在现行的运营补贴标准基础上浮10%的幅度提高运营补贴。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社会养老体系进一步完善</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c>
          <w:tcPr>
            <w:tcW w:w="12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社会养老体系进一步完善</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服务满意度</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28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15</w:t>
      </w:r>
      <w:r>
        <w:rPr>
          <w:rFonts w:hint="eastAsia" w:ascii="仿宋_GB2312" w:hAnsi="楷体" w:eastAsia="仿宋_GB2312"/>
          <w:b/>
          <w:color w:val="auto"/>
          <w:sz w:val="32"/>
          <w:szCs w:val="32"/>
          <w:lang w:eastAsia="zh-CN"/>
        </w:rPr>
        <w:t>、</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eastAsia="zh-CN"/>
        </w:rPr>
        <w:t>农村</w:t>
      </w:r>
      <w:r>
        <w:rPr>
          <w:rFonts w:hint="eastAsia" w:ascii="仿宋_GB2312" w:hAnsi="楷体" w:eastAsia="仿宋_GB2312"/>
          <w:b/>
          <w:color w:val="auto"/>
          <w:sz w:val="32"/>
          <w:szCs w:val="32"/>
          <w:lang w:val="en-US" w:eastAsia="zh-CN"/>
        </w:rPr>
        <w:t>传统社会定期救济</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楷体" w:eastAsia="仿宋_GB2312"/>
          <w:color w:val="auto"/>
          <w:sz w:val="32"/>
          <w:szCs w:val="32"/>
          <w:lang w:eastAsia="zh-CN"/>
        </w:rPr>
        <w:t>。切实做好退职老职工的救济工作，解决退职老职工的生活问题。享受此项救助的人员同时满足两个条件：（一）1961年1月1日至1965年6月9日期间精简退职的；（二）1957年底之前参加工作的国营、公私合营企业、事业单位和国家机关、人民团体、民主党派，以及在军事系统工作而无军籍的职工。</w:t>
      </w:r>
      <w:r>
        <w:rPr>
          <w:rFonts w:hint="eastAsia" w:ascii="仿宋_GB2312" w:hAnsi="仿宋" w:eastAsia="仿宋_GB2312"/>
          <w:color w:val="auto"/>
          <w:sz w:val="32"/>
          <w:szCs w:val="32"/>
        </w:rPr>
        <w:t xml:space="preserve"> </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。国务院（65）国内字224号文件精神。</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切实做好退职老职工的救济工作，解决退职老职工的生活问题。享受此项救助的人员同时满足两个条件：（一）1961年1月1日至1965年6月9日期间精简退职的；（二）1957年底之前参加工作的国营、公私合营企业、事业单位和国家机关、人民团体、民主党派，以及在军事系统工作而无军籍的职工。</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财政拨款387</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81</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100"/>
        <w:gridCol w:w="975"/>
        <w:gridCol w:w="139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100" w:type="dxa"/>
            <w:tcBorders>
              <w:top w:val="nil"/>
              <w:left w:val="nil"/>
              <w:bottom w:val="nil"/>
              <w:right w:val="nil"/>
            </w:tcBorders>
            <w:vAlign w:val="center"/>
          </w:tcPr>
          <w:p>
            <w:pPr>
              <w:widowControl/>
              <w:jc w:val="left"/>
              <w:rPr>
                <w:rFonts w:ascii="宋体" w:hAnsi="宋体" w:cs="宋体"/>
                <w:color w:val="auto"/>
                <w:kern w:val="0"/>
                <w:sz w:val="24"/>
              </w:rPr>
            </w:pPr>
          </w:p>
        </w:tc>
        <w:tc>
          <w:tcPr>
            <w:tcW w:w="975" w:type="dxa"/>
            <w:tcBorders>
              <w:top w:val="nil"/>
              <w:left w:val="nil"/>
              <w:bottom w:val="nil"/>
              <w:right w:val="nil"/>
            </w:tcBorders>
            <w:vAlign w:val="center"/>
          </w:tcPr>
          <w:p>
            <w:pPr>
              <w:widowControl/>
              <w:jc w:val="left"/>
              <w:rPr>
                <w:rFonts w:ascii="宋体" w:hAnsi="宋体" w:cs="宋体"/>
                <w:color w:val="auto"/>
                <w:kern w:val="0"/>
                <w:sz w:val="24"/>
              </w:rPr>
            </w:pPr>
          </w:p>
        </w:tc>
        <w:tc>
          <w:tcPr>
            <w:tcW w:w="139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农村</w:t>
            </w:r>
            <w:r>
              <w:rPr>
                <w:rFonts w:hint="eastAsia" w:ascii="宋体" w:hAnsi="宋体" w:cs="宋体"/>
                <w:color w:val="auto"/>
                <w:kern w:val="0"/>
                <w:sz w:val="24"/>
              </w:rPr>
              <w:t>传统社会定期救济</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1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1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中期资金总额：</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eastAsia="zh-CN"/>
              </w:rPr>
              <w:t>387</w:t>
            </w:r>
            <w:r>
              <w:rPr>
                <w:rFonts w:hint="eastAsia" w:ascii="宋体" w:hAnsi="宋体" w:cs="宋体"/>
                <w:kern w:val="0"/>
                <w:sz w:val="24"/>
                <w:lang w:val="en-US" w:eastAsia="zh-CN"/>
              </w:rPr>
              <w:t>.</w:t>
            </w:r>
            <w:r>
              <w:rPr>
                <w:rFonts w:hint="eastAsia" w:ascii="宋体" w:hAnsi="宋体" w:cs="宋体"/>
                <w:kern w:val="0"/>
                <w:sz w:val="24"/>
                <w:lang w:eastAsia="zh-CN"/>
              </w:rPr>
              <w:t>81</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7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87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7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87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目标1：切实做好退职老职工的救济工作，解决退职老职工生活问题</w:t>
            </w:r>
          </w:p>
        </w:tc>
        <w:tc>
          <w:tcPr>
            <w:tcW w:w="547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切实做好退职老职工的救济工作，解决退职老职工生活问题</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695</w:t>
            </w:r>
            <w:r>
              <w:rPr>
                <w:rFonts w:hint="eastAsia" w:ascii="宋体" w:hAnsi="宋体" w:eastAsia="宋体" w:cs="宋体"/>
                <w:i w:val="0"/>
                <w:color w:val="auto"/>
                <w:kern w:val="0"/>
                <w:sz w:val="20"/>
                <w:szCs w:val="20"/>
                <w:u w:val="none"/>
                <w:lang w:val="en-US" w:eastAsia="zh-CN" w:bidi="ar"/>
              </w:rPr>
              <w:t>人</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color w:val="auto"/>
                <w:kern w:val="0"/>
                <w:sz w:val="24"/>
                <w:lang w:val="en-US"/>
              </w:rPr>
            </w:pPr>
            <w:r>
              <w:rPr>
                <w:rFonts w:hint="default" w:ascii="宋体" w:hAnsi="宋体" w:cs="宋体"/>
                <w:color w:val="auto"/>
                <w:kern w:val="0"/>
                <w:sz w:val="24"/>
                <w:lang w:val="en-US"/>
              </w:rPr>
              <w:t>该指标动态调整</w:t>
            </w:r>
          </w:p>
        </w:tc>
        <w:tc>
          <w:tcPr>
            <w:tcW w:w="139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695</w:t>
            </w:r>
            <w:r>
              <w:rPr>
                <w:rFonts w:hint="eastAsia" w:ascii="宋体" w:hAnsi="宋体" w:eastAsia="宋体" w:cs="宋体"/>
                <w:i w:val="0"/>
                <w:color w:val="auto"/>
                <w:kern w:val="0"/>
                <w:sz w:val="20"/>
                <w:szCs w:val="20"/>
                <w:u w:val="none"/>
                <w:lang w:val="en-US" w:eastAsia="zh-CN" w:bidi="ar"/>
              </w:rPr>
              <w:t>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cs="宋体"/>
                <w:color w:val="auto"/>
                <w:kern w:val="0"/>
                <w:sz w:val="24"/>
                <w:lang w:val="en-US"/>
              </w:rPr>
              <w:t>该指标动态调整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指标1：补贴社会化发放率</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391" w:type="dxa"/>
            <w:tcBorders>
              <w:top w:val="nil"/>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auto"/>
                <w:kern w:val="0"/>
                <w:sz w:val="22"/>
                <w:szCs w:val="22"/>
                <w:u w:val="none"/>
                <w:lang w:val="en-US" w:eastAsia="zh-CN" w:bidi="ar"/>
              </w:rPr>
              <w:t>定补资金按时发放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9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lang w:eastAsia="zh-CN"/>
              </w:rPr>
            </w:pPr>
            <w:r>
              <w:rPr>
                <w:rFonts w:hint="eastAsia"/>
                <w:lang w:eastAsia="zh-CN"/>
              </w:rPr>
              <w:t>参照上年度城市人均补差水平，每人每月</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4</w:t>
            </w:r>
            <w:r>
              <w:rPr>
                <w:rFonts w:hint="eastAsia" w:ascii="宋体" w:hAnsi="宋体" w:cs="宋体"/>
                <w:i w:val="0"/>
                <w:color w:val="auto"/>
                <w:kern w:val="0"/>
                <w:sz w:val="20"/>
                <w:szCs w:val="20"/>
                <w:u w:val="none"/>
                <w:lang w:val="en-US" w:eastAsia="zh-CN" w:bidi="ar"/>
              </w:rPr>
              <w:t>65</w:t>
            </w:r>
            <w:r>
              <w:rPr>
                <w:rFonts w:hint="eastAsia" w:ascii="宋体" w:hAnsi="宋体" w:eastAsia="宋体" w:cs="宋体"/>
                <w:i w:val="0"/>
                <w:color w:val="auto"/>
                <w:kern w:val="0"/>
                <w:sz w:val="20"/>
                <w:szCs w:val="20"/>
                <w:u w:val="none"/>
                <w:lang w:val="en-US" w:eastAsia="zh-CN" w:bidi="ar"/>
              </w:rPr>
              <w:t>元/人/月</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kern w:val="2"/>
                <w:sz w:val="21"/>
                <w:szCs w:val="24"/>
                <w:lang w:val="en-US" w:eastAsia="zh-CN" w:bidi="ar-SA"/>
              </w:rPr>
            </w:pPr>
            <w:r>
              <w:rPr>
                <w:rFonts w:hint="eastAsia"/>
                <w:lang w:eastAsia="zh-CN"/>
              </w:rPr>
              <w:t>参照上年度城市人均补差水平，每人每月</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稳步提升</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稳步提升</w:t>
            </w:r>
          </w:p>
        </w:tc>
        <w:tc>
          <w:tcPr>
            <w:tcW w:w="1391"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指标1：</w:t>
            </w:r>
            <w:r>
              <w:rPr>
                <w:rFonts w:hint="eastAsia" w:ascii="宋体" w:hAnsi="宋体" w:cs="宋体"/>
                <w:color w:val="auto"/>
                <w:kern w:val="0"/>
                <w:sz w:val="24"/>
                <w:lang w:val="en-US" w:eastAsia="zh-CN"/>
              </w:rPr>
              <w:t>解决退职老职工的生活问题</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稳步提升</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不断完善</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不断完善</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val="en-US" w:eastAsia="zh-CN"/>
              </w:rPr>
              <w:t>做好退职老职工的救济工作</w:t>
            </w:r>
          </w:p>
        </w:tc>
        <w:tc>
          <w:tcPr>
            <w:tcW w:w="13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不断完善</w:t>
            </w:r>
          </w:p>
        </w:tc>
        <w:tc>
          <w:tcPr>
            <w:tcW w:w="157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0"/>
                <w:szCs w:val="20"/>
                <w:u w:val="none"/>
                <w:lang w:val="en-US" w:eastAsia="zh-CN" w:bidi="ar"/>
              </w:rPr>
              <w:t>≥90%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16</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农村居民最低生活保障</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不断完善社会救助制度，巩固脱贫攻坚成果，与乡村振兴有效衔接。实行应保尽保，确保把所有符合条件的困难群众全部纳入低保范围。加强动态管理，切实做到保障对象有进有出、补助水平有升有降。做到农村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最低生活保障工作操作细则》（宿民发[2019]88号）、《宿州市农村居民最低生活保障实施办法》（宿民发[2021]30号）、宿州市人民政府办公室《关于调整提高宿州市2021年最低生活保障标准和特困人员供养标准的方案》。</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不断完善社会救助制度，巩固脱贫攻坚成果，与乡村振兴有效衔接。实行应保尽保，确保把所有符合条件的困难群众全部纳入低保范围。加强动态管理，切实做到保障对象有进有出、补助水平有升有降。做到农村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财政拨款11086</w:t>
      </w:r>
      <w:r>
        <w:rPr>
          <w:rFonts w:hint="eastAsia" w:ascii="宋体" w:hAnsi="宋体" w:cs="宋体"/>
          <w:kern w:val="0"/>
          <w:sz w:val="22"/>
          <w:szCs w:val="22"/>
        </w:rPr>
        <w:t xml:space="preserve"> </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80"/>
        <w:gridCol w:w="1215"/>
        <w:gridCol w:w="127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80" w:type="dxa"/>
            <w:tcBorders>
              <w:top w:val="nil"/>
              <w:left w:val="nil"/>
              <w:bottom w:val="nil"/>
              <w:right w:val="nil"/>
            </w:tcBorders>
            <w:vAlign w:val="center"/>
          </w:tcPr>
          <w:p>
            <w:pPr>
              <w:widowControl/>
              <w:jc w:val="left"/>
              <w:rPr>
                <w:rFonts w:ascii="宋体" w:hAnsi="宋体" w:cs="宋体"/>
                <w:color w:val="auto"/>
                <w:kern w:val="0"/>
                <w:sz w:val="24"/>
              </w:rPr>
            </w:pPr>
          </w:p>
        </w:tc>
        <w:tc>
          <w:tcPr>
            <w:tcW w:w="1215" w:type="dxa"/>
            <w:tcBorders>
              <w:top w:val="nil"/>
              <w:left w:val="nil"/>
              <w:bottom w:val="nil"/>
              <w:right w:val="nil"/>
            </w:tcBorders>
            <w:vAlign w:val="center"/>
          </w:tcPr>
          <w:p>
            <w:pPr>
              <w:widowControl/>
              <w:jc w:val="left"/>
              <w:rPr>
                <w:rFonts w:ascii="宋体" w:hAnsi="宋体" w:cs="宋体"/>
                <w:color w:val="auto"/>
                <w:kern w:val="0"/>
                <w:sz w:val="24"/>
              </w:rPr>
            </w:pPr>
          </w:p>
        </w:tc>
        <w:tc>
          <w:tcPr>
            <w:tcW w:w="127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农村居民最低生活保障</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3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44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3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44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195" w:type="dxa"/>
            <w:gridSpan w:val="2"/>
            <w:tcBorders>
              <w:top w:val="single" w:color="auto" w:sz="4" w:space="0"/>
              <w:left w:val="nil"/>
              <w:bottom w:val="single" w:color="auto" w:sz="4" w:space="0"/>
              <w:right w:val="single" w:color="auto" w:sz="4" w:space="0"/>
            </w:tcBorders>
            <w:vAlign w:val="center"/>
          </w:tcPr>
          <w:p>
            <w:pPr>
              <w:widowControl/>
              <w:jc w:val="center"/>
              <w:rPr>
                <w:rFonts w:hint="default"/>
                <w:lang w:val="en-US" w:eastAsia="zh-CN"/>
              </w:rPr>
            </w:pPr>
            <w:r>
              <w:rPr>
                <w:rFonts w:hint="eastAsia" w:ascii="宋体" w:hAnsi="宋体" w:cs="宋体"/>
                <w:kern w:val="0"/>
                <w:sz w:val="24"/>
                <w:lang w:eastAsia="zh-CN"/>
              </w:rPr>
              <w:t>11086</w:t>
            </w:r>
            <w:r>
              <w:rPr>
                <w:rFonts w:hint="eastAsia" w:ascii="宋体" w:hAnsi="宋体" w:cs="宋体"/>
                <w:kern w:val="0"/>
                <w:sz w:val="24"/>
              </w:rPr>
              <w:t xml:space="preserve"> </w:t>
            </w:r>
          </w:p>
        </w:tc>
        <w:tc>
          <w:tcPr>
            <w:tcW w:w="244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11086</w:t>
            </w:r>
            <w:r>
              <w:rPr>
                <w:rFonts w:hint="eastAsia" w:ascii="宋体" w:hAnsi="宋体" w:cs="宋体"/>
                <w:kern w:val="0"/>
                <w:sz w:val="24"/>
              </w:rPr>
              <w:t xml:space="preserve"> </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19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eastAsia="zh-CN"/>
              </w:rPr>
              <w:t>11086</w:t>
            </w:r>
            <w:r>
              <w:rPr>
                <w:rFonts w:hint="eastAsia" w:ascii="宋体" w:hAnsi="宋体" w:cs="宋体"/>
                <w:kern w:val="0"/>
                <w:sz w:val="24"/>
              </w:rPr>
              <w:t xml:space="preserve"> </w:t>
            </w:r>
          </w:p>
        </w:tc>
        <w:tc>
          <w:tcPr>
            <w:tcW w:w="244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eastAsia="zh-CN"/>
              </w:rPr>
              <w:t>11086</w:t>
            </w:r>
            <w:r>
              <w:rPr>
                <w:rFonts w:hint="eastAsia" w:ascii="宋体" w:hAnsi="宋体" w:cs="宋体"/>
                <w:kern w:val="0"/>
                <w:sz w:val="24"/>
              </w:rPr>
              <w:t xml:space="preserve"> </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1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44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99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35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99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目标1：保障农村生活困难家庭基本生活，确保应保尽保。</w:t>
            </w:r>
          </w:p>
        </w:tc>
        <w:tc>
          <w:tcPr>
            <w:tcW w:w="535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　保障农村生活困难家庭基本生活，确保应保尽保。　</w:t>
            </w:r>
          </w:p>
        </w:tc>
      </w:tr>
      <w:tr>
        <w:tblPrEx>
          <w:tblCellMar>
            <w:top w:w="0" w:type="dxa"/>
            <w:left w:w="108" w:type="dxa"/>
            <w:bottom w:w="0" w:type="dxa"/>
            <w:right w:w="108" w:type="dxa"/>
          </w:tblCellMar>
        </w:tblPrEx>
        <w:trPr>
          <w:trHeight w:val="679"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指标1：低保对象人数</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应保尽保</w:t>
            </w:r>
          </w:p>
        </w:tc>
        <w:tc>
          <w:tcPr>
            <w:tcW w:w="1271"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指标1：低保对象人数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应保尽保</w:t>
            </w:r>
          </w:p>
        </w:tc>
      </w:tr>
      <w:tr>
        <w:tblPrEx>
          <w:tblCellMar>
            <w:top w:w="0" w:type="dxa"/>
            <w:left w:w="108" w:type="dxa"/>
            <w:bottom w:w="0" w:type="dxa"/>
            <w:right w:w="108" w:type="dxa"/>
          </w:tblCellMar>
        </w:tblPrEx>
        <w:trPr>
          <w:trHeight w:val="208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指标1：低保标准</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不低于上年</w:t>
            </w:r>
          </w:p>
        </w:tc>
        <w:tc>
          <w:tcPr>
            <w:tcW w:w="12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指标1：低保标准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不低于上年</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指标1：农村最低生活补助金按时发放率</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指标1：农村最低生活补助金按时发放率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低保资金社会化发放率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ascii="宋体" w:hAnsi="宋体" w:eastAsia="宋体" w:cs="宋体"/>
                <w:i w:val="0"/>
                <w:color w:val="auto"/>
                <w:kern w:val="0"/>
                <w:sz w:val="22"/>
                <w:szCs w:val="22"/>
                <w:u w:val="none"/>
                <w:lang w:val="en-US" w:eastAsia="zh-CN" w:bidi="ar"/>
              </w:rPr>
              <w:t>≥90</w:t>
            </w:r>
            <w:r>
              <w:rPr>
                <w:rFonts w:hint="eastAsia" w:ascii="宋体" w:hAnsi="宋体" w:eastAsia="宋体" w:cs="宋体"/>
                <w:i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2"/>
                <w:szCs w:val="22"/>
                <w:u w:val="none"/>
                <w:lang w:val="en-US" w:eastAsia="zh-CN" w:bidi="ar"/>
              </w:rPr>
              <w:t>稳步提升</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困难群众基本生活保障制度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不断完善</w:t>
            </w:r>
          </w:p>
        </w:tc>
      </w:tr>
      <w:tr>
        <w:tblPrEx>
          <w:tblCellMar>
            <w:top w:w="0" w:type="dxa"/>
            <w:left w:w="108" w:type="dxa"/>
            <w:bottom w:w="0" w:type="dxa"/>
            <w:right w:w="108" w:type="dxa"/>
          </w:tblCellMar>
        </w:tblPrEx>
        <w:trPr>
          <w:trHeight w:val="894"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eastAsia="宋体" w:cs="宋体"/>
                <w:i w:val="0"/>
                <w:color w:val="auto"/>
                <w:kern w:val="0"/>
                <w:sz w:val="22"/>
                <w:szCs w:val="22"/>
                <w:u w:val="none"/>
                <w:lang w:val="en-US" w:eastAsia="zh-CN" w:bidi="ar"/>
              </w:rPr>
              <w:t>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≥8</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w:t>
            </w:r>
          </w:p>
        </w:tc>
      </w:tr>
    </w:tbl>
    <w:p>
      <w:pPr>
        <w:pStyle w:val="2"/>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17</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三级养老服务体系建设</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（1）项目概述。建立区级养老服务指导中心、街道养老服务指导中心、社区养老服务站，形成兼具行业监管、资源整合、直接服务功能的城市社区居家养老服务网络，打造20分钟居家养老服务圈。</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安徽省委、省政府关于加强基层基本公共服务能力建设的意见》（皖发〔2017〕39号）、宿民发〔2021〕45号关于印发《宿州市2021年养老服务和智慧养老工作实施方案》的通知，《宿州市埇桥区城乡“三级养老”服务机构建设的实施方案》。</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。建立区级养老服务指导中心、街道养老服务指导中心、社区养老服务站，形成兼具行业监管、资源整合、直接服务功能的城市社区居家养老服务网络，打造20分钟居家养老服务圈。</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财政拨款330</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055"/>
        <w:gridCol w:w="1020"/>
        <w:gridCol w:w="1320"/>
        <w:gridCol w:w="1249"/>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055" w:type="dxa"/>
            <w:tcBorders>
              <w:top w:val="nil"/>
              <w:left w:val="nil"/>
              <w:bottom w:val="nil"/>
              <w:right w:val="nil"/>
            </w:tcBorders>
            <w:vAlign w:val="center"/>
          </w:tcPr>
          <w:p>
            <w:pPr>
              <w:widowControl/>
              <w:jc w:val="left"/>
              <w:rPr>
                <w:rFonts w:ascii="宋体" w:hAnsi="宋体" w:cs="宋体"/>
                <w:color w:val="auto"/>
                <w:kern w:val="0"/>
                <w:sz w:val="24"/>
              </w:rPr>
            </w:pPr>
          </w:p>
        </w:tc>
        <w:tc>
          <w:tcPr>
            <w:tcW w:w="1020" w:type="dxa"/>
            <w:tcBorders>
              <w:top w:val="nil"/>
              <w:left w:val="nil"/>
              <w:bottom w:val="nil"/>
              <w:right w:val="nil"/>
            </w:tcBorders>
            <w:vAlign w:val="center"/>
          </w:tcPr>
          <w:p>
            <w:pPr>
              <w:widowControl/>
              <w:jc w:val="left"/>
              <w:rPr>
                <w:rFonts w:ascii="宋体" w:hAnsi="宋体" w:cs="宋体"/>
                <w:color w:val="auto"/>
                <w:kern w:val="0"/>
                <w:sz w:val="24"/>
              </w:rPr>
            </w:pPr>
          </w:p>
        </w:tc>
        <w:tc>
          <w:tcPr>
            <w:tcW w:w="1320" w:type="dxa"/>
            <w:tcBorders>
              <w:top w:val="nil"/>
              <w:left w:val="nil"/>
              <w:bottom w:val="nil"/>
              <w:right w:val="nil"/>
            </w:tcBorders>
            <w:vAlign w:val="center"/>
          </w:tcPr>
          <w:p>
            <w:pPr>
              <w:widowControl/>
              <w:jc w:val="left"/>
              <w:rPr>
                <w:rFonts w:ascii="宋体" w:hAnsi="宋体" w:cs="宋体"/>
                <w:color w:val="auto"/>
                <w:kern w:val="0"/>
                <w:sz w:val="24"/>
              </w:rPr>
            </w:pPr>
          </w:p>
        </w:tc>
        <w:tc>
          <w:tcPr>
            <w:tcW w:w="1249"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三级养老服务体系建设</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31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31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56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330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07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87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47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87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以“老有所养、老有所医、老有所学、老有所乐”为工作目标，坚持“全覆盖、保基本、可持续”的工作思路，为建设以居家为基础、社区为依托、机构为支撑的社会养老服务体系，充分发挥政府在养老服务发展方面的主导作用，广泛动员社会力量参与，探索新形势下发展社区和机构养老服务的新途径，全面推进居家养老、社区养老和机构养老发展。</w:t>
            </w:r>
          </w:p>
        </w:tc>
        <w:tc>
          <w:tcPr>
            <w:tcW w:w="547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建立区级养老服务指导中心、街道养老服务指导中心、社区养老服务站，形成兼具行业监管、资源整合、直接服务功能的城市社区居家养老服务网络，打造20分钟居家养老服务圈。提升为老服务水平，满足老年人养老需求。社区养老服务站25家，社区养老服务站1.2万/年，供餐补贴1万/月，供餐补贴、站点补贴、服务补贴。</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0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49"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指标1：运营的社区养老服务站</w:t>
            </w:r>
          </w:p>
        </w:tc>
        <w:tc>
          <w:tcPr>
            <w:tcW w:w="1055" w:type="dxa"/>
            <w:tcBorders>
              <w:top w:val="nil"/>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≤25家</w:t>
            </w:r>
          </w:p>
        </w:tc>
        <w:tc>
          <w:tcPr>
            <w:tcW w:w="1020" w:type="dxa"/>
            <w:tcBorders>
              <w:top w:val="nil"/>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rPr>
            </w:pPr>
            <w:r>
              <w:rPr>
                <w:rFonts w:hint="eastAsia" w:ascii="宋体" w:hAnsi="宋体" w:cs="宋体"/>
                <w:color w:val="auto"/>
                <w:kern w:val="0"/>
                <w:sz w:val="24"/>
                <w:lang w:val="en-US" w:eastAsia="zh-CN"/>
              </w:rPr>
              <w:t>≤25家</w:t>
            </w:r>
          </w:p>
        </w:tc>
        <w:tc>
          <w:tcPr>
            <w:tcW w:w="1320"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指标1：运营的社区养老服务站</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25家</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25家</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指标1：确保资金发放率</w:t>
            </w:r>
          </w:p>
        </w:tc>
        <w:tc>
          <w:tcPr>
            <w:tcW w:w="1055" w:type="dxa"/>
            <w:tcBorders>
              <w:top w:val="nil"/>
              <w:left w:val="nil"/>
              <w:bottom w:val="single" w:color="auto" w:sz="4" w:space="0"/>
              <w:right w:val="single" w:color="auto" w:sz="4" w:space="0"/>
            </w:tcBorders>
            <w:vAlign w:val="center"/>
          </w:tcPr>
          <w:p>
            <w:pPr>
              <w:widowControl/>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≥90%</w:t>
            </w:r>
          </w:p>
        </w:tc>
        <w:tc>
          <w:tcPr>
            <w:tcW w:w="102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≥90%</w:t>
            </w: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指标1：确保资金发放率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指标1：补贴资金在规定时间内支付到位</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c>
          <w:tcPr>
            <w:tcW w:w="1320"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auto"/>
                <w:kern w:val="0"/>
                <w:sz w:val="24"/>
                <w:lang w:val="en-US" w:eastAsia="zh-CN"/>
              </w:rPr>
              <w:t>≥95%</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指标1：社区养老服务站1.2万/年，供餐补贴1万/月</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指标1：社区养老服务站1.2万/年，供餐补贴1万/月</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132000元/年</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：运营社区补贴发放，养老服务供给能力进一步提高。</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rPr>
              <w:t>不断完善</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：运营社区补贴发放，养老服务供给能力进一步提高。</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指标1：促进养老服务发展发面的影响，满足社区运营发放。</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320"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249"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指标1：促进养老服务发展发面的影响，满足社区运营发放。</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不断完善</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cs="宋体"/>
                <w:i w:val="0"/>
                <w:color w:val="000000"/>
                <w:kern w:val="0"/>
                <w:sz w:val="22"/>
                <w:szCs w:val="22"/>
                <w:u w:val="none"/>
                <w:lang w:val="en-US" w:eastAsia="zh-CN" w:bidi="ar"/>
              </w:rPr>
              <w:t>服务</w:t>
            </w:r>
            <w:r>
              <w:rPr>
                <w:rFonts w:hint="eastAsia" w:ascii="宋体" w:hAnsi="宋体" w:eastAsia="宋体" w:cs="宋体"/>
                <w:i w:val="0"/>
                <w:color w:val="000000"/>
                <w:kern w:val="0"/>
                <w:sz w:val="22"/>
                <w:szCs w:val="22"/>
                <w:u w:val="none"/>
                <w:lang w:val="en-US" w:eastAsia="zh-CN" w:bidi="ar"/>
              </w:rPr>
              <w:t>对象满意度</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320"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49" w:type="dxa"/>
            <w:tcBorders>
              <w:top w:val="nil"/>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i w:val="0"/>
                <w:color w:val="000000"/>
                <w:kern w:val="0"/>
                <w:sz w:val="22"/>
                <w:szCs w:val="22"/>
                <w:u w:val="none"/>
                <w:lang w:val="en-US" w:eastAsia="zh-CN" w:bidi="ar"/>
              </w:rPr>
              <w:t>服务</w:t>
            </w:r>
            <w:r>
              <w:rPr>
                <w:rFonts w:hint="eastAsia" w:ascii="宋体" w:hAnsi="宋体" w:eastAsia="宋体" w:cs="宋体"/>
                <w:i w:val="0"/>
                <w:color w:val="000000"/>
                <w:kern w:val="0"/>
                <w:sz w:val="22"/>
                <w:szCs w:val="22"/>
                <w:u w:val="none"/>
                <w:lang w:val="en-US" w:eastAsia="zh-CN" w:bidi="ar"/>
              </w:rPr>
              <w:t>对象满意度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18</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社区综合信息服务平台终端服务费</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仿宋" w:eastAsia="仿宋_GB2312"/>
          <w:sz w:val="32"/>
          <w:szCs w:val="32"/>
          <w:lang w:eastAsia="zh-CN"/>
        </w:rPr>
      </w:pPr>
      <w:r>
        <w:rPr>
          <w:rFonts w:hint="eastAsia" w:ascii="仿宋_GB2312" w:hAnsi="楷体" w:eastAsia="仿宋_GB2312"/>
          <w:sz w:val="32"/>
          <w:szCs w:val="32"/>
        </w:rPr>
        <w:t>（1）项目概述。</w:t>
      </w:r>
      <w:r>
        <w:rPr>
          <w:rFonts w:hint="eastAsia" w:ascii="仿宋_GB2312" w:hAnsi="仿宋" w:eastAsia="仿宋_GB2312"/>
          <w:sz w:val="32"/>
          <w:szCs w:val="32"/>
        </w:rPr>
        <w:t>用于展开社区服务管理工作、社区综合信息服务平台网络及终端信息采集移动终端费用</w:t>
      </w:r>
      <w:r>
        <w:rPr>
          <w:rFonts w:hint="eastAsia" w:ascii="仿宋_GB2312" w:hAnsi="仿宋"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（2）立项依据。《宿州市人民政府办公室关于推进宿州市社区综合信息服务平台建设的实施意见》（宿政办发﹝2013﹞23号）文件。</w:t>
      </w:r>
    </w:p>
    <w:p>
      <w:pPr>
        <w:adjustRightInd w:val="0"/>
        <w:snapToGrid w:val="0"/>
        <w:spacing w:line="600" w:lineRule="exact"/>
        <w:ind w:firstLine="320" w:firstLineChars="1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本项目经费主要用于社区综合信息服务平台网络及终端信息采集移动终端的管理和维护，统筹社区服务资源，以信息化技术手法为支撑，构建涵盖社会管理、社会服务、社区建设、社会动员、社会组织、社会领域党建等一体化智能综合信息服务管理平台。</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财政拨款157</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2792</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985"/>
        <w:gridCol w:w="1526"/>
        <w:gridCol w:w="1178"/>
        <w:gridCol w:w="1333"/>
        <w:gridCol w:w="1571"/>
      </w:tblGrid>
      <w:tr>
        <w:trPr>
          <w:trHeight w:val="90"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55" w:type="dxa"/>
            <w:tcBorders>
              <w:top w:val="nil"/>
              <w:left w:val="nil"/>
              <w:bottom w:val="nil"/>
              <w:right w:val="nil"/>
            </w:tcBorders>
            <w:vAlign w:val="center"/>
          </w:tcPr>
          <w:p>
            <w:pPr>
              <w:widowControl/>
              <w:jc w:val="left"/>
              <w:rPr>
                <w:rFonts w:ascii="宋体" w:hAnsi="宋体" w:cs="宋体"/>
                <w:kern w:val="0"/>
                <w:sz w:val="24"/>
              </w:rPr>
            </w:pPr>
          </w:p>
        </w:tc>
        <w:tc>
          <w:tcPr>
            <w:tcW w:w="985" w:type="dxa"/>
            <w:tcBorders>
              <w:top w:val="nil"/>
              <w:left w:val="nil"/>
              <w:bottom w:val="nil"/>
              <w:right w:val="nil"/>
            </w:tcBorders>
            <w:vAlign w:val="center"/>
          </w:tcPr>
          <w:p>
            <w:pPr>
              <w:widowControl/>
              <w:jc w:val="left"/>
              <w:rPr>
                <w:rFonts w:ascii="宋体" w:hAnsi="宋体" w:cs="宋体"/>
                <w:kern w:val="0"/>
                <w:sz w:val="24"/>
              </w:rPr>
            </w:pPr>
          </w:p>
        </w:tc>
        <w:tc>
          <w:tcPr>
            <w:tcW w:w="15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社区综合信息服务平台终端服务费</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1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1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2021年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157</w:t>
            </w:r>
            <w:r>
              <w:rPr>
                <w:rFonts w:hint="eastAsia" w:ascii="宋体" w:hAnsi="宋体" w:cs="宋体"/>
                <w:kern w:val="0"/>
                <w:sz w:val="24"/>
                <w:lang w:val="en-US" w:eastAsia="zh-CN"/>
              </w:rPr>
              <w:t>.</w:t>
            </w:r>
            <w:r>
              <w:rPr>
                <w:rFonts w:hint="eastAsia" w:ascii="宋体" w:hAnsi="宋体" w:cs="宋体"/>
                <w:kern w:val="0"/>
                <w:sz w:val="24"/>
                <w:lang w:eastAsia="zh-CN"/>
              </w:rPr>
              <w:t>2792</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9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3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用于展开社区服务管理工作、社区综合信息服务平台网络及终端信息采集移动终端费用.</w:t>
            </w:r>
          </w:p>
        </w:tc>
        <w:tc>
          <w:tcPr>
            <w:tcW w:w="56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用于展开社区服务管理工作、社区综合信息服务平台网络及终端信息采集移动终端费用.</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指标1：网格员、网格员管理人员人数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923人</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指标1：网格员、网格员管理人员人数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923人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指标1：网格员、网格员管理人员发放准确率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指标1：网格员、网格员管理人员发放准确率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信息终端在规定时间下发</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信息终端在规定时间下发</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终端/年</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1572792元</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w:t>
            </w:r>
            <w:r>
              <w:rPr>
                <w:rFonts w:hint="eastAsia" w:ascii="宋体" w:hAnsi="宋体" w:eastAsia="宋体" w:cs="宋体"/>
                <w:i w:val="0"/>
                <w:color w:val="000000"/>
                <w:kern w:val="0"/>
                <w:sz w:val="22"/>
                <w:szCs w:val="22"/>
                <w:u w:val="none"/>
                <w:lang w:val="en-US" w:eastAsia="zh-CN" w:bidi="ar"/>
              </w:rPr>
              <w:t>终端/年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1572792元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信息共享，为居民提供服务</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信息共享，为居民提供服务</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指标1：整合社会资源，提高社区管理服务水平，形成廉洁高效的行政管理体制。</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指标1：整合社会资源，提高社区管理服务水平，形成廉洁高效的行政管理体制。</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不断提升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网格员、网格员管理人员满意度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网格员、网格员管理人员满意度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r>
    </w:tbl>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19.</w:t>
      </w:r>
      <w:r>
        <w:rPr>
          <w:rFonts w:hint="eastAsia" w:ascii="仿宋_GB2312" w:hAnsi="楷体" w:eastAsia="仿宋_GB2312"/>
          <w:b/>
          <w:sz w:val="32"/>
          <w:szCs w:val="32"/>
        </w:rPr>
        <w:t>“</w:t>
      </w:r>
      <w:r>
        <w:rPr>
          <w:rFonts w:hint="eastAsia" w:ascii="仿宋_GB2312" w:hAnsi="楷体" w:eastAsia="仿宋_GB2312"/>
          <w:b/>
          <w:sz w:val="32"/>
          <w:szCs w:val="32"/>
          <w:lang w:eastAsia="zh-CN"/>
        </w:rPr>
        <w:t>特困人员供养</w:t>
      </w:r>
      <w:r>
        <w:rPr>
          <w:rFonts w:hint="eastAsia" w:ascii="仿宋_GB2312" w:hAnsi="楷体" w:eastAsia="仿宋_GB2312"/>
          <w:b/>
          <w:sz w:val="32"/>
          <w:szCs w:val="32"/>
        </w:rPr>
        <w:t>”项目。</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1）项目概述。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sz w:val="32"/>
          <w:szCs w:val="32"/>
        </w:rPr>
        <w:t>（2）立项依据。宿民发〔2021〕31号关于印发《宿州市特困人员救助供养实施办法》的通知、关于征求《调整提高我市2021年最低生活保障标准和特困人员供养标准的方案（征求意见稿）》的通知</w:t>
      </w:r>
      <w:r>
        <w:rPr>
          <w:rFonts w:hint="eastAsia" w:ascii="仿宋_GB2312" w:hAnsi="楷体" w:eastAsia="仿宋_GB2312"/>
          <w:sz w:val="32"/>
          <w:szCs w:val="32"/>
          <w:lang w:eastAsia="zh-CN"/>
        </w:rPr>
        <w:t>。</w:t>
      </w:r>
    </w:p>
    <w:p>
      <w:pPr>
        <w:adjustRightInd w:val="0"/>
        <w:snapToGrid w:val="0"/>
        <w:spacing w:line="600" w:lineRule="exact"/>
        <w:ind w:firstLine="320" w:firstLineChars="1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sz w:val="32"/>
          <w:szCs w:val="32"/>
        </w:rPr>
        <w:t>（3）</w:t>
      </w:r>
      <w:r>
        <w:rPr>
          <w:rFonts w:hint="eastAsia" w:ascii="仿宋_GB2312" w:hAnsi="楷体" w:eastAsia="仿宋_GB2312"/>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起止时间。</w:t>
      </w:r>
      <w:r>
        <w:rPr>
          <w:rFonts w:hint="eastAsia" w:ascii="仿宋_GB2312" w:hAnsi="楷体" w:eastAsia="仿宋_GB2312"/>
          <w:color w:val="000000"/>
          <w:sz w:val="32"/>
          <w:szCs w:val="32"/>
          <w:lang w:val="en-US" w:eastAsia="zh-CN"/>
        </w:rPr>
        <w:t>2022年1月1日至2022年12月31日</w:t>
      </w:r>
    </w:p>
    <w:p>
      <w:pPr>
        <w:spacing w:line="600" w:lineRule="exact"/>
        <w:ind w:firstLine="642"/>
        <w:jc w:val="both"/>
        <w:rPr>
          <w:rFonts w:hint="eastAsia" w:ascii="仿宋_GB2312" w:hAnsi="楷体" w:eastAsia="仿宋_GB2312"/>
          <w:color w:val="auto"/>
          <w:sz w:val="32"/>
          <w:szCs w:val="32"/>
          <w:lang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5</w:t>
      </w:r>
      <w:r>
        <w:rPr>
          <w:rFonts w:hint="eastAsia" w:ascii="仿宋_GB2312" w:hAnsi="楷体" w:eastAsia="仿宋_GB2312"/>
          <w:sz w:val="32"/>
          <w:szCs w:val="32"/>
        </w:rPr>
        <w:t>）项目内容。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p>
      <w:pPr>
        <w:adjustRightInd w:val="0"/>
        <w:snapToGrid w:val="0"/>
        <w:spacing w:line="600" w:lineRule="exact"/>
        <w:ind w:firstLine="640" w:firstLineChars="200"/>
        <w:jc w:val="both"/>
        <w:rPr>
          <w:rFonts w:hint="eastAsia" w:ascii="仿宋_GB2312" w:hAnsi="仿宋" w:eastAsia="仿宋_GB2312"/>
          <w:sz w:val="32"/>
          <w:szCs w:val="32"/>
          <w:lang w:val="en-US" w:eastAsia="zh-CN"/>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6</w:t>
      </w:r>
      <w:r>
        <w:rPr>
          <w:rFonts w:hint="eastAsia" w:ascii="仿宋_GB2312" w:hAnsi="楷体" w:eastAsia="仿宋_GB2312"/>
          <w:sz w:val="32"/>
          <w:szCs w:val="32"/>
        </w:rPr>
        <w:t>）年度预算安排。</w:t>
      </w:r>
      <w:r>
        <w:rPr>
          <w:rFonts w:hint="eastAsia" w:ascii="仿宋_GB2312" w:hAnsi="仿宋" w:eastAsia="仿宋_GB2312"/>
          <w:sz w:val="32"/>
          <w:szCs w:val="32"/>
          <w:lang w:eastAsia="zh-CN"/>
        </w:rPr>
        <w:t>财政拨款5161</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8</w:t>
      </w:r>
      <w:r>
        <w:rPr>
          <w:rFonts w:hint="eastAsia" w:ascii="仿宋_GB2312" w:hAnsi="仿宋" w:eastAsia="仿宋_GB2312"/>
          <w:sz w:val="32"/>
          <w:szCs w:val="32"/>
          <w:lang w:val="en-US" w:eastAsia="zh-CN"/>
        </w:rPr>
        <w:t>万元。</w:t>
      </w:r>
    </w:p>
    <w:p>
      <w:pPr>
        <w:adjustRightInd w:val="0"/>
        <w:snapToGrid w:val="0"/>
        <w:spacing w:line="600" w:lineRule="exact"/>
        <w:ind w:firstLine="640" w:firstLineChars="200"/>
        <w:rPr>
          <w:rFonts w:hint="eastAsia"/>
        </w:rPr>
      </w:pPr>
      <w:r>
        <w:rPr>
          <w:rFonts w:hint="eastAsia" w:ascii="仿宋_GB2312" w:hAnsi="楷体" w:eastAsia="仿宋_GB2312"/>
          <w:sz w:val="32"/>
          <w:szCs w:val="32"/>
        </w:rPr>
        <w:t>（</w:t>
      </w:r>
      <w:r>
        <w:rPr>
          <w:rFonts w:hint="eastAsia" w:ascii="仿宋_GB2312" w:hAnsi="楷体" w:eastAsia="仿宋_GB2312"/>
          <w:sz w:val="32"/>
          <w:szCs w:val="32"/>
          <w:lang w:val="en-US" w:eastAsia="zh-CN"/>
        </w:rPr>
        <w:t>7</w:t>
      </w:r>
      <w:r>
        <w:rPr>
          <w:rFonts w:hint="eastAsia" w:ascii="仿宋_GB2312" w:hAnsi="楷体" w:eastAsia="仿宋_GB2312"/>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985"/>
        <w:gridCol w:w="1526"/>
        <w:gridCol w:w="1178"/>
        <w:gridCol w:w="1333"/>
        <w:gridCol w:w="1571"/>
      </w:tblGrid>
      <w:tr>
        <w:tblPrEx>
          <w:tblCellMar>
            <w:top w:w="0" w:type="dxa"/>
            <w:left w:w="108" w:type="dxa"/>
            <w:bottom w:w="0" w:type="dxa"/>
            <w:right w:w="108" w:type="dxa"/>
          </w:tblCellMar>
        </w:tblPrEx>
        <w:trPr>
          <w:trHeight w:val="90"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nil"/>
              <w:right w:val="nil"/>
            </w:tcBorders>
            <w:vAlign w:val="center"/>
          </w:tcPr>
          <w:p>
            <w:pPr>
              <w:widowControl/>
              <w:jc w:val="left"/>
              <w:rPr>
                <w:rFonts w:ascii="宋体" w:hAnsi="宋体" w:cs="宋体"/>
                <w:kern w:val="0"/>
                <w:sz w:val="24"/>
              </w:rPr>
            </w:pPr>
          </w:p>
        </w:tc>
        <w:tc>
          <w:tcPr>
            <w:tcW w:w="1238" w:type="dxa"/>
            <w:tcBorders>
              <w:top w:val="nil"/>
              <w:left w:val="nil"/>
              <w:bottom w:val="nil"/>
              <w:right w:val="nil"/>
            </w:tcBorders>
            <w:vAlign w:val="center"/>
          </w:tcPr>
          <w:p>
            <w:pPr>
              <w:widowControl/>
              <w:jc w:val="left"/>
              <w:rPr>
                <w:rFonts w:ascii="宋体" w:hAnsi="宋体" w:cs="宋体"/>
                <w:kern w:val="0"/>
                <w:sz w:val="24"/>
              </w:rPr>
            </w:pPr>
          </w:p>
        </w:tc>
        <w:tc>
          <w:tcPr>
            <w:tcW w:w="955" w:type="dxa"/>
            <w:tcBorders>
              <w:top w:val="nil"/>
              <w:left w:val="nil"/>
              <w:bottom w:val="nil"/>
              <w:right w:val="nil"/>
            </w:tcBorders>
            <w:vAlign w:val="center"/>
          </w:tcPr>
          <w:p>
            <w:pPr>
              <w:widowControl/>
              <w:jc w:val="left"/>
              <w:rPr>
                <w:rFonts w:ascii="宋体" w:hAnsi="宋体" w:cs="宋体"/>
                <w:kern w:val="0"/>
                <w:sz w:val="24"/>
              </w:rPr>
            </w:pPr>
          </w:p>
        </w:tc>
        <w:tc>
          <w:tcPr>
            <w:tcW w:w="985" w:type="dxa"/>
            <w:tcBorders>
              <w:top w:val="nil"/>
              <w:left w:val="nil"/>
              <w:bottom w:val="nil"/>
              <w:right w:val="nil"/>
            </w:tcBorders>
            <w:vAlign w:val="center"/>
          </w:tcPr>
          <w:p>
            <w:pPr>
              <w:widowControl/>
              <w:jc w:val="left"/>
              <w:rPr>
                <w:rFonts w:ascii="宋体" w:hAnsi="宋体" w:cs="宋体"/>
                <w:kern w:val="0"/>
                <w:sz w:val="24"/>
              </w:rPr>
            </w:pPr>
          </w:p>
        </w:tc>
        <w:tc>
          <w:tcPr>
            <w:tcW w:w="1526" w:type="dxa"/>
            <w:tcBorders>
              <w:top w:val="nil"/>
              <w:left w:val="nil"/>
              <w:bottom w:val="nil"/>
              <w:right w:val="nil"/>
            </w:tcBorders>
            <w:vAlign w:val="center"/>
          </w:tcPr>
          <w:p>
            <w:pPr>
              <w:widowControl/>
              <w:jc w:val="left"/>
              <w:rPr>
                <w:rFonts w:ascii="宋体" w:hAnsi="宋体" w:cs="宋体"/>
                <w:kern w:val="0"/>
                <w:sz w:val="24"/>
              </w:rPr>
            </w:pPr>
          </w:p>
        </w:tc>
        <w:tc>
          <w:tcPr>
            <w:tcW w:w="1178" w:type="dxa"/>
            <w:tcBorders>
              <w:top w:val="nil"/>
              <w:left w:val="nil"/>
              <w:bottom w:val="nil"/>
              <w:right w:val="nil"/>
            </w:tcBorders>
            <w:vAlign w:val="center"/>
          </w:tcPr>
          <w:p>
            <w:pPr>
              <w:widowControl/>
              <w:jc w:val="left"/>
              <w:rPr>
                <w:rFonts w:ascii="宋体" w:hAnsi="宋体" w:cs="宋体"/>
                <w:kern w:val="0"/>
                <w:sz w:val="24"/>
              </w:rPr>
            </w:pPr>
          </w:p>
        </w:tc>
        <w:tc>
          <w:tcPr>
            <w:tcW w:w="1333" w:type="dxa"/>
            <w:tcBorders>
              <w:top w:val="nil"/>
              <w:left w:val="nil"/>
              <w:bottom w:val="nil"/>
              <w:right w:val="nil"/>
            </w:tcBorders>
            <w:vAlign w:val="center"/>
          </w:tcPr>
          <w:p>
            <w:pPr>
              <w:widowControl/>
              <w:jc w:val="left"/>
              <w:rPr>
                <w:rFonts w:ascii="宋体" w:hAnsi="宋体" w:cs="宋体"/>
                <w:kern w:val="0"/>
                <w:sz w:val="24"/>
              </w:rPr>
            </w:pPr>
          </w:p>
        </w:tc>
        <w:tc>
          <w:tcPr>
            <w:tcW w:w="1571"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eastAsia="zh-CN"/>
              </w:rPr>
              <w:t>特困人员供养</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主管部门</w:t>
            </w:r>
          </w:p>
        </w:tc>
        <w:tc>
          <w:tcPr>
            <w:tcW w:w="3178"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民政局</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民政局</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项目属性</w:t>
            </w:r>
          </w:p>
        </w:tc>
        <w:tc>
          <w:tcPr>
            <w:tcW w:w="3178"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rPr>
              <w:sym w:font="Wingdings 2" w:char="00A3"/>
            </w:r>
            <w:r>
              <w:rPr>
                <w:rFonts w:hint="eastAsia" w:ascii="宋体" w:hAnsi="宋体" w:cs="宋体"/>
                <w:kern w:val="0"/>
                <w:sz w:val="24"/>
              </w:rPr>
              <w:t xml:space="preserve">新增项目  </w:t>
            </w:r>
            <w:r>
              <w:rPr>
                <w:rFonts w:hint="eastAsia" w:ascii="宋体" w:hAnsi="宋体" w:cs="宋体"/>
                <w:kern w:val="0"/>
                <w:sz w:val="24"/>
                <w:lang w:val="en-US" w:eastAsia="zh-CN"/>
              </w:rPr>
              <w:t xml:space="preserve"> </w:t>
            </w:r>
            <w:r>
              <w:rPr>
                <w:rFonts w:hint="eastAsia" w:ascii="宋体" w:hAnsi="宋体" w:cs="宋体"/>
                <w:kern w:val="0"/>
                <w:sz w:val="24"/>
                <w:lang w:eastAsia="zh-CN"/>
              </w:rPr>
              <w:sym w:font="Wingdings 2" w:char="0052"/>
            </w:r>
            <w:r>
              <w:rPr>
                <w:rFonts w:hint="eastAsia" w:ascii="宋体" w:hAnsi="宋体" w:cs="宋体"/>
                <w:kern w:val="0"/>
                <w:sz w:val="24"/>
              </w:rPr>
              <w:t>延续项目</w:t>
            </w:r>
          </w:p>
        </w:tc>
        <w:tc>
          <w:tcPr>
            <w:tcW w:w="270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2022年</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9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5161</w:t>
            </w:r>
            <w:r>
              <w:rPr>
                <w:rFonts w:hint="eastAsia" w:ascii="宋体" w:hAnsi="宋体" w:cs="宋体"/>
                <w:kern w:val="0"/>
                <w:sz w:val="24"/>
                <w:lang w:val="en-US" w:eastAsia="zh-CN"/>
              </w:rPr>
              <w:t>.</w:t>
            </w:r>
            <w:r>
              <w:rPr>
                <w:rFonts w:hint="eastAsia" w:ascii="宋体" w:hAnsi="宋体" w:cs="宋体"/>
                <w:kern w:val="0"/>
                <w:sz w:val="24"/>
                <w:lang w:eastAsia="zh-CN"/>
              </w:rPr>
              <w:t>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9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7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735"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6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735"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tc>
        <w:tc>
          <w:tcPr>
            <w:tcW w:w="5608"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具有我市户籍的城乡老年人、残疾人，同时具备无劳动能力，无生活来源，无法定赡养、抚养、扶养义务人或其法定义务人无履行义务能力三个条件的，应纳入特困人员救助供养范围，并将特困人员救助供养覆盖的未成年人年龄从16周岁延长至18周岁。</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9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52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指标1：救助人数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指标1：救助人数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分散5600、集中900人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指标1：补贴资金发放准确率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52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95</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指标1：补贴资金在规定时间内支付到位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52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90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：分段补贴标准</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分散7800元/年/人、集中：7800元/年/人；集中供养生活补贴1020元/年/人</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按标准执行</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：分段补贴标准</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分散7800元/年/人、集中：7800元/年/人；集中供养生活补贴1020元/年/人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按标准执行</w:t>
            </w:r>
          </w:p>
        </w:tc>
      </w:tr>
      <w:tr>
        <w:tblPrEx>
          <w:tblCellMar>
            <w:top w:w="0" w:type="dxa"/>
            <w:left w:w="108" w:type="dxa"/>
            <w:bottom w:w="0" w:type="dxa"/>
            <w:right w:w="108" w:type="dxa"/>
          </w:tblCellMar>
        </w:tblPrEx>
        <w:trPr>
          <w:trHeight w:val="78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指标1：困难群众生活水平提升情况</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52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p>
            <w:pPr>
              <w:widowControl/>
              <w:jc w:val="center"/>
              <w:rPr>
                <w:rFonts w:ascii="宋体" w:hAnsi="宋体" w:eastAsia="宋体" w:cs="宋体"/>
                <w:color w:val="auto"/>
                <w:kern w:val="0"/>
                <w:sz w:val="24"/>
                <w:szCs w:val="24"/>
                <w:lang w:val="en-US" w:eastAsia="zh-CN" w:bidi="ar-SA"/>
              </w:rPr>
            </w:pP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指标1：困难群众生活水平提升情况</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稳步提升</w:t>
            </w:r>
          </w:p>
        </w:tc>
      </w:tr>
      <w:tr>
        <w:tblPrEx>
          <w:tblCellMar>
            <w:top w:w="0" w:type="dxa"/>
            <w:left w:w="108" w:type="dxa"/>
            <w:bottom w:w="0" w:type="dxa"/>
            <w:right w:w="108" w:type="dxa"/>
          </w:tblCellMar>
        </w:tblPrEx>
        <w:trPr>
          <w:trHeight w:val="780" w:hRule="atLeast"/>
          <w:jc w:val="center"/>
        </w:trPr>
        <w:tc>
          <w:tcPr>
            <w:tcW w:w="620"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jc w:val="left"/>
              <w:textAlignment w:val="center"/>
            </w:pPr>
          </w:p>
        </w:tc>
        <w:tc>
          <w:tcPr>
            <w:tcW w:w="7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p>
        </w:tc>
        <w:tc>
          <w:tcPr>
            <w:tcW w:w="8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p>
        </w:tc>
        <w:tc>
          <w:tcPr>
            <w:tcW w:w="123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r>
              <w:rPr>
                <w:rFonts w:hint="eastAsia" w:ascii="宋体" w:hAnsi="宋体" w:cs="宋体"/>
                <w:color w:val="auto"/>
                <w:kern w:val="0"/>
                <w:sz w:val="24"/>
                <w:lang w:eastAsia="zh-CN"/>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对健全社会救助体系的影响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r>
              <w:rPr>
                <w:rFonts w:hint="eastAsia" w:ascii="宋体" w:hAnsi="宋体" w:cs="宋体"/>
                <w:color w:val="auto"/>
                <w:kern w:val="0"/>
                <w:sz w:val="24"/>
              </w:rPr>
              <w:t>成效明显</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r>
              <w:rPr>
                <w:rFonts w:hint="eastAsia" w:ascii="宋体" w:hAnsi="宋体" w:cs="宋体"/>
                <w:color w:val="auto"/>
                <w:kern w:val="0"/>
                <w:sz w:val="24"/>
              </w:rPr>
              <w:t>成效明显</w:t>
            </w:r>
          </w:p>
        </w:tc>
        <w:tc>
          <w:tcPr>
            <w:tcW w:w="152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auto"/>
                <w:kern w:val="0"/>
                <w:sz w:val="24"/>
              </w:rPr>
            </w:pPr>
          </w:p>
        </w:tc>
        <w:tc>
          <w:tcPr>
            <w:tcW w:w="11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指标</w:t>
            </w:r>
            <w:r>
              <w:rPr>
                <w:rFonts w:hint="eastAsia" w:ascii="宋体" w:hAnsi="宋体" w:cs="宋体"/>
                <w:color w:val="auto"/>
                <w:kern w:val="0"/>
                <w:sz w:val="24"/>
                <w:lang w:val="en-US" w:eastAsia="zh-CN"/>
              </w:rPr>
              <w:t>2：</w:t>
            </w:r>
            <w:r>
              <w:rPr>
                <w:rFonts w:hint="eastAsia" w:ascii="宋体" w:hAnsi="宋体" w:cs="宋体"/>
                <w:color w:val="auto"/>
                <w:kern w:val="0"/>
                <w:sz w:val="24"/>
              </w:rPr>
              <w:t>对健全社会救助体系的影响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指标1</w:t>
            </w:r>
            <w:r>
              <w:rPr>
                <w:rFonts w:hint="eastAsia" w:ascii="宋体" w:hAnsi="宋体" w:cs="宋体"/>
                <w:color w:val="auto"/>
                <w:kern w:val="0"/>
                <w:sz w:val="24"/>
                <w:lang w:eastAsia="zh-CN"/>
              </w:rPr>
              <w:t>：救助对象对社会救助实施的满意度</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26"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cs="宋体"/>
                <w:color w:val="auto"/>
                <w:kern w:val="0"/>
                <w:sz w:val="24"/>
                <w:lang w:eastAsia="zh-CN"/>
              </w:rPr>
              <w:t>：救助对象对社会救助实施的满意度</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r>
    </w:tbl>
    <w:p>
      <w:pPr>
        <w:adjustRightInd w:val="0"/>
        <w:snapToGrid w:val="0"/>
        <w:spacing w:line="600" w:lineRule="exact"/>
        <w:ind w:firstLine="643" w:firstLineChars="200"/>
        <w:rPr>
          <w:rFonts w:hint="eastAsia" w:ascii="仿宋_GB2312" w:hAnsi="楷体" w:eastAsia="仿宋_GB2312"/>
          <w:b/>
          <w:color w:val="auto"/>
          <w:sz w:val="32"/>
          <w:szCs w:val="3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20</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严重精神障碍患者监护人监护补贴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公安、民政、残联、卫计委部门认定并录入公安部重性精神病人信息管理系统的有肇事肇祸行为及危险性评估在三级以上，且家庭困难、监护人无能力落实监护责任和查找不到监护人的患者，由公安、民政、卫计委为其依法明确监护人并将患者监护人确定为以奖代补对象。对年度无肇事肇祸行为发生的严重精障碍患者的监护人实行以奖代补，奖补标准执行2400元/人/年</w:t>
      </w:r>
      <w:r>
        <w:rPr>
          <w:rFonts w:hint="eastAsia" w:ascii="仿宋_GB2312" w:hAnsi="楷体"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（2）立项依据。《关于转发宿州市严重精神障碍患者监护人申领监护管理补贴暂行办法实细则的通知》埇综治办（2016）20号</w:t>
      </w:r>
      <w:r>
        <w:rPr>
          <w:rFonts w:hint="eastAsia" w:ascii="仿宋_GB2312" w:hAnsi="楷体" w:eastAsia="仿宋_GB2312"/>
          <w:color w:val="auto"/>
          <w:sz w:val="32"/>
          <w:szCs w:val="32"/>
          <w:lang w:eastAsia="zh-CN"/>
        </w:rPr>
        <w:t xml:space="preserve"> 。</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公安、民政、残联、卫计委部门认定并录入公安部重性精神病人信息管理系统的有肇事肇祸行为及危险性评估在三级以上，且家庭困难、监护人无能力落实监护责任和查找不到监护人的患者，由公安、民政、卫计委为其依法明确监护人并将患者监护人确定为以奖代补对象。对年度无肇事肇祸行为发生的严重精障碍患者的监护人实行以奖代补，奖补标准执行2400元/人/年</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　　</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宋体" w:hAnsi="宋体" w:cs="宋体"/>
          <w:kern w:val="0"/>
          <w:sz w:val="22"/>
          <w:szCs w:val="22"/>
        </w:rPr>
        <w:t xml:space="preserve"> </w:t>
      </w:r>
      <w:r>
        <w:rPr>
          <w:rFonts w:hint="eastAsia" w:ascii="仿宋_GB2312" w:hAnsi="仿宋" w:eastAsia="仿宋_GB2312"/>
          <w:color w:val="auto"/>
          <w:sz w:val="32"/>
          <w:szCs w:val="32"/>
          <w:lang w:eastAsia="zh-CN"/>
        </w:rPr>
        <w:t>120</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955"/>
        <w:gridCol w:w="778"/>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955" w:type="dxa"/>
            <w:tcBorders>
              <w:top w:val="nil"/>
              <w:left w:val="nil"/>
              <w:bottom w:val="nil"/>
              <w:right w:val="nil"/>
            </w:tcBorders>
            <w:vAlign w:val="center"/>
          </w:tcPr>
          <w:p>
            <w:pPr>
              <w:widowControl/>
              <w:jc w:val="left"/>
              <w:rPr>
                <w:rFonts w:ascii="宋体" w:hAnsi="宋体" w:cs="宋体"/>
                <w:color w:val="auto"/>
                <w:kern w:val="0"/>
                <w:sz w:val="24"/>
              </w:rPr>
            </w:pPr>
          </w:p>
        </w:tc>
        <w:tc>
          <w:tcPr>
            <w:tcW w:w="778" w:type="dxa"/>
            <w:tcBorders>
              <w:top w:val="nil"/>
              <w:left w:val="nil"/>
              <w:bottom w:val="nil"/>
              <w:right w:val="nil"/>
            </w:tcBorders>
            <w:vAlign w:val="center"/>
          </w:tcPr>
          <w:p>
            <w:pPr>
              <w:widowControl/>
              <w:jc w:val="left"/>
              <w:rPr>
                <w:rFonts w:ascii="宋体" w:hAnsi="宋体" w:cs="宋体"/>
                <w:color w:val="auto"/>
                <w:kern w:val="0"/>
                <w:sz w:val="24"/>
              </w:rPr>
            </w:pPr>
          </w:p>
        </w:tc>
        <w:tc>
          <w:tcPr>
            <w:tcW w:w="1733"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严重精神障碍患者监护人监护补贴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120</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lang w:val="en-US" w:eastAsia="zh-CN"/>
              </w:rPr>
            </w:pPr>
            <w:r>
              <w:rPr>
                <w:rFonts w:hint="eastAsia"/>
                <w:lang w:val="en-US" w:eastAsia="zh-CN"/>
              </w:rPr>
              <w:t>120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目标1：根据省综治办等六部门制定印发的《安徽省严重精神障碍患者监护人申领监护管理补贴暂行办法》规定， 对与被监护人共同居住、有监护管理能力且履行看管照料、送诊救助等监护管理责任的监护人，一个监护年度期满，可申请领取每名患者每年2400元的补贴，这为严重精神障碍患者家庭送去更多关爱。　　　　　　</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目标1：根据省综治办等六部门制定印发的《安徽省严重精神障碍患者监护人申领监护管理补贴暂行办法》规定， 对与被监护人共同居住、有监护管理能力且履行看管照料、送诊救助等监护管理责任的监护人，一个监护年度期满，可申请领取每名患者每年2400元的补贴，这为严重精神障碍患者家庭送去更多关爱。　　　　　　</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7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指标1：综治办提供人数</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500人</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szCs w:val="24"/>
                <w:lang w:val="en-US" w:eastAsia="zh-CN" w:bidi="ar-SA"/>
              </w:rPr>
              <w:t>500人</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指标1：综治办提供人数</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500人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500人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：补贴社会化发放率</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：补贴社会化发放率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指标1：补贴资金在规定时间内支付到位</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000000"/>
                <w:kern w:val="0"/>
                <w:sz w:val="20"/>
                <w:szCs w:val="20"/>
                <w:u w:val="none"/>
                <w:lang w:val="en-US" w:eastAsia="zh-CN" w:bidi="ar"/>
              </w:rPr>
              <w:t>≥90%</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指标1：补贴资金在规定时间内支付到位</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指标1：补助标准每人每年</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2400元</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000000"/>
                <w:kern w:val="0"/>
                <w:sz w:val="20"/>
                <w:szCs w:val="20"/>
                <w:u w:val="none"/>
                <w:lang w:val="en-US" w:eastAsia="zh-CN" w:bidi="ar"/>
              </w:rPr>
              <w:t>按标准执行</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指标1：补助标准每人每年</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lang w:val="en-US" w:eastAsia="zh-CN"/>
              </w:rPr>
            </w:pPr>
            <w:r>
              <w:rPr>
                <w:rFonts w:hint="eastAsia" w:ascii="宋体" w:hAnsi="宋体" w:eastAsia="宋体" w:cs="宋体"/>
                <w:i w:val="0"/>
                <w:color w:val="000000"/>
                <w:kern w:val="0"/>
                <w:sz w:val="20"/>
                <w:szCs w:val="20"/>
                <w:u w:val="none"/>
                <w:lang w:val="en-US" w:eastAsia="zh-CN" w:bidi="ar"/>
              </w:rPr>
              <w:t>2400元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精神病患者监护能力</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显著提高</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eastAsia="宋体" w:cs="宋体"/>
                <w:i w:val="0"/>
                <w:color w:val="auto"/>
                <w:kern w:val="0"/>
                <w:sz w:val="20"/>
                <w:szCs w:val="20"/>
                <w:u w:val="none"/>
                <w:lang w:val="en-US" w:eastAsia="zh-CN" w:bidi="ar"/>
              </w:rPr>
              <w:t>显著提高</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eastAsia="宋体" w:cs="宋体"/>
                <w:i w:val="0"/>
                <w:color w:val="000000"/>
                <w:kern w:val="0"/>
                <w:sz w:val="22"/>
                <w:szCs w:val="22"/>
                <w:u w:val="none"/>
                <w:lang w:val="en-US" w:eastAsia="zh-CN" w:bidi="ar"/>
              </w:rPr>
              <w:t>精神病患者监护能力</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显著提高</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eastAsia="宋体" w:cs="宋体"/>
                <w:i w:val="0"/>
                <w:color w:val="auto"/>
                <w:kern w:val="0"/>
                <w:sz w:val="20"/>
                <w:szCs w:val="20"/>
                <w:u w:val="none"/>
                <w:lang w:val="en-US" w:eastAsia="zh-CN" w:bidi="ar"/>
              </w:rPr>
              <w:t>显著提高</w:t>
            </w:r>
          </w:p>
        </w:tc>
      </w:tr>
      <w:tr>
        <w:tblPrEx>
          <w:tblCellMar>
            <w:top w:w="0" w:type="dxa"/>
            <w:left w:w="108" w:type="dxa"/>
            <w:bottom w:w="0" w:type="dxa"/>
            <w:right w:w="108" w:type="dxa"/>
          </w:tblCellMar>
        </w:tblPrEx>
        <w:trPr>
          <w:trHeight w:val="1038"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社会稳定</w:t>
            </w:r>
          </w:p>
        </w:tc>
        <w:tc>
          <w:tcPr>
            <w:tcW w:w="9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77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社会稳定</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9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服务对象满意度指标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服务对象满意度</w:t>
            </w:r>
          </w:p>
        </w:tc>
        <w:tc>
          <w:tcPr>
            <w:tcW w:w="9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c>
          <w:tcPr>
            <w:tcW w:w="77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服务对象满意度指标</w:t>
            </w:r>
          </w:p>
          <w:p>
            <w:pPr>
              <w:widowControl/>
              <w:jc w:val="center"/>
              <w:rPr>
                <w:rFonts w:hint="eastAsia" w:ascii="宋体" w:hAnsi="宋体" w:cs="宋体"/>
                <w:color w:val="auto"/>
                <w:kern w:val="0"/>
                <w:sz w:val="24"/>
              </w:rPr>
            </w:pPr>
          </w:p>
        </w:tc>
        <w:tc>
          <w:tcPr>
            <w:tcW w:w="117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w:t>
            </w:r>
            <w:r>
              <w:rPr>
                <w:rFonts w:hint="eastAsia" w:ascii="宋体" w:hAnsi="宋体" w:eastAsia="宋体" w:cs="宋体"/>
                <w:i w:val="0"/>
                <w:color w:val="000000"/>
                <w:kern w:val="0"/>
                <w:sz w:val="22"/>
                <w:szCs w:val="22"/>
                <w:u w:val="none"/>
                <w:lang w:val="en-US" w:eastAsia="zh-CN" w:bidi="ar"/>
              </w:rPr>
              <w:t>服务对象满意度</w:t>
            </w:r>
          </w:p>
        </w:tc>
        <w:tc>
          <w:tcPr>
            <w:tcW w:w="13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≥90%</w:t>
            </w:r>
          </w:p>
        </w:tc>
      </w:tr>
    </w:tbl>
    <w:p>
      <w:pPr>
        <w:pStyle w:val="2"/>
        <w:rPr>
          <w:rFonts w:hint="default" w:eastAsia="仿宋_GB2312"/>
          <w:lang w:val="en-US" w:eastAsia="zh-CN"/>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21</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eastAsia="zh-CN"/>
        </w:rPr>
        <w:t>原福利厂改制转隶人员经费</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（1）项目概述。原福利厂资产移交区机关事务管理中心，人员转隶到埇桥区社会福利有奖募捐服务中心。转隶人员经费由财政统筹解决。</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（2）立项依据。根据2020年10月23日区政府第51号“专题会议纪要”</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原福利厂资产移交区机关事务管理中心，人员转隶到埇桥区社会福利有奖募捐服务中心。转隶人员经费由财政统筹解决。</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财政拨款32</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926188</w:t>
      </w:r>
      <w:r>
        <w:rPr>
          <w:rFonts w:hint="eastAsia" w:ascii="宋体" w:hAnsi="宋体" w:cs="宋体"/>
          <w:kern w:val="0"/>
          <w:sz w:val="22"/>
          <w:szCs w:val="22"/>
        </w:rPr>
        <w:t xml:space="preserve"> </w:t>
      </w:r>
      <w:r>
        <w:rPr>
          <w:rFonts w:hint="eastAsia" w:ascii="仿宋_GB2312" w:hAnsi="仿宋" w:eastAsia="仿宋_GB2312"/>
          <w:color w:val="auto"/>
          <w:sz w:val="32"/>
          <w:szCs w:val="32"/>
          <w:lang w:val="en-US" w:eastAsia="zh-CN"/>
        </w:rPr>
        <w:t>万元。</w:t>
      </w:r>
    </w:p>
    <w:p>
      <w:pPr>
        <w:adjustRightInd w:val="0"/>
        <w:snapToGrid w:val="0"/>
        <w:spacing w:line="600" w:lineRule="exact"/>
        <w:ind w:firstLine="640" w:firstLineChars="200"/>
        <w:jc w:val="both"/>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r>
        <w:rPr>
          <w:rFonts w:hint="eastAsia" w:ascii="仿宋_GB2312" w:hAnsi="楷体" w:eastAsia="仿宋_GB2312"/>
          <w:color w:val="auto"/>
          <w:sz w:val="32"/>
          <w:szCs w:val="32"/>
          <w:lang w:eastAsia="zh-CN"/>
        </w:rPr>
        <w:t>。</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890"/>
        <w:gridCol w:w="843"/>
        <w:gridCol w:w="1733"/>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890" w:type="dxa"/>
            <w:tcBorders>
              <w:top w:val="nil"/>
              <w:left w:val="nil"/>
              <w:bottom w:val="nil"/>
              <w:right w:val="nil"/>
            </w:tcBorders>
            <w:vAlign w:val="center"/>
          </w:tcPr>
          <w:p>
            <w:pPr>
              <w:widowControl/>
              <w:jc w:val="left"/>
              <w:rPr>
                <w:rFonts w:ascii="宋体" w:hAnsi="宋体" w:cs="宋体"/>
                <w:color w:val="auto"/>
                <w:kern w:val="0"/>
                <w:sz w:val="24"/>
              </w:rPr>
            </w:pPr>
          </w:p>
        </w:tc>
        <w:tc>
          <w:tcPr>
            <w:tcW w:w="843" w:type="dxa"/>
            <w:tcBorders>
              <w:top w:val="nil"/>
              <w:left w:val="nil"/>
              <w:bottom w:val="nil"/>
              <w:right w:val="nil"/>
            </w:tcBorders>
            <w:vAlign w:val="center"/>
          </w:tcPr>
          <w:p>
            <w:pPr>
              <w:widowControl/>
              <w:jc w:val="left"/>
              <w:rPr>
                <w:rFonts w:ascii="宋体" w:hAnsi="宋体" w:cs="宋体"/>
                <w:color w:val="auto"/>
                <w:kern w:val="0"/>
                <w:sz w:val="24"/>
              </w:rPr>
            </w:pPr>
          </w:p>
        </w:tc>
        <w:tc>
          <w:tcPr>
            <w:tcW w:w="1733"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原福利厂改制转隶人员经费</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2971"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86"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2971"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52"/>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A3"/>
            </w:r>
            <w:r>
              <w:rPr>
                <w:rFonts w:hint="eastAsia" w:ascii="宋体" w:hAnsi="宋体" w:cs="宋体"/>
                <w:color w:val="auto"/>
                <w:kern w:val="0"/>
                <w:sz w:val="24"/>
              </w:rPr>
              <w:t>延续项目</w:t>
            </w:r>
          </w:p>
        </w:tc>
        <w:tc>
          <w:tcPr>
            <w:tcW w:w="29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eastAsia="zh-CN"/>
              </w:rPr>
              <w:t>32</w:t>
            </w:r>
            <w:r>
              <w:rPr>
                <w:rFonts w:hint="eastAsia" w:ascii="宋体" w:hAnsi="宋体" w:cs="宋体"/>
                <w:kern w:val="0"/>
                <w:sz w:val="24"/>
                <w:lang w:val="en-US" w:eastAsia="zh-CN"/>
              </w:rPr>
              <w:t>.</w:t>
            </w:r>
            <w:r>
              <w:rPr>
                <w:rFonts w:hint="eastAsia" w:ascii="宋体" w:hAnsi="宋体" w:cs="宋体"/>
                <w:kern w:val="0"/>
                <w:sz w:val="24"/>
                <w:lang w:eastAsia="zh-CN"/>
              </w:rPr>
              <w:t>926188</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91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528"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8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528"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根据埇桥区委、区政府《关于推进从事生产经营活动事业单位改革实施方案》（埇办秘（2018）7号）及2020年10月23日区政府第51号“专题会议纪要”等文件精神，原福利厂资产移交区机关事务管理中心，人员转隶到埇桥区社会福利有奖募捐服务中心。转隶人员经费由财政统筹解决。　　　</w:t>
            </w:r>
          </w:p>
        </w:tc>
        <w:tc>
          <w:tcPr>
            <w:tcW w:w="5815"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　根据埇桥区委、区政府《关于推进从事生产经营活动事业单位改革实施方案》（埇办秘（2018）7号）及2020年10月23日区政府第51号“专题会议纪要”等文件精神，原福利厂资产移交区机关事务管理中心，人员转隶到埇桥区社会福利有奖募捐服务中心。转隶人员经费由财政统筹解决。　　　　　</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89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84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73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指标1：改制转隶人员</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color w:val="auto"/>
                <w:kern w:val="0"/>
                <w:sz w:val="24"/>
                <w:szCs w:val="24"/>
                <w:lang w:val="en-US" w:eastAsia="zh-CN" w:bidi="ar-SA"/>
              </w:rPr>
              <w:t>4人</w:t>
            </w:r>
          </w:p>
        </w:tc>
        <w:tc>
          <w:tcPr>
            <w:tcW w:w="1733"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数量指标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指标1：改制转隶人员</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：改制转隶人员经费发放准确率</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c>
          <w:tcPr>
            <w:tcW w:w="17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质量指标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w:t>
            </w:r>
            <w:r>
              <w:rPr>
                <w:rFonts w:hint="eastAsia" w:ascii="宋体" w:hAnsi="宋体" w:cs="宋体"/>
                <w:color w:val="auto"/>
                <w:kern w:val="0"/>
                <w:sz w:val="24"/>
                <w:lang w:eastAsia="zh-CN"/>
              </w:rPr>
              <w:t>：改制转隶人员经费发放准确率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指标1：人员经费在规定时间下达率</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c>
          <w:tcPr>
            <w:tcW w:w="173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时效指标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指标1：人员经费在规定时间下达率</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指标1：全年人员经费</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lang w:eastAsia="zh-CN"/>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成本指标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指标1：全年人员经费</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329261</w:t>
            </w:r>
            <w:r>
              <w:rPr>
                <w:rFonts w:hint="eastAsia" w:ascii="宋体" w:hAnsi="宋体" w:cs="宋体"/>
                <w:color w:val="auto"/>
                <w:kern w:val="0"/>
                <w:sz w:val="24"/>
                <w:lang w:val="en-US" w:eastAsia="zh-CN"/>
              </w:rPr>
              <w:t>.</w:t>
            </w:r>
            <w:r>
              <w:rPr>
                <w:rFonts w:hint="eastAsia" w:ascii="宋体" w:hAnsi="宋体" w:cs="宋体"/>
                <w:color w:val="auto"/>
                <w:kern w:val="0"/>
                <w:sz w:val="24"/>
              </w:rPr>
              <w:t>88</w:t>
            </w:r>
            <w:r>
              <w:rPr>
                <w:rFonts w:hint="eastAsia" w:ascii="宋体" w:hAnsi="宋体" w:cs="宋体"/>
                <w:color w:val="auto"/>
                <w:kern w:val="0"/>
                <w:sz w:val="24"/>
                <w:lang w:eastAsia="zh-CN"/>
              </w:rPr>
              <w:t>元</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指标1：保障转隶人员生活权益</w:t>
            </w:r>
          </w:p>
        </w:tc>
        <w:tc>
          <w:tcPr>
            <w:tcW w:w="8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8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4人</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1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cs="宋体"/>
                <w:color w:val="auto"/>
                <w:kern w:val="0"/>
                <w:sz w:val="24"/>
              </w:rPr>
              <w:t xml:space="preserve"> 指标1：保障转隶人员生活权益</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4人</w:t>
            </w:r>
          </w:p>
        </w:tc>
      </w:tr>
      <w:tr>
        <w:tblPrEx>
          <w:tblCellMar>
            <w:top w:w="0" w:type="dxa"/>
            <w:left w:w="108" w:type="dxa"/>
            <w:bottom w:w="0" w:type="dxa"/>
            <w:right w:w="108" w:type="dxa"/>
          </w:tblCellMar>
        </w:tblPrEx>
        <w:trPr>
          <w:trHeight w:val="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服务对象满意度指标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指标1：改制转隶人员满意度</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服务对象满意度指标</w:t>
            </w:r>
          </w:p>
        </w:tc>
        <w:tc>
          <w:tcPr>
            <w:tcW w:w="117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指标1：改制转隶人员满意度</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ascii="宋体" w:hAnsi="宋体" w:eastAsia="宋体" w:cs="宋体"/>
                <w:i w:val="0"/>
                <w:color w:val="000000"/>
                <w:kern w:val="0"/>
                <w:sz w:val="20"/>
                <w:szCs w:val="20"/>
                <w:u w:val="none"/>
                <w:lang w:val="en-US" w:eastAsia="zh-CN" w:bidi="ar"/>
              </w:rPr>
              <w:t>0%</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重度残疾人护理补贴</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仿宋" w:eastAsia="仿宋_GB2312"/>
          <w:color w:val="auto"/>
          <w:sz w:val="32"/>
          <w:szCs w:val="32"/>
        </w:rPr>
        <w:t>促进残疾人家庭增收，加快推进残疾人小康进程，着力解决残疾人因残疾产生的额外生活支出和长期照护支出困难。</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（2）立项依据。《宿州市2021年困难残疾人生活和重残疾人护理补贴实施办法》宿民发（[2021]43号）文件</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2022年1月1日至2022年12月31日。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促进残疾人家庭增收，加快推进残疾人小康进程，着力解决残疾人因残疾产生的额外生活支出和长期照护支出困难。重度残疾人护理补贴范围，指具有埇桥区户籍，持有《中华人民共和国第二代残疾人证》，残疾等级被评定为一级、二级且需要长期照护的重度残疾人，以及符合下列条件之一的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1、</w:t>
      </w:r>
      <w:r>
        <w:rPr>
          <w:rFonts w:hint="eastAsia" w:ascii="仿宋_GB2312" w:hAnsi="楷体" w:eastAsia="仿宋_GB2312"/>
          <w:color w:val="auto"/>
          <w:sz w:val="32"/>
          <w:szCs w:val="32"/>
          <w:lang w:eastAsia="zh-CN"/>
        </w:rPr>
        <w:t>最低生活保障对象中的残疾等级被评定为一级、二级的所有残疾人；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2、</w:t>
      </w:r>
      <w:r>
        <w:rPr>
          <w:rFonts w:hint="eastAsia" w:ascii="仿宋_GB2312" w:hAnsi="楷体" w:eastAsia="仿宋_GB2312"/>
          <w:color w:val="auto"/>
          <w:sz w:val="32"/>
          <w:szCs w:val="32"/>
          <w:lang w:eastAsia="zh-CN"/>
        </w:rPr>
        <w:t>智力、精神、视力、多重类别的一级、二级残疾人；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3、</w:t>
      </w:r>
      <w:r>
        <w:rPr>
          <w:rFonts w:hint="eastAsia" w:ascii="仿宋_GB2312" w:hAnsi="楷体" w:eastAsia="仿宋_GB2312"/>
          <w:color w:val="auto"/>
          <w:sz w:val="32"/>
          <w:szCs w:val="32"/>
          <w:lang w:eastAsia="zh-CN"/>
        </w:rPr>
        <w:t>肢体类别的16周岁以下和60周岁以上的一级、二级残疾人；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听力、言语类别的16周岁以下和60周岁以上的一级、二级残疾人。</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 xml:space="preserve">残疾等级评定为一级、二级且需要长期照护的重度残疾人认定评估指标，依据以下6项指标进行综合评估：      </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（一）自主吃饭；</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（二）自主穿衣；</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（三）自主上下床；</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（四）自主如厕；</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（五）室内自主行走；</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（六）自主洗澡。</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以上6项指标中有2项达不到的，可视为需要长期照护。</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宋体" w:hAnsi="宋体" w:cs="宋体"/>
          <w:kern w:val="0"/>
          <w:sz w:val="22"/>
          <w:szCs w:val="22"/>
        </w:rPr>
        <w:t xml:space="preserve"> </w:t>
      </w:r>
      <w:r>
        <w:rPr>
          <w:rFonts w:hint="eastAsia" w:ascii="仿宋_GB2312" w:hAnsi="仿宋" w:eastAsia="仿宋_GB2312"/>
          <w:color w:val="auto"/>
          <w:sz w:val="32"/>
          <w:szCs w:val="32"/>
          <w:lang w:val="en-US" w:eastAsia="zh-CN"/>
        </w:rPr>
        <w:t>720万元。</w:t>
      </w:r>
    </w:p>
    <w:p>
      <w:pPr>
        <w:adjustRightInd w:val="0"/>
        <w:snapToGrid w:val="0"/>
        <w:spacing w:line="600" w:lineRule="exact"/>
        <w:ind w:firstLine="640" w:firstLineChars="200"/>
        <w:rPr>
          <w:rFonts w:hint="eastAsia"/>
          <w:color w:val="auto"/>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10963" w:type="dxa"/>
        <w:jc w:val="center"/>
        <w:tblLayout w:type="fixed"/>
        <w:tblCellMar>
          <w:top w:w="0" w:type="dxa"/>
          <w:left w:w="108" w:type="dxa"/>
          <w:bottom w:w="0" w:type="dxa"/>
          <w:right w:w="108" w:type="dxa"/>
        </w:tblCellMar>
      </w:tblPr>
      <w:tblGrid>
        <w:gridCol w:w="620"/>
        <w:gridCol w:w="700"/>
        <w:gridCol w:w="857"/>
        <w:gridCol w:w="1238"/>
        <w:gridCol w:w="1025"/>
        <w:gridCol w:w="1230"/>
        <w:gridCol w:w="1211"/>
        <w:gridCol w:w="1178"/>
        <w:gridCol w:w="1333"/>
        <w:gridCol w:w="1571"/>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202</w:t>
            </w:r>
            <w:r>
              <w:rPr>
                <w:rFonts w:hint="eastAsia" w:ascii="宋体" w:hAnsi="宋体" w:cs="宋体"/>
                <w:color w:val="auto"/>
                <w:kern w:val="0"/>
                <w:sz w:val="24"/>
                <w:lang w:val="en-US" w:eastAsia="zh-CN"/>
              </w:rPr>
              <w:t>2</w:t>
            </w:r>
            <w:r>
              <w:rPr>
                <w:rFonts w:hint="eastAsia" w:ascii="宋体" w:hAnsi="宋体" w:cs="宋体"/>
                <w:color w:val="auto"/>
                <w:kern w:val="0"/>
                <w:sz w:val="24"/>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00" w:type="dxa"/>
            <w:tcBorders>
              <w:top w:val="nil"/>
              <w:left w:val="nil"/>
              <w:bottom w:val="single" w:color="auto" w:sz="4" w:space="0"/>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57" w:type="dxa"/>
            <w:tcBorders>
              <w:top w:val="nil"/>
              <w:left w:val="nil"/>
              <w:bottom w:val="nil"/>
              <w:right w:val="nil"/>
            </w:tcBorders>
            <w:vAlign w:val="center"/>
          </w:tcPr>
          <w:p>
            <w:pPr>
              <w:widowControl/>
              <w:jc w:val="left"/>
              <w:rPr>
                <w:rFonts w:ascii="宋体" w:hAnsi="宋体" w:cs="宋体"/>
                <w:color w:val="auto"/>
                <w:kern w:val="0"/>
                <w:sz w:val="24"/>
              </w:rPr>
            </w:pPr>
          </w:p>
        </w:tc>
        <w:tc>
          <w:tcPr>
            <w:tcW w:w="1238" w:type="dxa"/>
            <w:tcBorders>
              <w:top w:val="nil"/>
              <w:left w:val="nil"/>
              <w:bottom w:val="nil"/>
              <w:right w:val="nil"/>
            </w:tcBorders>
            <w:vAlign w:val="center"/>
          </w:tcPr>
          <w:p>
            <w:pPr>
              <w:widowControl/>
              <w:jc w:val="left"/>
              <w:rPr>
                <w:rFonts w:ascii="宋体" w:hAnsi="宋体" w:cs="宋体"/>
                <w:color w:val="auto"/>
                <w:kern w:val="0"/>
                <w:sz w:val="24"/>
              </w:rPr>
            </w:pPr>
          </w:p>
        </w:tc>
        <w:tc>
          <w:tcPr>
            <w:tcW w:w="1025" w:type="dxa"/>
            <w:tcBorders>
              <w:top w:val="nil"/>
              <w:left w:val="nil"/>
              <w:bottom w:val="nil"/>
              <w:right w:val="nil"/>
            </w:tcBorders>
            <w:vAlign w:val="center"/>
          </w:tcPr>
          <w:p>
            <w:pPr>
              <w:widowControl/>
              <w:jc w:val="left"/>
              <w:rPr>
                <w:rFonts w:ascii="宋体" w:hAnsi="宋体" w:cs="宋体"/>
                <w:color w:val="auto"/>
                <w:kern w:val="0"/>
                <w:sz w:val="24"/>
              </w:rPr>
            </w:pPr>
          </w:p>
        </w:tc>
        <w:tc>
          <w:tcPr>
            <w:tcW w:w="1230" w:type="dxa"/>
            <w:tcBorders>
              <w:top w:val="nil"/>
              <w:left w:val="nil"/>
              <w:bottom w:val="nil"/>
              <w:right w:val="nil"/>
            </w:tcBorders>
            <w:vAlign w:val="center"/>
          </w:tcPr>
          <w:p>
            <w:pPr>
              <w:widowControl/>
              <w:jc w:val="left"/>
              <w:rPr>
                <w:rFonts w:ascii="宋体" w:hAnsi="宋体" w:cs="宋体"/>
                <w:color w:val="auto"/>
                <w:kern w:val="0"/>
                <w:sz w:val="24"/>
              </w:rPr>
            </w:pPr>
          </w:p>
        </w:tc>
        <w:tc>
          <w:tcPr>
            <w:tcW w:w="1211" w:type="dxa"/>
            <w:tcBorders>
              <w:top w:val="nil"/>
              <w:left w:val="nil"/>
              <w:bottom w:val="nil"/>
              <w:right w:val="nil"/>
            </w:tcBorders>
            <w:vAlign w:val="center"/>
          </w:tcPr>
          <w:p>
            <w:pPr>
              <w:widowControl/>
              <w:jc w:val="left"/>
              <w:rPr>
                <w:rFonts w:ascii="宋体" w:hAnsi="宋体" w:cs="宋体"/>
                <w:color w:val="auto"/>
                <w:kern w:val="0"/>
                <w:sz w:val="24"/>
              </w:rPr>
            </w:pPr>
          </w:p>
        </w:tc>
        <w:tc>
          <w:tcPr>
            <w:tcW w:w="1178" w:type="dxa"/>
            <w:tcBorders>
              <w:top w:val="nil"/>
              <w:left w:val="nil"/>
              <w:bottom w:val="nil"/>
              <w:right w:val="nil"/>
            </w:tcBorders>
            <w:vAlign w:val="center"/>
          </w:tcPr>
          <w:p>
            <w:pPr>
              <w:widowControl/>
              <w:jc w:val="left"/>
              <w:rPr>
                <w:rFonts w:ascii="宋体" w:hAnsi="宋体" w:cs="宋体"/>
                <w:color w:val="auto"/>
                <w:kern w:val="0"/>
                <w:sz w:val="24"/>
              </w:rPr>
            </w:pPr>
          </w:p>
        </w:tc>
        <w:tc>
          <w:tcPr>
            <w:tcW w:w="1333" w:type="dxa"/>
            <w:tcBorders>
              <w:top w:val="nil"/>
              <w:left w:val="nil"/>
              <w:bottom w:val="nil"/>
              <w:right w:val="nil"/>
            </w:tcBorders>
            <w:vAlign w:val="center"/>
          </w:tcPr>
          <w:p>
            <w:pPr>
              <w:widowControl/>
              <w:jc w:val="left"/>
              <w:rPr>
                <w:rFonts w:ascii="宋体" w:hAnsi="宋体" w:cs="宋体"/>
                <w:color w:val="auto"/>
                <w:kern w:val="0"/>
                <w:sz w:val="24"/>
              </w:rPr>
            </w:pPr>
          </w:p>
        </w:tc>
        <w:tc>
          <w:tcPr>
            <w:tcW w:w="1571" w:type="dxa"/>
            <w:tcBorders>
              <w:top w:val="nil"/>
              <w:left w:val="nil"/>
              <w:bottom w:val="nil"/>
              <w:right w:val="nil"/>
            </w:tcBorders>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项目名称</w:t>
            </w:r>
          </w:p>
        </w:tc>
        <w:tc>
          <w:tcPr>
            <w:tcW w:w="878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重度残疾人护理补贴</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主管部门</w:t>
            </w:r>
          </w:p>
        </w:tc>
        <w:tc>
          <w:tcPr>
            <w:tcW w:w="3493"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民政局</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实施单位</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民政局</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项目属性</w:t>
            </w:r>
          </w:p>
        </w:tc>
        <w:tc>
          <w:tcPr>
            <w:tcW w:w="3493" w:type="dxa"/>
            <w:gridSpan w:val="3"/>
            <w:tcBorders>
              <w:top w:val="single" w:color="auto" w:sz="4" w:space="0"/>
              <w:left w:val="single" w:color="auto" w:sz="4" w:space="0"/>
              <w:bottom w:val="single" w:color="auto" w:sz="4" w:space="0"/>
              <w:right w:val="nil"/>
            </w:tcBorders>
            <w:vAlign w:val="center"/>
          </w:tcPr>
          <w:p>
            <w:pPr>
              <w:widowControl/>
              <w:jc w:val="both"/>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rPr>
              <w:sym w:font="Wingdings 2" w:char="00A3"/>
            </w:r>
            <w:r>
              <w:rPr>
                <w:rFonts w:hint="eastAsia" w:ascii="宋体" w:hAnsi="宋体" w:cs="宋体"/>
                <w:color w:val="auto"/>
                <w:kern w:val="0"/>
                <w:sz w:val="24"/>
              </w:rPr>
              <w:t xml:space="preserve">新增项目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sym w:font="Wingdings 2" w:char="0052"/>
            </w:r>
            <w:r>
              <w:rPr>
                <w:rFonts w:hint="eastAsia" w:ascii="宋体" w:hAnsi="宋体" w:cs="宋体"/>
                <w:color w:val="auto"/>
                <w:kern w:val="0"/>
                <w:sz w:val="24"/>
              </w:rPr>
              <w:t>延续项目</w:t>
            </w:r>
          </w:p>
        </w:tc>
        <w:tc>
          <w:tcPr>
            <w:tcW w:w="23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项目期</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2022年</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39" w:hRule="atLeast"/>
          <w:jc w:val="center"/>
        </w:trPr>
        <w:tc>
          <w:tcPr>
            <w:tcW w:w="217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中期资金总额：</w:t>
            </w:r>
          </w:p>
        </w:tc>
        <w:tc>
          <w:tcPr>
            <w:tcW w:w="22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720</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年度资金总额：</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720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其中：财政拨款</w:t>
            </w:r>
          </w:p>
        </w:tc>
        <w:tc>
          <w:tcPr>
            <w:tcW w:w="22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720</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宋体" w:hAnsi="宋体" w:cs="宋体"/>
                <w:kern w:val="0"/>
                <w:sz w:val="22"/>
                <w:szCs w:val="22"/>
                <w:lang w:val="en-US"/>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 xml:space="preserve">     </w:t>
            </w:r>
            <w:r>
              <w:rPr>
                <w:rFonts w:hint="eastAsia" w:ascii="宋体" w:hAnsi="宋体" w:cs="宋体"/>
                <w:kern w:val="0"/>
                <w:sz w:val="22"/>
                <w:szCs w:val="22"/>
              </w:rPr>
              <w:t>其中：财政拨款</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rPr>
            </w:pPr>
            <w:r>
              <w:rPr>
                <w:rFonts w:hint="eastAsia" w:ascii="宋体" w:hAnsi="宋体" w:cs="宋体"/>
                <w:kern w:val="0"/>
                <w:sz w:val="24"/>
                <w:lang w:val="en-US" w:eastAsia="zh-CN"/>
              </w:rPr>
              <w:t>720</w:t>
            </w:r>
          </w:p>
        </w:tc>
      </w:tr>
      <w:tr>
        <w:tblPrEx>
          <w:tblCellMar>
            <w:top w:w="0" w:type="dxa"/>
            <w:left w:w="108" w:type="dxa"/>
            <w:bottom w:w="0" w:type="dxa"/>
            <w:right w:w="108" w:type="dxa"/>
          </w:tblCellMar>
        </w:tblPrEx>
        <w:trPr>
          <w:trHeight w:val="439" w:hRule="atLeast"/>
          <w:jc w:val="center"/>
        </w:trPr>
        <w:tc>
          <w:tcPr>
            <w:tcW w:w="217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其他资金</w:t>
            </w:r>
          </w:p>
        </w:tc>
        <w:tc>
          <w:tcPr>
            <w:tcW w:w="225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38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其他资金</w:t>
            </w:r>
          </w:p>
        </w:tc>
        <w:tc>
          <w:tcPr>
            <w:tcW w:w="29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5050" w:type="dxa"/>
            <w:gridSpan w:val="5"/>
            <w:tcBorders>
              <w:top w:val="single" w:color="auto" w:sz="4"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中期目标（20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1月</w:t>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w:t>
            </w:r>
            <w:r>
              <w:rPr>
                <w:rFonts w:hint="eastAsia" w:ascii="宋体" w:hAnsi="宋体" w:cs="宋体"/>
                <w:kern w:val="0"/>
                <w:sz w:val="24"/>
                <w:lang w:val="en-US" w:eastAsia="zh-CN"/>
              </w:rPr>
              <w:t>12月</w:t>
            </w:r>
            <w:r>
              <w:rPr>
                <w:rFonts w:hint="eastAsia" w:ascii="宋体" w:hAnsi="宋体" w:cs="宋体"/>
                <w:kern w:val="0"/>
                <w:sz w:val="24"/>
              </w:rPr>
              <w:t>）</w:t>
            </w:r>
          </w:p>
        </w:tc>
        <w:tc>
          <w:tcPr>
            <w:tcW w:w="529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050" w:type="dxa"/>
            <w:gridSpan w:val="5"/>
            <w:tcBorders>
              <w:top w:val="single" w:color="auto" w:sz="4" w:space="0"/>
              <w:left w:val="nil"/>
              <w:bottom w:val="single" w:color="auto" w:sz="4" w:space="0"/>
              <w:right w:val="nil"/>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w:t>
            </w:r>
            <w:r>
              <w:rPr>
                <w:rFonts w:hint="eastAsia" w:ascii="宋体" w:hAnsi="宋体" w:cs="宋体"/>
                <w:kern w:val="0"/>
                <w:sz w:val="24"/>
                <w:lang w:val="en-US" w:eastAsia="zh-CN"/>
              </w:rPr>
              <w:t>1：</w:t>
            </w:r>
            <w:r>
              <w:rPr>
                <w:rFonts w:hint="eastAsia" w:ascii="宋体" w:hAnsi="宋体" w:cs="宋体"/>
                <w:kern w:val="0"/>
                <w:sz w:val="24"/>
              </w:rPr>
              <w:t xml:space="preserve"> 促进残疾人家庭增收，加快推进残疾人小康进程，着力解决残疾人因残疾产生的额外生活支出和长期照护支出困难。　　　　　　</w:t>
            </w:r>
          </w:p>
        </w:tc>
        <w:tc>
          <w:tcPr>
            <w:tcW w:w="5293" w:type="dxa"/>
            <w:gridSpan w:val="4"/>
            <w:tcBorders>
              <w:top w:val="single" w:color="auto" w:sz="4" w:space="0"/>
              <w:left w:val="single" w:color="auto" w:sz="4" w:space="0"/>
              <w:bottom w:val="single" w:color="auto" w:sz="4" w:space="0"/>
              <w:right w:val="single" w:color="000000" w:sz="4" w:space="0"/>
            </w:tcBorders>
            <w:vAlign w:val="top"/>
          </w:tcPr>
          <w:p>
            <w:pPr>
              <w:widowControl/>
              <w:jc w:val="left"/>
              <w:rPr>
                <w:rFonts w:hint="eastAsia" w:ascii="宋体" w:hAnsi="宋体" w:eastAsia="宋体" w:cs="宋体"/>
                <w:kern w:val="0"/>
                <w:sz w:val="24"/>
                <w:lang w:eastAsia="zh-CN"/>
              </w:rPr>
            </w:pPr>
            <w:r>
              <w:rPr>
                <w:rFonts w:hint="eastAsia" w:ascii="宋体" w:hAnsi="宋体" w:cs="宋体"/>
                <w:kern w:val="0"/>
                <w:sz w:val="24"/>
              </w:rPr>
              <w:t>目标1</w:t>
            </w:r>
            <w:r>
              <w:rPr>
                <w:rFonts w:hint="eastAsia" w:ascii="宋体" w:hAnsi="宋体" w:cs="宋体"/>
                <w:kern w:val="0"/>
                <w:sz w:val="24"/>
                <w:lang w:eastAsia="zh-CN"/>
              </w:rPr>
              <w:t>：</w:t>
            </w:r>
            <w:r>
              <w:rPr>
                <w:rFonts w:hint="eastAsia" w:ascii="宋体" w:hAnsi="宋体" w:cs="宋体"/>
                <w:kern w:val="0"/>
                <w:sz w:val="24"/>
              </w:rPr>
              <w:t>促进残疾人家庭增收，加快推进残疾人小康进程，着力解决残疾人因残疾产生的额外生活支出和长期照护支出困难。　　　　　　</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00"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5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23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23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117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3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指标值</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产</w:t>
            </w:r>
            <w:r>
              <w:rPr>
                <w:rFonts w:hint="eastAsia" w:ascii="宋体" w:hAnsi="宋体" w:cs="宋体"/>
                <w:color w:val="auto"/>
                <w:kern w:val="0"/>
                <w:sz w:val="24"/>
              </w:rPr>
              <w:br w:type="textWrapping"/>
            </w:r>
            <w:r>
              <w:rPr>
                <w:rFonts w:hint="eastAsia" w:ascii="宋体" w:hAnsi="宋体" w:cs="宋体"/>
                <w:color w:val="auto"/>
                <w:kern w:val="0"/>
                <w:sz w:val="24"/>
              </w:rPr>
              <w:t>出</w:t>
            </w:r>
            <w:r>
              <w:rPr>
                <w:rFonts w:hint="eastAsia" w:ascii="宋体" w:hAnsi="宋体" w:cs="宋体"/>
                <w:color w:val="auto"/>
                <w:kern w:val="0"/>
                <w:sz w:val="24"/>
              </w:rPr>
              <w:br w:type="textWrapping"/>
            </w:r>
            <w:r>
              <w:rPr>
                <w:rFonts w:hint="eastAsia" w:ascii="宋体" w:hAnsi="宋体" w:cs="宋体"/>
                <w:color w:val="auto"/>
                <w:kern w:val="0"/>
                <w:sz w:val="24"/>
              </w:rPr>
              <w:t>指</w:t>
            </w:r>
            <w:r>
              <w:rPr>
                <w:rFonts w:hint="eastAsia" w:ascii="宋体" w:hAnsi="宋体" w:cs="宋体"/>
                <w:color w:val="auto"/>
                <w:kern w:val="0"/>
                <w:sz w:val="24"/>
              </w:rPr>
              <w:br w:type="textWrapping"/>
            </w:r>
            <w:r>
              <w:rPr>
                <w:rFonts w:hint="eastAsia" w:ascii="宋体" w:hAnsi="宋体" w:cs="宋体"/>
                <w:color w:val="auto"/>
                <w:kern w:val="0"/>
                <w:sz w:val="24"/>
              </w:rPr>
              <w:t>标</w:t>
            </w:r>
          </w:p>
        </w:tc>
        <w:tc>
          <w:tcPr>
            <w:tcW w:w="85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数量指标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补贴人数</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c>
          <w:tcPr>
            <w:tcW w:w="1230"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c>
          <w:tcPr>
            <w:tcW w:w="1211" w:type="dxa"/>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数量指标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指标1：补贴人数</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25000</w:t>
            </w:r>
            <w:r>
              <w:rPr>
                <w:rFonts w:hint="eastAsia" w:ascii="宋体" w:hAnsi="宋体" w:cs="宋体"/>
                <w:i w:val="0"/>
                <w:color w:val="auto"/>
                <w:kern w:val="0"/>
                <w:sz w:val="22"/>
                <w:szCs w:val="22"/>
                <w:u w:val="none"/>
                <w:lang w:val="en-US" w:eastAsia="zh-CN" w:bidi="ar"/>
              </w:rPr>
              <w:t>人</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质量指标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补贴发放准确率</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1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质量指标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指标1：补贴发放准确率</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时效指标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补贴按时发放率</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11"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时效指标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指标1：补贴按时发放率</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r>
        <w:tblPrEx>
          <w:tblCellMar>
            <w:top w:w="0" w:type="dxa"/>
            <w:left w:w="108" w:type="dxa"/>
            <w:bottom w:w="0" w:type="dxa"/>
            <w:right w:w="108" w:type="dxa"/>
          </w:tblCellMar>
        </w:tblPrEx>
        <w:trPr>
          <w:trHeight w:val="992"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成本指标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补贴标准（省区两级6:4比例分担）</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60元/人/月</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按标准执行</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成本指标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指标1：补贴标准（省区两级6:4比例分担）</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60元/人/月</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按标准执行</w:t>
            </w:r>
          </w:p>
        </w:tc>
      </w:tr>
      <w:tr>
        <w:tblPrEx>
          <w:tblCellMar>
            <w:top w:w="0" w:type="dxa"/>
            <w:left w:w="108" w:type="dxa"/>
            <w:bottom w:w="0" w:type="dxa"/>
            <w:right w:w="108" w:type="dxa"/>
          </w:tblCellMar>
        </w:tblPrEx>
        <w:trPr>
          <w:trHeight w:val="590"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社会效益</w:t>
            </w:r>
            <w:r>
              <w:rPr>
                <w:rFonts w:hint="eastAsia" w:ascii="宋体" w:hAnsi="宋体" w:cs="宋体"/>
                <w:color w:val="auto"/>
                <w:kern w:val="0"/>
                <w:sz w:val="24"/>
              </w:rPr>
              <w:br w:type="textWrapping"/>
            </w:r>
            <w:r>
              <w:rPr>
                <w:rFonts w:hint="eastAsia" w:ascii="宋体" w:hAnsi="宋体" w:cs="宋体"/>
                <w:color w:val="auto"/>
                <w:kern w:val="0"/>
                <w:sz w:val="24"/>
              </w:rPr>
              <w:t>指标</w:t>
            </w:r>
          </w:p>
        </w:tc>
        <w:tc>
          <w:tcPr>
            <w:tcW w:w="123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指标1：</w:t>
            </w:r>
            <w:r>
              <w:rPr>
                <w:rFonts w:hint="eastAsia" w:ascii="宋体" w:hAnsi="宋体" w:eastAsia="宋体" w:cs="宋体"/>
                <w:i w:val="0"/>
                <w:color w:val="auto"/>
                <w:kern w:val="0"/>
                <w:sz w:val="22"/>
                <w:szCs w:val="22"/>
                <w:u w:val="none"/>
                <w:lang w:val="en-US" w:eastAsia="zh-CN" w:bidi="ar"/>
              </w:rPr>
              <w:t>解决残疾人长期照护支出困难</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社会效益</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指标1：解决残疾人长期照护支出困难</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成效明显</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可持续影响指标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促进残疾人家庭增收</w:t>
            </w:r>
          </w:p>
        </w:tc>
        <w:tc>
          <w:tcPr>
            <w:tcW w:w="10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2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21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可持续影响指标</w:t>
            </w:r>
          </w:p>
        </w:tc>
        <w:tc>
          <w:tcPr>
            <w:tcW w:w="11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指标1：促进残疾人家庭增收</w:t>
            </w:r>
          </w:p>
        </w:tc>
        <w:tc>
          <w:tcPr>
            <w:tcW w:w="13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c>
          <w:tcPr>
            <w:tcW w:w="15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满意度指标</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服务对象</w:t>
            </w:r>
            <w:r>
              <w:rPr>
                <w:rFonts w:hint="eastAsia" w:ascii="宋体" w:hAnsi="宋体" w:cs="宋体"/>
                <w:color w:val="auto"/>
                <w:kern w:val="0"/>
                <w:sz w:val="24"/>
              </w:rPr>
              <w:br w:type="textWrapping"/>
            </w:r>
            <w:r>
              <w:rPr>
                <w:rFonts w:hint="eastAsia" w:ascii="宋体" w:hAnsi="宋体" w:cs="宋体"/>
                <w:color w:val="auto"/>
                <w:kern w:val="0"/>
                <w:sz w:val="24"/>
              </w:rPr>
              <w:t>满意度指标</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政策知晓率</w:t>
            </w:r>
          </w:p>
        </w:tc>
        <w:tc>
          <w:tcPr>
            <w:tcW w:w="102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3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服务对象</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满意度指标</w:t>
            </w:r>
          </w:p>
        </w:tc>
        <w:tc>
          <w:tcPr>
            <w:tcW w:w="117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cs="宋体"/>
                <w:color w:val="auto"/>
                <w:kern w:val="0"/>
                <w:sz w:val="24"/>
              </w:rPr>
              <w:t>指标1：</w:t>
            </w:r>
            <w:r>
              <w:rPr>
                <w:rFonts w:hint="eastAsia" w:ascii="宋体" w:hAnsi="宋体" w:eastAsia="宋体" w:cs="宋体"/>
                <w:i w:val="0"/>
                <w:color w:val="auto"/>
                <w:kern w:val="0"/>
                <w:sz w:val="22"/>
                <w:szCs w:val="22"/>
                <w:u w:val="none"/>
                <w:lang w:val="en-US" w:eastAsia="zh-CN" w:bidi="ar"/>
              </w:rPr>
              <w:t>服务满意度</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政策知晓率</w:t>
            </w:r>
          </w:p>
        </w:tc>
        <w:tc>
          <w:tcPr>
            <w:tcW w:w="133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c>
          <w:tcPr>
            <w:tcW w:w="15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≥90%</w:t>
            </w:r>
          </w:p>
        </w:tc>
      </w:tr>
    </w:tbl>
    <w:p>
      <w:pPr>
        <w:pStyle w:val="2"/>
        <w:rPr>
          <w:rFonts w:hint="default" w:eastAsia="仿宋_GB2312"/>
          <w:lang w:val="en-US" w:eastAsia="zh-CN"/>
        </w:rPr>
      </w:pPr>
    </w:p>
    <w:p>
      <w:pPr>
        <w:pStyle w:val="2"/>
        <w:ind w:left="0" w:leftChars="0" w:firstLine="0" w:firstLineChars="0"/>
        <w:rPr>
          <w:rFonts w:hint="default" w:eastAsia="仿宋_GB231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3450A"/>
    <w:rsid w:val="04073EE4"/>
    <w:rsid w:val="0F3550C8"/>
    <w:rsid w:val="141136C2"/>
    <w:rsid w:val="15DD4218"/>
    <w:rsid w:val="184620F4"/>
    <w:rsid w:val="189127B9"/>
    <w:rsid w:val="1BFA1AF4"/>
    <w:rsid w:val="20FD7456"/>
    <w:rsid w:val="223C5DB1"/>
    <w:rsid w:val="24BC202E"/>
    <w:rsid w:val="24C60BB1"/>
    <w:rsid w:val="25444802"/>
    <w:rsid w:val="255F47F5"/>
    <w:rsid w:val="26CF1507"/>
    <w:rsid w:val="297D16EE"/>
    <w:rsid w:val="31D64DAC"/>
    <w:rsid w:val="378F30BD"/>
    <w:rsid w:val="3C441E40"/>
    <w:rsid w:val="3E484845"/>
    <w:rsid w:val="40544EF3"/>
    <w:rsid w:val="40994A03"/>
    <w:rsid w:val="41A81F4E"/>
    <w:rsid w:val="42DF51F6"/>
    <w:rsid w:val="47071EA4"/>
    <w:rsid w:val="4C46523D"/>
    <w:rsid w:val="4E33450A"/>
    <w:rsid w:val="517B1FDF"/>
    <w:rsid w:val="52991DAB"/>
    <w:rsid w:val="58E24F30"/>
    <w:rsid w:val="5A604713"/>
    <w:rsid w:val="5CE77144"/>
    <w:rsid w:val="5D3A7FA4"/>
    <w:rsid w:val="5E602AD0"/>
    <w:rsid w:val="5EA31EF3"/>
    <w:rsid w:val="6142706B"/>
    <w:rsid w:val="621E7BD5"/>
    <w:rsid w:val="63261A25"/>
    <w:rsid w:val="63AA3067"/>
    <w:rsid w:val="6B713CB1"/>
    <w:rsid w:val="6EF25DA1"/>
    <w:rsid w:val="70733FD5"/>
    <w:rsid w:val="73491235"/>
    <w:rsid w:val="74E97204"/>
    <w:rsid w:val="75FD61F5"/>
    <w:rsid w:val="77C47D79"/>
    <w:rsid w:val="7FC13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 w:type="character" w:customStyle="1" w:styleId="5">
    <w:name w:val="font41"/>
    <w:basedOn w:val="4"/>
    <w:qFormat/>
    <w:uiPriority w:val="0"/>
    <w:rPr>
      <w:rFonts w:ascii="宋体" w:hAnsi="宋体" w:eastAsia="宋体" w:cs="宋体"/>
      <w:color w:val="FF0000"/>
      <w:sz w:val="22"/>
      <w:szCs w:val="22"/>
      <w:u w:val="none"/>
    </w:rPr>
  </w:style>
  <w:style w:type="character" w:customStyle="1" w:styleId="6">
    <w:name w:val="font21"/>
    <w:basedOn w:val="4"/>
    <w:qFormat/>
    <w:uiPriority w:val="0"/>
    <w:rPr>
      <w:rFonts w:hint="eastAsia" w:ascii="宋体" w:hAnsi="宋体" w:eastAsia="宋体" w:cs="宋体"/>
      <w:color w:val="FF0000"/>
      <w:sz w:val="22"/>
      <w:szCs w:val="22"/>
      <w:u w:val="none"/>
    </w:rPr>
  </w:style>
  <w:style w:type="character" w:customStyle="1" w:styleId="7">
    <w:name w:val="font0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2022-03-07T03:32:00Z</dcterms:created>
  <dc:creator>Administrator</dc:creator>
  <cp:lastModifiedBy>夏青</cp:lastModifiedBy>
  <dcterms:modified xsi:type="dcterms:W3CDTF">2022-03-15T00:44:40Z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EA4A894712EC40B884C9B7C628F8D8A6</vt:lpwstr>
  </property>
</Properties>
</file>