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时村镇应对突发新冠肺炎疫情开展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全员核酸检测工作方案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为确保在3天内完成全镇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人口全员核酸检测任务的要求，根据《关于细化实化新冠肺炎疫情防控应急预案的通知》（皖疫防办〔2021〕232号）精神和区防疫办的要求，结合我镇实际情况，进一步细化、实化全员核酸检测工作方案。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坚持“宁可备而不用，不可用时无备”，按照“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镇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统筹、属地负责、行业全民参与”的原则，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我镇</w:t>
      </w:r>
      <w:r>
        <w:rPr>
          <w:rFonts w:hint="eastAsia" w:ascii="仿宋" w:hAnsi="仿宋" w:eastAsia="仿宋" w:cs="仿宋"/>
          <w:sz w:val="32"/>
          <w:szCs w:val="32"/>
          <w:lang w:bidi="ar"/>
        </w:rPr>
        <w:t>确保在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天内完成辖区全员核酸检测工作任务。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成立全员核酸检测工作领导小组，设置组长1名，副组长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名。设置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核酸筛查检测采样工作领导小组现场指挥组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后勤保障组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宣教报道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暨数据统计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各采样点核酸检测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、转运组</w:t>
      </w:r>
      <w:r>
        <w:rPr>
          <w:rFonts w:hint="eastAsia" w:ascii="仿宋" w:hAnsi="仿宋" w:eastAsia="仿宋" w:cs="仿宋"/>
          <w:sz w:val="32"/>
          <w:szCs w:val="32"/>
          <w:lang w:bidi="ar"/>
        </w:rPr>
        <w:t>等工作小组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sz w:val="32"/>
          <w:szCs w:val="32"/>
          <w:lang w:bidi="ar"/>
        </w:rPr>
        <w:t>详见附件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。每个小组建立不同微信工作调度群，集中办公，高效运转。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三、全员核酸检测具体程序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（一）采样前准备工作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1.科学划分责任网格。</w:t>
      </w:r>
      <w:r>
        <w:rPr>
          <w:rFonts w:hint="eastAsia" w:ascii="仿宋" w:hAnsi="仿宋" w:eastAsia="仿宋" w:cs="仿宋"/>
          <w:sz w:val="32"/>
          <w:szCs w:val="32"/>
        </w:rPr>
        <w:t>以行政村为单位，依法依规、科学划定防控责任网格至自然村组、机关事业单位、企业，做到全覆盖、无遗漏。村组织提前填写《宿州市全员核酸检测包保责任分工表》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表格细化至采样场所覆盖的自然村组、包保人口数、包保单位联系人、转运人员、检测基地等。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全面摸清人员底数。组织村两委干部、基层医疗卫生人员、志愿者等对每个责任网格的常住人员，以及居住（工作）14天以上的流动人员、返乡务工人员进行全员统计，登记造册，并根据流入流出情况，实时动态调整，精准掌握每个网格的人员状况和变化情况，做到底数清、情况明、数据准。以村为单位，安排人员填写《新冠病毒核酸检测信息登记表》（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由各村负责）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2.组建采样队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（1）采样队人员组成。</w:t>
      </w:r>
      <w:r>
        <w:rPr>
          <w:rFonts w:hint="eastAsia" w:ascii="仿宋" w:hAnsi="仿宋" w:eastAsia="仿宋" w:cs="仿宋"/>
          <w:sz w:val="32"/>
          <w:szCs w:val="32"/>
        </w:rPr>
        <w:t>镇将统筹乡镇干部、村两委、小组长、公安干警、医务人员、党员及入党积极分子、志愿者等组成若干采样工作组，做好采样现场组织发动、秩序维护、信息登记、样本采集、收集转运、环境消杀等工作，确保采样工作有力、有序、规范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（2）采样人员数量。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上</w:t>
      </w:r>
      <w:r>
        <w:rPr>
          <w:rFonts w:hint="eastAsia" w:ascii="仿宋" w:hAnsi="仿宋" w:eastAsia="仿宋" w:cs="仿宋"/>
          <w:sz w:val="32"/>
          <w:szCs w:val="32"/>
          <w:lang w:bidi="ar"/>
        </w:rPr>
        <w:t>级方案要求，每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000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00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人口配备1组采样人员、每组至少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名采样人员，我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镇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万人口需要组建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个采样组，共需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150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名采样人员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3.设置采样点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（1）按照安全、科学、便民的原则，采用“大规模集中采样为主+小区流动采样为辅的高效运转模式”，每个责任网格选择室外空旷、通风良好、面积较大的学校操场、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文化广场</w:t>
      </w:r>
      <w:r>
        <w:rPr>
          <w:rFonts w:hint="eastAsia" w:ascii="仿宋" w:hAnsi="仿宋" w:eastAsia="仿宋" w:cs="仿宋"/>
          <w:sz w:val="32"/>
          <w:szCs w:val="32"/>
          <w:lang w:bidi="ar"/>
        </w:rPr>
        <w:t>等作为采样场所，每个网格按照每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000—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sz w:val="32"/>
          <w:szCs w:val="32"/>
          <w:lang w:bidi="ar"/>
        </w:rPr>
        <w:t>00人设置一个采样点、再结合当地实际情况设置小型采样点或流动采样点，对行动不便等特殊人群提供采样服务。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（2）每个采样点根据面积设置一定数量的采样通道以及5个区、2个点。5个区为测温区、登记区、缓冲区、采样区、休息清洁区，设置间隔1米线；2个点为临时隔离点、医疗救护点。采样区域必须单向出入。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（3）每个采样点根据情况配备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5名</w:t>
      </w:r>
      <w:r>
        <w:rPr>
          <w:rFonts w:hint="eastAsia" w:ascii="仿宋" w:hAnsi="仿宋" w:eastAsia="仿宋" w:cs="仿宋"/>
          <w:sz w:val="32"/>
          <w:szCs w:val="32"/>
          <w:lang w:bidi="ar"/>
        </w:rPr>
        <w:t>采样人员，另外务必按照采集人群数120 %以上标准配备采样管、咽拭子、封口袋等一次性耗材及医疗废物桶等。做好遮阳、取暖、挡风、电力供应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等工作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。现场发现疑似患者或高危人群要在做好个人防护的前提下，在临时隔离区等待转运。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（4）每个采样点至少设置一条手工登记通道，主要登记没有身份证的人群信息，需要配备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名登记人员、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名采样人员（贴签发管和采样可以轮换）；至少设置1个信息化登记台，需要配备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名登记人员、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名采样人员（1人贴签发管和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人采样，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可以轮换）。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（二）标本采集工作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bidi w:val="0"/>
        <w:adjustRightIn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1.组织动员。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全员核酸检测启动后，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镇</w:t>
      </w:r>
      <w:r>
        <w:rPr>
          <w:rFonts w:hint="eastAsia" w:ascii="仿宋" w:hAnsi="仿宋" w:eastAsia="仿宋" w:cs="仿宋"/>
          <w:sz w:val="32"/>
          <w:szCs w:val="32"/>
          <w:lang w:bidi="ar"/>
        </w:rPr>
        <w:t>应尽快通过新闻发布、政府公告等形式发布全员核酸检测公告；组织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防控力量在各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小区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、学校、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企业</w:t>
      </w:r>
      <w:r>
        <w:rPr>
          <w:rFonts w:hint="eastAsia" w:ascii="仿宋" w:hAnsi="仿宋" w:eastAsia="仿宋" w:cs="仿宋"/>
          <w:sz w:val="32"/>
          <w:szCs w:val="32"/>
          <w:lang w:bidi="ar"/>
        </w:rPr>
        <w:t>等张贴通告，入户或电话通知本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的采样时间、地点、批次安排、注意事项等，尤其要注意流动人口、走亲访友、酒店旅客等人员检测安排，确保常住人口一人不漏、流动人口一人不少。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bidi w:val="0"/>
        <w:adjustRightIn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2.现场采样。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每支采样队伍设队长一名。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各行政村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安排联络员一名，负责与采样队长对接。该联络员职责为核实采样点待采样人员数量并联系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安排车辆运送采样技术人员至采样点开展工作。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3.有序排队。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采样人员抵达采样点后，立即做好相关准备工作；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工作人员引导群众有序排队等候，依次进行采样；群众排队等候需佩戴口罩，保持1米间距；采样人员按要求依次对受检人群开展样本采集。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4.采样编号。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采样点采用信息化扫码方式登记信息时，以条形码为准。因故需手工登记信息时，采用采样点+小组编号+混检流水号，</w:t>
      </w:r>
      <w:r>
        <w:rPr>
          <w:rFonts w:hint="eastAsia" w:ascii="仿宋" w:hAnsi="仿宋" w:eastAsia="仿宋" w:cs="仿宋"/>
          <w:sz w:val="32"/>
          <w:szCs w:val="32"/>
        </w:rPr>
        <w:t>如采样点编号99，采样小组编号02，混检管流水号044，则在混检试管标记为9902044。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5.医疗废弃物处理。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各采样点产生的所有医疗废弃物，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使用专门/用医用生物安全垃圾袋两层包装并对外包装进行消毒包扎后，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后期</w:t>
      </w:r>
      <w:r>
        <w:rPr>
          <w:rFonts w:hint="eastAsia" w:ascii="仿宋" w:hAnsi="仿宋" w:eastAsia="仿宋" w:cs="仿宋"/>
          <w:sz w:val="32"/>
          <w:szCs w:val="32"/>
          <w:lang w:bidi="ar"/>
        </w:rPr>
        <w:t>由医疗废弃物处置有限公司巡回收回处置。包装袋表面运送前使用0.2％含氯消毒剂或75%酒精消毒。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6.采样场地消杀。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完成采样工作后，由指定的消杀公司，立即对场地进行消杀工作。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（三）采样后相关工作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1.居民管理。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对已经完成采样的人员，要做好健康提示，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在等待检测结果期间，不外出、不聚集、不扎堆、不聚餐，不与家庭以外的人员接触。中高风</w:t>
      </w:r>
      <w:r>
        <w:rPr>
          <w:rFonts w:hint="eastAsia" w:ascii="仿宋" w:hAnsi="仿宋" w:eastAsia="仿宋" w:cs="仿宋"/>
          <w:sz w:val="32"/>
          <w:szCs w:val="32"/>
          <w:lang w:bidi="ar"/>
        </w:rPr>
        <w:t>险地区人员要按要求做好集中/居家隔离和健康监测。低风险地区人员，要持续做好健康监测，在做好个人防护前提下，可持有效核酸检测阴性证明有序流动。如有发热、咳嗽等相关症状，要及时报告，及时安全转运至发热门诊检测治疗。完成采样、检测工作后，与安康码或国务院小程序关联，及时推送，方便群众知晓、方便单位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行政村</w:t>
      </w:r>
      <w:r>
        <w:rPr>
          <w:rFonts w:hint="eastAsia" w:ascii="仿宋" w:hAnsi="仿宋" w:eastAsia="仿宋" w:cs="仿宋"/>
          <w:sz w:val="32"/>
          <w:szCs w:val="32"/>
          <w:lang w:bidi="ar"/>
        </w:rPr>
        <w:t>等查验，反向推动全员核酸检测工作。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.核酸检测报告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核酸检测点如果检测出混检阳性标本，要立即把采样信息报告属地疾控中心，迅速调阅相关人员基本信息，尽快落实集中隔离措施，并尽快安排实施再次采样进行核酸检测。核酸检测结果出来后，要及时反馈至各采样点及被采样人及相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.数据统计上报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宣教报道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暨数据统计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bidi="ar"/>
        </w:rPr>
        <w:t>负责采样点、检测点的数据收集、汇总、上报，实行“三报制”制度，每天上午8:00、中午12:00、下午6:00三个时间段进行数据统计汇报，上报数据要层层签字、一条渠道上报、一条渠道发布，坚决杜绝未采先报、未检先报、未出结果先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（一）镇村成立专项工作领导小组，确保该项工作能够在领导小组的指挥下规范有序推进。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各级各部门要积极配合、协同作战，切实做到责任履行到位、措施执行到位、工作落实到位。对因弄虚作假、失职渎职导致防控不力，造成不良影响的，依规依纪依法严格追责问责。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（三）做好各类保障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高度重视各类疫情防控物资和试剂耗材的储备工作，确定各类防护物资、检测试剂、消毒用品等防控物资储备数量满足需要。按照《采样点应急采样物资预算清单》，配齐所需物资，并及时补充。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要做好全员核酸检测的后勤保障工作，妥善安排采样工作人员以及来我市支援工作的各类人员住宿、就餐、休息、接待（转运）等保障工作。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附件：时村镇应对突发新冠肺炎疫情开展全员核酸检测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时村镇人民政府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2022年1月10日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pacing w:line="600" w:lineRule="exact"/>
        <w:ind w:lef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时村镇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应对突发新冠肺炎疫情开展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pacing w:line="600" w:lineRule="exact"/>
        <w:ind w:lef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全员核酸检测工作领导小组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pacing w:line="600" w:lineRule="exact"/>
        <w:ind w:left="0" w:firstLine="640" w:firstLineChars="20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核酸筛查检测采样工作领导小组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 指 挥：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潘  永（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党委书记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副总指挥：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桂  晨（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党委副书记.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24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张  峰（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24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陈开武（时村镇主任科员）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24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  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（时村镇副镇长）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    员：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学（时村镇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卫生院院长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军（时村镇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党政办主任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24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振（时村镇派出所所长）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刘东风（时村镇防保所所长）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二、现场指挥组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党委副书记.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副组长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：陈开武（时村镇主任科员）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1920" w:firstLineChars="6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  畅（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  员：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学（时村镇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卫生院院长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振（时村镇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派出所所长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1920" w:firstLineChars="6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刘东风（时村镇防保所所长）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谷宗艳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曹蒲村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营明利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从营村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盛从斌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时南村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王浩杰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时东村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李华东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红旗村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马庆峰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东风村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付志红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付楼村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  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时西村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蒲兆育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大蒲村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乔计超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林口村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朱怀强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陈村村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冲疃村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胡梁村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马楼村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孙  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刁山村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夏浩杰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油坊村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梁新民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棒场村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梁德兴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梁寨村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王须子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营孜村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马军令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奎北村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负责现场的指挥调度、协调等工作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丁一丽（时村镇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党委委员、组织委员）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员：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军（时村镇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党政办主任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刘东风（时村镇防保所所长）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负责场景搭建、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防疫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物资、车辆等后勤保障工作。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四、宣教报道暨数据统计组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  辉（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宣传委员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员：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王禹尧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检测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工作的摄录、宣传、报道等工作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五、各核酸检测采样点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秩序维护人员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引导员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信息采集员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采样人员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六、转运组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组  长：刘东风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（时村镇防保所所长）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组  员：马百林（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时村镇防保所工作人员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1920" w:firstLineChars="6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营  辕（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时村镇防保所工作人员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="210" w:leftChars="0" w:right="0" w:right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20" w:leftChars="100" w:right="22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4CC54C"/>
    <w:multiLevelType w:val="singleLevel"/>
    <w:tmpl w:val="E84CC5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jFjODA2ZjQ2ZmUzZTYzNDhkZTk5Yjk2YzIwYzIifQ=="/>
  </w:docVars>
  <w:rsids>
    <w:rsidRoot w:val="3D4A0683"/>
    <w:rsid w:val="061C3438"/>
    <w:rsid w:val="082E2718"/>
    <w:rsid w:val="0B041488"/>
    <w:rsid w:val="10A21E3E"/>
    <w:rsid w:val="14FA2A77"/>
    <w:rsid w:val="2E5249E9"/>
    <w:rsid w:val="38B36FB6"/>
    <w:rsid w:val="3D4A0683"/>
    <w:rsid w:val="449E5E61"/>
    <w:rsid w:val="44F654F5"/>
    <w:rsid w:val="465D747E"/>
    <w:rsid w:val="4C44386D"/>
    <w:rsid w:val="52FE009A"/>
    <w:rsid w:val="5A295C10"/>
    <w:rsid w:val="652C46D3"/>
    <w:rsid w:val="67C43A69"/>
    <w:rsid w:val="717B73FC"/>
    <w:rsid w:val="7BF34CF3"/>
    <w:rsid w:val="7D5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2021-08-10T12:32:00Z</dcterms:created>
  <dc:creator>左利。</dc:creator>
  <cp:lastModifiedBy>牧羊&amp;均宇</cp:lastModifiedBy>
  <cp:lastPrinted>2022-01-11T07:49:00Z</cp:lastPrinted>
  <dcterms:modified xsi:type="dcterms:W3CDTF">2023-10-08T08:40:40Z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1C93FECF4E7241E0B34989AF925AD484</vt:lpwstr>
  </property>
</Properties>
</file>