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埇桥区审计局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2023年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政务公开重点工作任务分工台账</w:t>
      </w:r>
    </w:p>
    <w:bookmarkEnd w:id="0"/>
    <w:tbl>
      <w:tblPr>
        <w:tblStyle w:val="5"/>
        <w:tblpPr w:leftFromText="180" w:rightFromText="180" w:vertAnchor="text" w:horzAnchor="page" w:tblpX="928" w:tblpY="159"/>
        <w:tblOverlap w:val="never"/>
        <w:tblW w:w="142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2115"/>
        <w:gridCol w:w="1020"/>
        <w:gridCol w:w="5955"/>
        <w:gridCol w:w="184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408" w:type="dxa"/>
            <w:gridSpan w:val="3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工作任务</w:t>
            </w:r>
          </w:p>
        </w:tc>
        <w:tc>
          <w:tcPr>
            <w:tcW w:w="5955" w:type="dxa"/>
          </w:tcPr>
          <w:p>
            <w:pPr>
              <w:ind w:firstLine="1500" w:firstLineChars="500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具体要求</w:t>
            </w:r>
          </w:p>
        </w:tc>
        <w:tc>
          <w:tcPr>
            <w:tcW w:w="1845" w:type="dxa"/>
          </w:tcPr>
          <w:p>
            <w:pPr>
              <w:ind w:firstLine="300" w:firstLineChars="100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责任股室</w:t>
            </w:r>
          </w:p>
        </w:tc>
        <w:tc>
          <w:tcPr>
            <w:tcW w:w="1995" w:type="dxa"/>
          </w:tcPr>
          <w:p>
            <w:pPr>
              <w:ind w:firstLine="300" w:firstLineChars="100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时限要求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273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一、切实提高政策发布质量</w:t>
            </w:r>
          </w:p>
        </w:tc>
        <w:tc>
          <w:tcPr>
            <w:tcW w:w="2115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（一）推进行政规范性文件集中公开</w:t>
            </w:r>
          </w:p>
        </w:tc>
        <w:tc>
          <w:tcPr>
            <w:tcW w:w="1020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firstLine="300" w:firstLineChars="10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5955" w:type="dxa"/>
          </w:tcPr>
          <w:p>
            <w:pPr>
              <w:ind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在“政府信息公开”专栏高质量发布行政规范性文件正式版本，做到全覆盖、要素齐全、格式规范。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27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（二）优化政策解读发布、咨询答复服务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firstLine="300" w:firstLineChars="10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5955" w:type="dxa"/>
          </w:tcPr>
          <w:p>
            <w:pPr>
              <w:ind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规范解读程序，坚持政策文件与解读方案、解读材料同组织、同审签、同部署。深化解读内容，重点解读与群众生产生活密切相关的具体条款和政策事项，突出核心概念、新旧政策差异、影响范围、管理执行标准及注意事项、惠企利民举措及享受条件等实质性内容，杜绝简单摘抄文字、罗列文件小标题等形式化解读。扩大政策施行后解读，针对政策施行后出现的新情况、新问题，要积极开展跟踪解读、多轮解读，对咨询、意见、建议较为集中的内容，要有针对性地予以解答。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综合法规股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ind w:firstLine="300" w:firstLineChars="10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ind w:firstLine="300" w:firstLineChars="10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27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5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5955" w:type="dxa"/>
          </w:tcPr>
          <w:p>
            <w:pPr>
              <w:ind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推动政府网站、“宿事速办”工作平台等政务平台数据融合共享，建设统一的智能化政策问答平台，围绕各类高频政策咨询事项更新解答内容、丰富解答形式，全面落实“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一般性咨询留言1个工作日答复”要求，提供智能、及时的政策问答服务，形成政策问答库并不断丰富完善。</w:t>
            </w:r>
          </w:p>
        </w:tc>
        <w:tc>
          <w:tcPr>
            <w:tcW w:w="1845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综合法规股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273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二、夯实政务公开工作基础</w:t>
            </w:r>
          </w:p>
        </w:tc>
        <w:tc>
          <w:tcPr>
            <w:tcW w:w="211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（三）严格执行公开制度</w:t>
            </w:r>
          </w:p>
        </w:tc>
        <w:tc>
          <w:tcPr>
            <w:tcW w:w="1020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5955" w:type="dxa"/>
          </w:tcPr>
          <w:p>
            <w:pPr>
              <w:ind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在公开工作中增强规范意识，严格执行《宿州市政府信息公开审查制度》，对拟公开的政府信息依法依规严格做好保密审查，防止泄露国家秘密、工作秘密和敏感信息，防范数据汇聚引发泄密风险。</w:t>
            </w:r>
          </w:p>
        </w:tc>
        <w:tc>
          <w:tcPr>
            <w:tcW w:w="1845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27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5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5955" w:type="dxa"/>
          </w:tcPr>
          <w:p>
            <w:pPr>
              <w:ind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依法依规办理政府信息公开申请，规范使用答复模板，法定时限内进行答复。在办理过程中强化服务理念，加强与申请人的沟通，准确了解申请人诉求，提高答复的及时性和针对性。</w:t>
            </w:r>
          </w:p>
        </w:tc>
        <w:tc>
          <w:tcPr>
            <w:tcW w:w="1845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27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（四）加强政府信息管理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5955" w:type="dxa"/>
          </w:tcPr>
          <w:p>
            <w:pPr>
              <w:ind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信息发布时，使用一键排版功能进行排版，保存后到前台查看效果，对存在的问题及时进行调整，待符合要求后再正式发布，具有特定格式要求或固定模板的信息除外（如工程建设项目招标公告、合同公开等）。强化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统一政府信息公开平台日常巡查、维护，确保内容及时更新，杜绝错链、断链和内容混杂。政府信息公开年报要按时发布，内容要充分体现落实上级及本单位政务公开工作要点的情况。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办公室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27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(五）完善规范公开平台</w:t>
            </w:r>
          </w:p>
        </w:tc>
        <w:tc>
          <w:tcPr>
            <w:tcW w:w="1020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5955" w:type="dxa"/>
          </w:tcPr>
          <w:p>
            <w:pPr>
              <w:ind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加强政府网站与政务新媒体建设和管理工作，聚合联动效应，有效传递党和政府权威声音，确保规范有序运行。推进政府网站集约化平台国产化适配，为信息发布提供技术保障。</w:t>
            </w:r>
          </w:p>
        </w:tc>
        <w:tc>
          <w:tcPr>
            <w:tcW w:w="184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电子数据审计股</w:t>
            </w:r>
          </w:p>
        </w:tc>
        <w:tc>
          <w:tcPr>
            <w:tcW w:w="199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27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5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5955" w:type="dxa"/>
          </w:tcPr>
          <w:p>
            <w:pPr>
              <w:ind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按照省修订后的政府信息主动公开目录规范，继续优化政府信息公开专栏建设，做好法定主动公开内容的规范、集中发布工作。</w:t>
            </w:r>
          </w:p>
        </w:tc>
        <w:tc>
          <w:tcPr>
            <w:tcW w:w="184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办公室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273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三、严格落实指导监督责任</w:t>
            </w:r>
          </w:p>
        </w:tc>
        <w:tc>
          <w:tcPr>
            <w:tcW w:w="2115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（六）强化工作保障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5955" w:type="dxa"/>
          </w:tcPr>
          <w:p>
            <w:pPr>
              <w:ind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加快推进政务公开和业务统筹考虑、统一布局、同步推进。</w:t>
            </w:r>
          </w:p>
        </w:tc>
        <w:tc>
          <w:tcPr>
            <w:tcW w:w="184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办公室</w:t>
            </w: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273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15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5955" w:type="dxa"/>
          </w:tcPr>
          <w:p>
            <w:pPr>
              <w:ind w:firstLine="600" w:firstLineChars="2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配齐配强工作力量，加强人员梯队建设，保持政务公开队伍基本稳定。政务公开工作人员发生变动的，要逐项做好工作交接，并第一时间向政务公开主管部门备</w:t>
            </w:r>
            <w:r>
              <w:rPr>
                <w:rFonts w:hint="eastAsia"/>
                <w:vertAlign w:val="baseline"/>
                <w:lang w:eastAsia="zh-CN"/>
              </w:rPr>
              <w:t>案。</w:t>
            </w:r>
          </w:p>
        </w:tc>
        <w:tc>
          <w:tcPr>
            <w:tcW w:w="184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各股室、中心</w:t>
            </w:r>
          </w:p>
        </w:tc>
        <w:tc>
          <w:tcPr>
            <w:tcW w:w="199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2023年12月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rPr>
          <w:rFonts w:hint="eastAsia"/>
          <w:lang w:eastAsia="zh-CN"/>
        </w:rPr>
      </w:pPr>
    </w:p>
    <w:sectPr>
      <w:footerReference r:id="rId3" w:type="default"/>
      <w:pgSz w:w="16838" w:h="11906" w:orient="landscape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MWNjMGViNTNiODFiOWFiN2ZlMmVmOGJjZmNiMjgifQ=="/>
  </w:docVars>
  <w:rsids>
    <w:rsidRoot w:val="3F204E6C"/>
    <w:rsid w:val="02A56500"/>
    <w:rsid w:val="07BD7EE7"/>
    <w:rsid w:val="08BF5E5A"/>
    <w:rsid w:val="09E64BC2"/>
    <w:rsid w:val="11BF39E9"/>
    <w:rsid w:val="21D92A1F"/>
    <w:rsid w:val="247A0773"/>
    <w:rsid w:val="26044E5C"/>
    <w:rsid w:val="3D2537D1"/>
    <w:rsid w:val="3F204E6C"/>
    <w:rsid w:val="43897A98"/>
    <w:rsid w:val="4A827055"/>
    <w:rsid w:val="50D75ABF"/>
    <w:rsid w:val="5E8F2D4E"/>
    <w:rsid w:val="5F077C3F"/>
    <w:rsid w:val="621B3ADF"/>
    <w:rsid w:val="6D8F3EEA"/>
    <w:rsid w:val="718F158B"/>
    <w:rsid w:val="721B7B2C"/>
    <w:rsid w:val="732D105C"/>
    <w:rsid w:val="7746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1201</Words>
  <Characters>1246</Characters>
  <Lines>0</Lines>
  <Paragraphs>0</Paragraphs>
  <TotalTime>5</TotalTime>
  <ScaleCrop>false</ScaleCrop>
  <LinksUpToDate>false</LinksUpToDate>
  <CharactersWithSpaces>1246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2022-08-22T08:34:00Z</dcterms:created>
  <dc:creator>Administrator</dc:creator>
  <cp:lastModifiedBy>周一</cp:lastModifiedBy>
  <cp:lastPrinted>2022-09-07T09:48:00Z</cp:lastPrinted>
  <dcterms:modified xsi:type="dcterms:W3CDTF">2023-10-10T09:32:20Z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39D1A34C5564447999A93E19355721B8</vt:lpwstr>
  </property>
</Properties>
</file>