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202</w:t>
      </w:r>
      <w:r>
        <w:rPr>
          <w:rFonts w:hint="eastAsia" w:ascii="宋体" w:hAnsi="宋体" w:cs="宋体"/>
          <w:b/>
          <w:color w:val="auto"/>
          <w:sz w:val="44"/>
          <w:szCs w:val="44"/>
          <w:lang w:val="en-US" w:eastAsia="zh-CN"/>
        </w:rPr>
        <w:t>3</w:t>
      </w:r>
      <w:r>
        <w:rPr>
          <w:rFonts w:hint="eastAsia" w:ascii="宋体" w:hAnsi="宋体" w:eastAsia="宋体" w:cs="宋体"/>
          <w:b/>
          <w:color w:val="auto"/>
          <w:sz w:val="44"/>
          <w:szCs w:val="44"/>
          <w:lang w:val="en-US" w:eastAsia="zh-CN"/>
        </w:rPr>
        <w:t>年埇桥区民政局</w:t>
      </w:r>
      <w:r>
        <w:rPr>
          <w:rFonts w:hint="eastAsia" w:ascii="宋体" w:hAnsi="宋体" w:cs="宋体"/>
          <w:b/>
          <w:color w:val="auto"/>
          <w:sz w:val="44"/>
          <w:szCs w:val="44"/>
          <w:lang w:val="en-US" w:eastAsia="zh-CN"/>
        </w:rPr>
        <w:t>本级</w:t>
      </w:r>
      <w:r>
        <w:rPr>
          <w:rFonts w:hint="eastAsia" w:ascii="宋体" w:hAnsi="宋体" w:eastAsia="宋体" w:cs="宋体"/>
          <w:b/>
          <w:color w:val="auto"/>
          <w:sz w:val="44"/>
          <w:szCs w:val="44"/>
          <w:lang w:val="en-US" w:eastAsia="zh-CN"/>
        </w:rPr>
        <w:t>项目</w:t>
      </w:r>
    </w:p>
    <w:p>
      <w:pPr>
        <w:adjustRightInd w:val="0"/>
        <w:snapToGrid w:val="0"/>
        <w:spacing w:line="600" w:lineRule="exact"/>
        <w:ind w:firstLine="883" w:firstLineChars="200"/>
        <w:jc w:val="center"/>
        <w:rPr>
          <w:rFonts w:hint="eastAsia" w:ascii="仿宋_GB2312" w:hAnsi="楷体" w:eastAsia="仿宋_GB2312"/>
          <w:b/>
          <w:color w:val="auto"/>
          <w:sz w:val="32"/>
          <w:szCs w:val="32"/>
          <w:lang w:eastAsia="zh-CN"/>
        </w:rPr>
      </w:pPr>
      <w:r>
        <w:rPr>
          <w:rFonts w:hint="eastAsia" w:ascii="宋体" w:hAnsi="宋体" w:eastAsia="宋体" w:cs="宋体"/>
          <w:b/>
          <w:color w:val="auto"/>
          <w:sz w:val="44"/>
          <w:szCs w:val="44"/>
          <w:lang w:val="en-US" w:eastAsia="zh-CN"/>
        </w:rPr>
        <w:t>及绩效目标情况</w:t>
      </w: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仿宋"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不</w:t>
      </w:r>
      <w:r>
        <w:rPr>
          <w:rFonts w:hint="eastAsia" w:ascii="仿宋_GB2312" w:hAnsi="楷体" w:eastAsia="仿宋_GB2312"/>
          <w:color w:val="auto"/>
          <w:sz w:val="32"/>
          <w:szCs w:val="32"/>
        </w:rPr>
        <w:t>断完善社会救助制度，实行应保尽保，确保把所有符合条件的困难群众全部纳入低保范围。加强动态管理，切实做到保障对象有进有出、补助水平有升有降。做到城市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2821万元。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748"/>
        <w:gridCol w:w="2"/>
        <w:gridCol w:w="750"/>
        <w:gridCol w:w="885"/>
        <w:gridCol w:w="330"/>
        <w:gridCol w:w="1260"/>
        <w:gridCol w:w="1140"/>
        <w:gridCol w:w="720"/>
        <w:gridCol w:w="44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5"/>
                <w:lang w:val="en-US" w:eastAsia="zh-CN" w:bidi="ar"/>
              </w:rPr>
              <w:t>£</w:t>
            </w:r>
            <w:r>
              <w:rPr>
                <w:rStyle w:val="6"/>
                <w:lang w:val="en-US" w:eastAsia="zh-CN" w:bidi="ar"/>
              </w:rPr>
              <w:t xml:space="preserve">新增项目   </w:t>
            </w:r>
            <w:r>
              <w:rPr>
                <w:rStyle w:val="5"/>
                <w:lang w:val="en-US" w:eastAsia="zh-CN" w:bidi="ar"/>
              </w:rPr>
              <w:t>R</w:t>
            </w:r>
            <w:r>
              <w:rPr>
                <w:rStyle w:val="6"/>
                <w:lang w:val="en-US" w:eastAsia="zh-CN" w:bidi="ar"/>
              </w:rPr>
              <w:t>延续项目</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39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9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目标1：保障城市生活困难家庭基本生活，做到应保尽保</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目标</w:t>
            </w:r>
            <w:r>
              <w:rPr>
                <w:rStyle w:val="8"/>
                <w:rFonts w:eastAsia="宋体"/>
                <w:lang w:val="en-US" w:eastAsia="zh-CN" w:bidi="ar"/>
              </w:rPr>
              <w:t>1:</w:t>
            </w:r>
            <w:r>
              <w:rPr>
                <w:rStyle w:val="7"/>
                <w:lang w:val="en-US" w:eastAsia="zh-CN" w:bidi="ar"/>
              </w:rPr>
              <w:t>保障城市生活困难家庭基本生活，做到应保尽保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困难群众基本生活保障制度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困难群众基本生活保障制度</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：对健全社会救助体系的影响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：对健全社会救助体系的影响</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：政策知晓率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：政策知晓率</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：救助对象对社会救助实施的满意度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：救助对象对社会救助实施的满意度</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农村居民最低生活保障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14240万元。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10"/>
        <w:gridCol w:w="810"/>
        <w:gridCol w:w="1273"/>
        <w:gridCol w:w="1230"/>
        <w:gridCol w:w="750"/>
        <w:gridCol w:w="795"/>
        <w:gridCol w:w="581"/>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9"/>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Style w:val="9"/>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1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目标1：保障农村生活困难家庭基本生活，做到应保尽保</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目标</w:t>
            </w:r>
            <w:r>
              <w:rPr>
                <w:rStyle w:val="11"/>
                <w:rFonts w:eastAsia="宋体"/>
                <w:lang w:val="en-US" w:eastAsia="zh-CN" w:bidi="ar"/>
              </w:rPr>
              <w:t>1:</w:t>
            </w:r>
            <w:r>
              <w:rPr>
                <w:rStyle w:val="10"/>
                <w:lang w:val="en-US" w:eastAsia="zh-CN" w:bidi="ar"/>
              </w:rPr>
              <w:t>保障农村生活困难家庭基本生活，做到应保尽保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困难群众基本生活保障制度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困难群众基本生活保障制度</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：对健全社会救助体系的影响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：对健全社会救助体系的影响</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：政策知晓率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：政策知晓率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：救助对象对社会救助实施的满意度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：救助对象对社会救助实施的满意度</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r>
    </w:tbl>
    <w:p>
      <w:pPr>
        <w:pStyle w:val="2"/>
        <w:rPr>
          <w:rFonts w:hint="eastAsia"/>
        </w:rPr>
      </w:pPr>
    </w:p>
    <w:p/>
    <w:p>
      <w:pPr>
        <w:pStyle w:val="2"/>
      </w:pPr>
    </w:p>
    <w:p>
      <w:pPr>
        <w:adjustRightInd w:val="0"/>
        <w:snapToGrid w:val="0"/>
        <w:spacing w:line="600" w:lineRule="exact"/>
        <w:ind w:firstLine="643" w:firstLineChars="200"/>
        <w:rPr>
          <w:rFonts w:hint="default"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3.“城乡社区两委干部薪酬（含绩效）”项目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color w:val="auto"/>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。关于印发《关于进一步健全全市城市社区专职工作者职业化薪酬体系的实施意见》的通知（宿民发【2020】94号））、关于印发《宿州市埇桥区社区专职工作者管理办法》的通知（埇民发【2021】21号）。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社区专职工作者的奖励性绩效工资，根据考核等次发放,设为不合格、合格、良好和优秀</w:t>
      </w:r>
      <w:bookmarkStart w:id="0" w:name="_GoBack"/>
      <w:bookmarkEnd w:id="0"/>
      <w:r>
        <w:rPr>
          <w:rFonts w:hint="eastAsia" w:ascii="仿宋_GB2312" w:hAnsi="楷体" w:eastAsia="仿宋_GB2312"/>
          <w:color w:val="auto"/>
          <w:sz w:val="32"/>
          <w:szCs w:val="32"/>
          <w:lang w:eastAsia="zh-CN"/>
        </w:rPr>
        <w:t>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2451.55万元。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pStyle w:val="2"/>
        <w:rPr>
          <w:rFonts w:hint="eastAsia" w:ascii="仿宋_GB2312" w:hAnsi="楷体" w:eastAsia="仿宋_GB2312"/>
          <w:color w:val="auto"/>
          <w:sz w:val="32"/>
          <w:szCs w:val="32"/>
        </w:rPr>
      </w:pPr>
    </w:p>
    <w:p>
      <w:pPr>
        <w:pStyle w:val="2"/>
        <w:rPr>
          <w:rFonts w:hint="eastAsia" w:ascii="仿宋_GB2312" w:hAnsi="楷体" w:eastAsia="仿宋_GB2312"/>
          <w:color w:val="auto"/>
          <w:sz w:val="32"/>
          <w:szCs w:val="32"/>
        </w:rPr>
      </w:pPr>
    </w:p>
    <w:tbl>
      <w:tblPr>
        <w:tblStyle w:val="3"/>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598"/>
        <w:gridCol w:w="735"/>
        <w:gridCol w:w="1650"/>
        <w:gridCol w:w="1050"/>
        <w:gridCol w:w="735"/>
        <w:gridCol w:w="132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3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3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城乡社区两委干部薪酬（含绩效）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0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目标1:全年按月兑现“两委”薪资，按月缴纳社保、医保及公积金，按年度考核“两委”绩效，考核合格的情况下足额发放年度绩效。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社区“两委”发工资、绩效人数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社区“两委”发工资、绩效人数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：社区“两委”人员薪酬、绩效发放准确率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：社区“两委”人员薪酬、绩效发放准确率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：工资、社保、医保公积金发放及时性</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：工资、社保、医保公积金发放及时性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：年度绩效工资发放及时性</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：年度绩效工资发放及时性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：正职每人每年薪酬、绩效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薪酬56388元/年，绩效6000元/年</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：正职每人每年薪酬、绩效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薪酬56388元/年，绩效6000元/年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：副职每人每年薪酬、绩效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薪酬46704元/年，绩效5000元/年</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：副职每人每年薪酬、绩效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薪酬46704元/年，绩效5000元/年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：一般社会工作人员每年薪酬、绩效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薪酬43308元/年，绩效4000元/年</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：一般社会工作人员每年薪酬、绩效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薪酬43308元/年，绩效4000元/年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解决就业人数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解决就业人数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：社区专职人员对于薪酬发放满意度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社区专职人员对于薪酬发放满意度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default" w:eastAsia="宋体"/>
          <w:lang w:val="en-US" w:eastAsia="zh-CN"/>
        </w:rPr>
      </w:pPr>
    </w:p>
    <w:p>
      <w:pPr>
        <w:pStyle w:val="2"/>
        <w:numPr>
          <w:ilvl w:val="0"/>
          <w:numId w:val="0"/>
        </w:numPr>
        <w:ind w:leftChars="0" w:firstLine="643" w:firstLineChars="200"/>
        <w:rPr>
          <w:rFonts w:hint="default" w:ascii="仿宋_GB2312" w:hAnsi="楷体" w:eastAsia="仿宋_GB2312" w:cs="Times New Roman"/>
          <w:b/>
          <w:color w:val="auto"/>
          <w:kern w:val="2"/>
          <w:sz w:val="32"/>
          <w:szCs w:val="32"/>
          <w:lang w:val="en-US" w:eastAsia="zh-CN" w:bidi="ar-SA"/>
        </w:rPr>
      </w:pPr>
      <w:r>
        <w:rPr>
          <w:rFonts w:hint="eastAsia" w:ascii="仿宋_GB2312" w:hAnsi="楷体" w:eastAsia="仿宋_GB2312" w:cs="Times New Roman"/>
          <w:b/>
          <w:color w:val="auto"/>
          <w:kern w:val="2"/>
          <w:sz w:val="32"/>
          <w:szCs w:val="32"/>
          <w:lang w:val="en-US" w:eastAsia="zh-CN" w:bidi="ar-SA"/>
        </w:rPr>
        <w:t>4.“低保老年人养老服务补贴”项目</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rPr>
        <w:t>（1）项目概述。</w:t>
      </w:r>
      <w:r>
        <w:rPr>
          <w:rFonts w:hint="eastAsia" w:ascii="仿宋_GB2312" w:hAnsi="楷体" w:eastAsia="仿宋_GB2312"/>
          <w:sz w:val="32"/>
          <w:szCs w:val="32"/>
        </w:rPr>
        <w:t>为低</w:t>
      </w:r>
      <w:r>
        <w:rPr>
          <w:rFonts w:hint="eastAsia" w:ascii="仿宋_GB2312" w:hAnsi="楷体" w:eastAsia="仿宋_GB2312"/>
          <w:sz w:val="32"/>
          <w:szCs w:val="32"/>
          <w:lang w:val="en-US" w:eastAsia="zh-CN"/>
        </w:rPr>
        <w:t>保</w:t>
      </w:r>
      <w:r>
        <w:rPr>
          <w:rFonts w:hint="eastAsia" w:ascii="仿宋_GB2312" w:hAnsi="楷体" w:eastAsia="仿宋_GB2312"/>
          <w:sz w:val="32"/>
          <w:szCs w:val="32"/>
        </w:rPr>
        <w:t>老年人发放养老服务补贴，其中城市低收入养老服务补贴以政府购买服务为主</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。《关于印发&lt;养老服务和智慧养老实施方案&gt;的通知》（宿民发【2022】26号），《关于印发&lt;埇桥区养老服务和智慧养老实施方案&gt;的通知》（埇民发【2022】49号）。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。为推进社会养老服务体系建设，加快建设与我区经济社会发展水平相适应、与老年人养老服务实际需求相匹配的社会养老服务体系，为低保老年人发放养老服务补贴，提升老人幸福感、获得感。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1380万元。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662"/>
        <w:gridCol w:w="703"/>
        <w:gridCol w:w="1590"/>
        <w:gridCol w:w="1350"/>
        <w:gridCol w:w="765"/>
        <w:gridCol w:w="840"/>
        <w:gridCol w:w="49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低保老年人养老服务补贴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3"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为符合条件60岁以上低保老人发放每人每月50元，推进我区社会养老服务体系建设，发展居家养老服务。</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为符合条件60岁以上低保老人发放每人每月50元，推进我区社会养老服务体系建设，发展居家养老服务。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符合条件60岁以上低保老人每人每月50元</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ind w:firstLine="643" w:firstLineChars="200"/>
        <w:rPr>
          <w:rFonts w:hint="default" w:ascii="仿宋_GB2312" w:hAnsi="楷体" w:eastAsia="仿宋_GB2312" w:cs="Times New Roman"/>
          <w:b/>
          <w:color w:val="auto"/>
          <w:kern w:val="2"/>
          <w:sz w:val="32"/>
          <w:szCs w:val="32"/>
          <w:lang w:val="en-US" w:eastAsia="zh-CN" w:bidi="ar-SA"/>
        </w:rPr>
      </w:pPr>
      <w:r>
        <w:rPr>
          <w:rFonts w:hint="eastAsia" w:ascii="仿宋_GB2312" w:hAnsi="楷体" w:eastAsia="仿宋_GB2312" w:cs="Times New Roman"/>
          <w:b/>
          <w:color w:val="auto"/>
          <w:kern w:val="2"/>
          <w:sz w:val="32"/>
          <w:szCs w:val="32"/>
          <w:lang w:val="en-US" w:eastAsia="zh-CN" w:bidi="ar-SA"/>
        </w:rPr>
        <w:t>5.“高龄津贴补助款”项目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color w:val="auto"/>
          <w:sz w:val="32"/>
          <w:szCs w:val="32"/>
        </w:rPr>
        <w:t>（1）项目概述。</w:t>
      </w:r>
      <w:r>
        <w:rPr>
          <w:rFonts w:hint="eastAsia" w:ascii="仿宋_GB2312" w:hAnsi="楷体" w:eastAsia="仿宋_GB2312"/>
          <w:sz w:val="32"/>
          <w:szCs w:val="32"/>
        </w:rPr>
        <w:t>为我区80周岁以上老年人发放高龄津贴，改善高龄老人生活、健康条件，提升老人幸福感、获得感。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。《关于埇桥区高龄老人津贴发放实施方案的通知》埇政办秘〔2014〕68号。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sz w:val="32"/>
          <w:szCs w:val="32"/>
        </w:rPr>
        <w:t>推进社会养老服务体系建设，加快建设与我区经济社会发展水平相适应、与老年人养老服务实际需求相匹配的社会养老服务体系</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3500万元。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947"/>
        <w:gridCol w:w="825"/>
        <w:gridCol w:w="1633"/>
        <w:gridCol w:w="1200"/>
        <w:gridCol w:w="780"/>
        <w:gridCol w:w="750"/>
        <w:gridCol w:w="435"/>
        <w:gridCol w:w="109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10" w:hRule="atLeast"/>
        </w:trPr>
        <w:tc>
          <w:tcPr>
            <w:tcW w:w="836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836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高龄津贴补助款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2" w:hRule="atLeast"/>
        </w:trPr>
        <w:tc>
          <w:tcPr>
            <w:tcW w:w="24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40" w:hRule="atLeast"/>
        </w:trPr>
        <w:tc>
          <w:tcPr>
            <w:tcW w:w="24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2" w:hRule="atLeast"/>
        </w:trPr>
        <w:tc>
          <w:tcPr>
            <w:tcW w:w="24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c>
          <w:tcPr>
            <w:tcW w:w="30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：高龄津贴社会化发放率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：高龄津贴标准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改善高龄老人生活、健康条件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：加快老年人社会保障体系建设，推进老年人社会福利由补缺型向适度惠普型转变使老年人共享改革发展成果</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：享受高龄津贴人群满意度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：享受高龄津贴人群满意度</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6</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孤儿基本生活费（社会散居）</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。《宿州市2022年孤儿基本生活保障实施方案》宿民发（[2022]24号）文件。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1100元，福利机构集中养育孤儿每人每月为1510元</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765.6万元。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05"/>
        <w:gridCol w:w="705"/>
        <w:gridCol w:w="1708"/>
        <w:gridCol w:w="1440"/>
        <w:gridCol w:w="720"/>
        <w:gridCol w:w="915"/>
        <w:gridCol w:w="21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孤儿基本生活费（社会散居）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Style w:val="13"/>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Style w:val="13"/>
                <w:lang w:val="en-US" w:eastAsia="zh-CN" w:bidi="ar"/>
              </w:rPr>
              <w:t>延续项目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5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0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5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对孤儿、父母因重大困难无法履行抚养和监护责任的事实无人抚养儿童，采取政府补助的方式增强儿童家庭养育能力，以最大限度地维系儿童原有家庭环境，保障其生存和发展权益，社会散居孤儿保障标准不低于1100元/人/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对孤儿、父母因重大困难无法履行抚养和监护责任的事实无人抚养儿童，采取政府补助的方式增强儿童家庭养育能力，以最大限度地维系儿童原有家庭环境，保障其生存和发展权益，社会散居孤儿保障标准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：补贴社会化发放率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：补贴社会化发放率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：补助标准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社会散居孤儿基本生活费不低于1100元/人/月</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：补助标准</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孤儿生活水平提升情况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：孤儿生活水平提升情况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：孤儿基本生活保障制度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孤儿基本生活保障制度</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：救助服务满意度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：政策知晓率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：政策知晓率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7.“困难残疾人生活补贴”项目。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。《宿州市2022年困难残疾人生活和重度残疾人护理补贴实施方案》（宿民发〔2022〕20号）。</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（3）实施主体</w:t>
      </w:r>
      <w:r>
        <w:rPr>
          <w:rFonts w:hint="eastAsia" w:ascii="仿宋_GB2312" w:hAnsi="楷体" w:eastAsia="仿宋_GB2312"/>
          <w:color w:val="auto"/>
          <w:sz w:val="32"/>
          <w:szCs w:val="32"/>
          <w:lang w:eastAsia="zh-CN"/>
        </w:rPr>
        <w:t>。宿州市埇桥区民政局。</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解决残疾人特殊生活困难和长期照护困难，切实改善和保障残疾人基本生活。困难残疾人生活补贴范围。具有埇桥区户籍，持有《中华人民共和国残疾人证》且残疾等级在四级以上（含四级），纳入低保和脱贫人口中的残疾人。</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1115.2万元。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795"/>
        <w:gridCol w:w="795"/>
        <w:gridCol w:w="1453"/>
        <w:gridCol w:w="1410"/>
        <w:gridCol w:w="750"/>
        <w:gridCol w:w="82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4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4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目标1:按标准审核、及时发放困难残疾人（具有埇桥区户籍，持有《中华人民共和国残疾人证》且残疾等级在四级以上（含四级），纳入低保和脱贫人口中的残疾人）生活补贴。</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目标1:按标准审核、及时发放困难残疾人（具有埇桥区户籍，持有《中华人民共和国残疾人证》且残疾等级在四级以上（含四级），纳入低保和脱贫人口中的残疾人）生活补贴。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：保障人数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：资金在规定时间内下达率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：保障金额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一级、二级残疾人80元/人/月；三级、四级残疾人60元/人/月。</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：保障金额</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一级、二级残疾人80元/人/月；三级、四级残疾人60元/人/月。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帮扶率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指标1:帮扶率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：救助服务满意度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：政策经办服务满意度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numPr>
          <w:ilvl w:val="0"/>
          <w:numId w:val="0"/>
        </w:numPr>
        <w:adjustRightInd w:val="0"/>
        <w:snapToGrid w:val="0"/>
        <w:spacing w:line="600" w:lineRule="exact"/>
        <w:ind w:firstLine="643" w:firstLineChars="200"/>
        <w:rPr>
          <w:rFonts w:hint="eastAsia"/>
          <w:lang w:val="en-US" w:eastAsia="zh-CN"/>
        </w:rPr>
      </w:pPr>
      <w:r>
        <w:rPr>
          <w:rFonts w:hint="eastAsia" w:ascii="仿宋_GB2312" w:hAnsi="楷体" w:eastAsia="仿宋_GB2312"/>
          <w:b/>
          <w:color w:val="auto"/>
          <w:sz w:val="32"/>
          <w:szCs w:val="32"/>
          <w:lang w:val="en-US" w:eastAsia="zh-CN"/>
        </w:rPr>
        <w:t>8.“重度残疾人护理补贴”项目。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。《宿州市2022年困难残疾人生活和重度残疾人护理补贴实施方案》（宿民发〔2022〕20号）。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解决残疾人特殊生活困难和长期照护困难，切实改善和保障残疾人基本生活。重度残疾人护理补贴范围。具有埇桥区户籍，持有《中华人民共和国残疾人证》，残疾等级被评定为一级、二级且需要长期照护的重度残疾人。</w:t>
      </w:r>
      <w:r>
        <w:rPr>
          <w:rFonts w:hint="eastAsia" w:ascii="仿宋_GB2312" w:hAnsi="楷体" w:eastAsia="仿宋_GB2312"/>
          <w:color w:val="auto"/>
          <w:sz w:val="32"/>
          <w:szCs w:val="32"/>
          <w:lang w:val="en-US"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1032.68万元。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795"/>
        <w:gridCol w:w="795"/>
        <w:gridCol w:w="1648"/>
        <w:gridCol w:w="1245"/>
        <w:gridCol w:w="686"/>
        <w:gridCol w:w="889"/>
        <w:gridCol w:w="25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5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6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目标1:按标准审核、及时发放重度残疾人（具有埇桥区户籍，持有《中华人民共和国残疾人证》，残疾等级被评定为一级、二级且需要长期照护的重度残疾人）护理补贴。</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目标1:按标准审核、及时发放重度残疾人（具有埇桥区户籍，持有《中华人民共和国残疾人证》，残疾等级被评定为一级、二级且需要长期照护的重度残疾人）护理补贴。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：资金在规定时间内下达率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：保障金额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65元/人/月</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：保障金额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帮扶率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指标1:帮扶率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：政策经办服务满意度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pStyle w:val="2"/>
        <w:numPr>
          <w:ilvl w:val="0"/>
          <w:numId w:val="0"/>
        </w:numPr>
        <w:ind w:firstLine="643" w:firstLineChars="200"/>
        <w:rPr>
          <w:rFonts w:hint="default"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9.“三级养老服务体系建设”项目。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埇桥区关于2020年社区居家养老服务规范管理实施办法（试行）》（埇民发〔2020〕105号）、《关于印发&lt;宿州市老年助餐服务补贴方案（试行）&gt;的通知（宿民发〔2022〕66号）、宿州市民政局《关于印发《养老服务和智慧养老实施方案》的通知》宿民发（2022）26号文件、《安徽省人民政府办公厅关于印发安徽省健全基本养老服务体系促进养老服务高质量发展行动计划（2021-—2023 年）的通知》（2021）16号文件。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r>
        <w:rPr>
          <w:rFonts w:hint="eastAsia" w:ascii="仿宋_GB2312" w:hAnsi="楷体" w:eastAsia="仿宋_GB2312"/>
          <w:color w:val="auto"/>
          <w:sz w:val="32"/>
          <w:szCs w:val="32"/>
          <w:lang w:val="en-US"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1000万元。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37"/>
        <w:gridCol w:w="735"/>
        <w:gridCol w:w="1605"/>
        <w:gridCol w:w="1680"/>
        <w:gridCol w:w="720"/>
        <w:gridCol w:w="930"/>
        <w:gridCol w:w="36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三级养老服务体系建设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7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1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7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指标1：老年食堂助餐点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135个</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指标1：老年食堂助餐点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：敬老院升级改造建设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指标2：敬老院升级改造建设</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指标3：居家智慧养老</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指标3：居家智慧养老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指标3：开展智慧养老紧急预警平台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指标3：开展智慧养老紧急预警平台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指标1：资金使用准确率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指标1：资金使用准确率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指标1：三级中心建设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指标1：三级中心建设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指标1：补贴标准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点补贴：1.2万/年、供餐补贴：80岁以上老人补助3元，90岁以上补助8元。运营补贴：分别给予2万元、1.5万元、1万元的运营补贴、运营补贴：助餐服务补贴老年人年就餐人次给予运营补贴。对年就餐10000人次及以上、5000－9999人次、2000－4999人次的，每年分别给予2万元、1.5万元、1万元的运营补贴。</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点补贴：1.2万/年、供餐补贴：80岁以上老人补助3元，90岁以上补助8元。运营补贴：分别给予2万元、1.5万元、1万元的运营补贴、运营补贴：助餐服务补贴老年人年就餐人次给予运营补贴。对年就餐10000人次及以上、5000－9999人次、2000－4999人次的，每年分别给予2万元、1.5万元、1万元的运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指标1：养老服务体系进一步完善。</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三级中心全覆盖，养老服务供给能力进一步提高。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指标1：养老服务体系进一步完善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三级中心全覆盖，养老服务供给能力进一步提高。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指标1：促进养老服务发展发面的影响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夯实养老服务发展基础，未建立起较为健全的城乡基本养老公共服务体系具有重要促进意义。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指标1：促进养老服务发展发面的影响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夯实养老服务发展基础，未建立起较为健全的城乡基本养老公共服务体系具有重要促进意义。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10.“敬老院运营维护”项目。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（1）项目概述。主要用于补助特困供养人员产生的额外生活支出和长期照护支出。</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。《宿州市人民政府办公室关于调整提高宿州市2022年最低生活保障标准和特困人员供养标准的通知》宿政办秘〔2022〕31号、关于印发《特困人员供养服务机构运行维护实施方案》的通知（宿民发〔2020〕34号）。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2022年，农村集中特困供养每人每年增加1020元补贴含600元水电煤补助；敬老院等级评定给予运行维护费用补助。一星级标准每人每年600元、二星级标准每人每年1200元、三星级标准每人每年2400元。农村特困供养人员按照生活自理能力和失能失智情况分为全护理、半护理、全自理，护理标准分别为分散供养特困人员每人每月501元、286元、43元；集中供养特困人员按照全护理、半护理、全自理标准分别为每人每月715元、429元、58元。</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600万元。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pStyle w:val="2"/>
        <w:rPr>
          <w:rFonts w:hint="eastAsia" w:ascii="仿宋_GB2312" w:hAnsi="楷体" w:eastAsia="仿宋_GB2312"/>
          <w:color w:val="auto"/>
          <w:sz w:val="32"/>
          <w:szCs w:val="32"/>
        </w:rPr>
      </w:pPr>
    </w:p>
    <w:p>
      <w:pPr>
        <w:pStyle w:val="2"/>
        <w:rPr>
          <w:rFonts w:hint="eastAsia" w:ascii="仿宋_GB2312" w:hAnsi="楷体" w:eastAsia="仿宋_GB2312"/>
          <w:color w:val="auto"/>
          <w:sz w:val="32"/>
          <w:szCs w:val="32"/>
        </w:rPr>
      </w:pPr>
    </w:p>
    <w:tbl>
      <w:tblPr>
        <w:tblStyle w:val="3"/>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62"/>
        <w:gridCol w:w="675"/>
        <w:gridCol w:w="1320"/>
        <w:gridCol w:w="1425"/>
        <w:gridCol w:w="806"/>
        <w:gridCol w:w="1129"/>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75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387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9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敬老院管理人员180人，星级补助（二星级749人）、集中特困人员827人；失能失智人员（分散：全自理：4769人、半失能171人 、失能453人；集中全自理：204人；半失能354人、失能269人）</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敬老院管理人员180人，星级补助（二星级749人）、集中特困人员827人；失能失智人员（分散：全自理：4769人、半失能171人 、失能453人；集中全自理：204人；半失能354人、失能269人）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1800元/月/人；二星级1200元/人/年、增加生活补贴1020元/人/年；失能失智五保户标准（分散：全自理、半失能、失能分别43元/人/月；286元/人/月、501元/人/月；集中全自理、半失能、失能分别58元/人/月；429元/人/月、715元/人/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1800元/月/人；二星级1200元/人/年、增加生活补贴1020元/人/年；失能失智五保户标准（分散：全自理、半失能、失能分别43元/人/月；286元/人/月、501元/人/月；集中全自理、半失能、失能分别58元/人/月；429元/人/月、715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：救助对象对社会救助实施的满意度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：救助对象对社会救助实施的满意度</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11.“特困人员供养”项目。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（1）项目概述。具有我区户籍的特困供养人员基本生活费、医疗费等</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城乡特困供养人员基本生活费和分散特困供养人员照料护理补助。城乡特困供养人员按照生活自理能力和失能失智情况分为全护理、半护理、全自理，护理标准分别为每人每月501元、286元、43元</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2161万元。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90"/>
        <w:gridCol w:w="690"/>
        <w:gridCol w:w="1243"/>
        <w:gridCol w:w="1470"/>
        <w:gridCol w:w="1170"/>
        <w:gridCol w:w="75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8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8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分散5393、集中827人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分散5393、集中827人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2022年7月执行687元；预计2023年7月特困标准提高至728元；</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2022年7月执行687元；预计2023年7月特困标准提高至728元；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：政策知晓率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：政策知晓率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b/>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70915E8D"/>
    <w:rsid w:val="005E5030"/>
    <w:rsid w:val="07862942"/>
    <w:rsid w:val="14EC17F2"/>
    <w:rsid w:val="343636E3"/>
    <w:rsid w:val="38900C62"/>
    <w:rsid w:val="3B2468B0"/>
    <w:rsid w:val="3F5A1F2D"/>
    <w:rsid w:val="448712CA"/>
    <w:rsid w:val="464B0C45"/>
    <w:rsid w:val="47DC3707"/>
    <w:rsid w:val="4BCD0A28"/>
    <w:rsid w:val="53BC21E9"/>
    <w:rsid w:val="5E2B0112"/>
    <w:rsid w:val="63695360"/>
    <w:rsid w:val="64610F47"/>
    <w:rsid w:val="68A862AD"/>
    <w:rsid w:val="70915E8D"/>
    <w:rsid w:val="78D0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character" w:customStyle="1" w:styleId="5">
    <w:name w:val="font51"/>
    <w:basedOn w:val="4"/>
    <w:uiPriority w:val="0"/>
    <w:rPr>
      <w:rFonts w:hint="default" w:ascii="Wingdings 2" w:hAnsi="Wingdings 2" w:eastAsia="Wingdings 2" w:cs="Wingdings 2"/>
      <w:color w:val="000000"/>
      <w:sz w:val="20"/>
      <w:szCs w:val="20"/>
      <w:u w:val="none"/>
    </w:rPr>
  </w:style>
  <w:style w:type="character" w:customStyle="1" w:styleId="6">
    <w:name w:val="font6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hint="default" w:ascii="Times New Roman" w:hAnsi="Times New Roman" w:cs="Times New Roman"/>
      <w:color w:val="000000"/>
      <w:sz w:val="20"/>
      <w:szCs w:val="20"/>
      <w:u w:val="none"/>
    </w:rPr>
  </w:style>
  <w:style w:type="character" w:customStyle="1" w:styleId="9">
    <w:name w:val="font71"/>
    <w:basedOn w:val="4"/>
    <w:uiPriority w:val="0"/>
    <w:rPr>
      <w:rFonts w:hint="default" w:ascii="Wingdings 2" w:hAnsi="Wingdings 2" w:eastAsia="Wingdings 2" w:cs="Wingdings 2"/>
      <w:color w:val="000000"/>
      <w:sz w:val="20"/>
      <w:szCs w:val="20"/>
      <w:u w:val="none"/>
    </w:rPr>
  </w:style>
  <w:style w:type="character" w:customStyle="1" w:styleId="10">
    <w:name w:val="font31"/>
    <w:basedOn w:val="4"/>
    <w:uiPriority w:val="0"/>
    <w:rPr>
      <w:rFonts w:hint="eastAsia" w:ascii="宋体" w:hAnsi="宋体" w:eastAsia="宋体" w:cs="宋体"/>
      <w:color w:val="000000"/>
      <w:sz w:val="20"/>
      <w:szCs w:val="20"/>
      <w:u w:val="none"/>
    </w:rPr>
  </w:style>
  <w:style w:type="character" w:customStyle="1" w:styleId="11">
    <w:name w:val="font01"/>
    <w:basedOn w:val="4"/>
    <w:qFormat/>
    <w:uiPriority w:val="0"/>
    <w:rPr>
      <w:rFonts w:hint="default" w:ascii="Times New Roman" w:hAnsi="Times New Roman" w:cs="Times New Roman"/>
      <w:color w:val="000000"/>
      <w:sz w:val="20"/>
      <w:szCs w:val="20"/>
      <w:u w:val="none"/>
    </w:rPr>
  </w:style>
  <w:style w:type="character" w:customStyle="1" w:styleId="12">
    <w:name w:val="font21"/>
    <w:basedOn w:val="4"/>
    <w:qFormat/>
    <w:uiPriority w:val="0"/>
    <w:rPr>
      <w:rFonts w:hint="default" w:ascii="Times New Roman" w:hAnsi="Times New Roman" w:cs="Times New Roman"/>
      <w:color w:val="000000"/>
      <w:sz w:val="20"/>
      <w:szCs w:val="20"/>
      <w:u w:val="none"/>
    </w:rPr>
  </w:style>
  <w:style w:type="character" w:customStyle="1" w:styleId="13">
    <w:name w:val="font9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12982</Words>
  <Characters>14206</Characters>
  <Lines>0</Lines>
  <Paragraphs>0</Paragraphs>
  <TotalTime>130</TotalTime>
  <ScaleCrop>false</ScaleCrop>
  <LinksUpToDate>false</LinksUpToDate>
  <CharactersWithSpaces>14437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2023-02-10T06:55:00Z</dcterms:created>
  <dc:creator>夏青</dc:creator>
  <cp:lastModifiedBy>夏青</cp:lastModifiedBy>
  <dcterms:modified xsi:type="dcterms:W3CDTF">2023-07-31T08:34:51Z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3D2E2A979D0D49FC8A723F5B4A2031B2</vt:lpwstr>
  </property>
</Properties>
</file>