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黑体" w:hAnsi="黑体" w:eastAsia="黑体" w:cs="黑体"/>
          <w:sz w:val="44"/>
          <w:szCs w:val="44"/>
        </w:rPr>
      </w:pPr>
      <w:r>
        <w:rPr>
          <w:rFonts w:hint="eastAsia" w:ascii="黑体" w:hAnsi="黑体" w:eastAsia="黑体" w:cs="黑体"/>
          <w:sz w:val="44"/>
          <w:szCs w:val="44"/>
          <w:lang w:val="en-US" w:eastAsia="zh-CN"/>
        </w:rPr>
        <w:t>3.</w:t>
      </w:r>
      <w:r>
        <w:rPr>
          <w:rFonts w:hint="eastAsia" w:ascii="黑体" w:hAnsi="黑体" w:eastAsia="黑体" w:cs="黑体"/>
          <w:sz w:val="44"/>
          <w:szCs w:val="44"/>
          <w:lang w:val="zh-CN" w:eastAsia="zh-CN"/>
        </w:rPr>
        <w:t>中考政策加</w:t>
      </w:r>
      <w:r>
        <w:rPr>
          <w:rFonts w:hint="eastAsia" w:ascii="黑体" w:hAnsi="黑体" w:eastAsia="黑体" w:cs="黑体"/>
          <w:sz w:val="44"/>
          <w:szCs w:val="44"/>
          <w:lang w:val="en-US" w:eastAsia="zh-CN"/>
        </w:rPr>
        <w:t>分核实</w:t>
      </w:r>
    </w:p>
    <w:p>
      <w:pPr>
        <w:pStyle w:val="2"/>
        <w:bidi w:val="0"/>
        <w:jc w:val="center"/>
        <w:rPr>
          <w:rFonts w:hint="eastAsia" w:ascii="黑体" w:hAnsi="黑体" w:eastAsia="黑体" w:cs="黑体"/>
          <w:sz w:val="44"/>
          <w:szCs w:val="44"/>
        </w:rPr>
      </w:pPr>
      <w:r>
        <w:rPr>
          <w:rFonts w:hint="eastAsia" w:ascii="黑体" w:hAnsi="黑体" w:eastAsia="黑体" w:cs="黑体"/>
          <w:sz w:val="44"/>
          <w:szCs w:val="44"/>
        </w:rPr>
        <w:t>办事指南</w:t>
      </w:r>
    </w:p>
    <w:p>
      <w:pPr>
        <w:pStyle w:val="2"/>
        <w:spacing w:before="7"/>
        <w:ind w:left="0"/>
        <w:rPr>
          <w:sz w:val="23"/>
        </w:rPr>
      </w:pPr>
    </w:p>
    <w:p>
      <w:pPr>
        <w:pStyle w:val="2"/>
        <w:spacing w:before="66"/>
        <w:rPr>
          <w:rFonts w:hint="eastAsia" w:ascii="宋体" w:hAnsi="宋体" w:eastAsia="宋体" w:cs="宋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办理依据</w:t>
      </w:r>
    </w:p>
    <w:p>
      <w:pPr>
        <w:pStyle w:val="2"/>
        <w:spacing w:before="66"/>
        <w:ind w:firstLine="640" w:firstLineChars="200"/>
        <w:rPr>
          <w:rFonts w:hint="eastAsia" w:ascii="仿宋" w:hAnsi="仿宋" w:eastAsia="仿宋" w:cs="仿宋"/>
          <w:sz w:val="32"/>
          <w:szCs w:val="32"/>
        </w:rPr>
      </w:pPr>
      <w:r>
        <w:rPr>
          <w:rFonts w:hint="eastAsia" w:ascii="仿宋" w:hAnsi="仿宋" w:eastAsia="仿宋" w:cs="仿宋"/>
          <w:sz w:val="32"/>
          <w:szCs w:val="32"/>
        </w:rPr>
        <w:t>《安徽省教育厅关于做好2022年普通中小学招生入学工作的通知》（皖教基〔2022〕7号）二、全面规范普通高中招生秩序 5.从严控制政策加分。除以下加分政策外，其他政策性加分项目一律取消。同一考生如符合多项加分条件，只取其中最高一项分值加分，不得重复加分。</w:t>
      </w:r>
    </w:p>
    <w:p>
      <w:pPr>
        <w:pStyle w:val="2"/>
        <w:numPr>
          <w:ilvl w:val="0"/>
          <w:numId w:val="0"/>
        </w:numPr>
        <w:spacing w:before="66"/>
        <w:ind w:right="0" w:righ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rPr>
        <w:t>《安徽省实施〈中华人民共和国归侨侨眷权益保护法〉办法》规定的加分对象和标准；</w:t>
      </w:r>
    </w:p>
    <w:p>
      <w:pPr>
        <w:pStyle w:val="2"/>
        <w:numPr>
          <w:ilvl w:val="0"/>
          <w:numId w:val="0"/>
        </w:numPr>
        <w:spacing w:before="66"/>
        <w:ind w:left="638" w:leftChars="290" w:right="0" w:rightChars="0" w:firstLine="0" w:firstLineChars="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rPr>
        <w:t>烈士子女考生在其初中学业水平考试成绩基础上增加10分投档；</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（3）台湾籍考生在其初中学业水平考试成绩基础上增加10分投档；（4）少数民族考生在其初中学业水平考试成绩基础上增加5分投档；（5）援疆和援藏人员子女考生，在其初中学业水平考试成绩上增加10分投档；</w:t>
      </w:r>
    </w:p>
    <w:p>
      <w:pPr>
        <w:pStyle w:val="2"/>
        <w:numPr>
          <w:ilvl w:val="0"/>
          <w:numId w:val="0"/>
        </w:numPr>
        <w:spacing w:before="66"/>
        <w:ind w:left="638" w:leftChars="290" w:right="0" w:rightChars="0" w:firstLine="0" w:firstLineChars="0"/>
        <w:rPr>
          <w:rFonts w:hint="eastAsia" w:ascii="仿宋" w:hAnsi="仿宋" w:eastAsia="仿宋" w:cs="仿宋"/>
          <w:sz w:val="32"/>
          <w:szCs w:val="32"/>
        </w:rPr>
      </w:pPr>
      <w:r>
        <w:rPr>
          <w:rFonts w:hint="eastAsia" w:ascii="仿宋" w:hAnsi="仿宋" w:eastAsia="仿宋" w:cs="仿宋"/>
          <w:sz w:val="32"/>
          <w:szCs w:val="32"/>
        </w:rPr>
        <w:t>（6）军人子女考生、公安英烈和因公牺牲伤残警察子女考生、国家综合性消防救援队伍人员子女考生加分政策按有关规定执行。</w:t>
      </w:r>
    </w:p>
    <w:p>
      <w:pPr>
        <w:pStyle w:val="2"/>
        <w:spacing w:before="66"/>
        <w:rPr>
          <w:rFonts w:hint="eastAsia" w:ascii="宋体" w:hAnsi="宋体" w:eastAsia="宋体" w:cs="宋体"/>
          <w:sz w:val="32"/>
          <w:szCs w:val="32"/>
        </w:rPr>
      </w:pPr>
      <w:r>
        <w:rPr>
          <w:rFonts w:hint="eastAsia" w:ascii="黑体" w:hAnsi="黑体" w:eastAsia="黑体" w:cs="黑体"/>
          <w:sz w:val="32"/>
          <w:szCs w:val="32"/>
          <w:lang w:val="en-US" w:eastAsia="zh-CN"/>
        </w:rPr>
        <w:t>二、承办机构</w:t>
      </w:r>
    </w:p>
    <w:p>
      <w:pPr>
        <w:pStyle w:val="2"/>
        <w:bidi w:val="0"/>
        <w:ind w:firstLine="640" w:firstLineChars="200"/>
        <w:rPr>
          <w:rFonts w:hint="default" w:eastAsia="仿宋"/>
          <w:lang w:val="en-US" w:eastAsia="zh-CN"/>
        </w:rPr>
      </w:pPr>
      <w:r>
        <w:rPr>
          <w:rFonts w:hint="eastAsia" w:ascii="仿宋" w:hAnsi="仿宋" w:eastAsia="仿宋" w:cs="仿宋"/>
          <w:sz w:val="32"/>
          <w:szCs w:val="32"/>
          <w:lang w:val="en-US" w:eastAsia="zh-CN"/>
        </w:rPr>
        <w:t>基础教育股。</w:t>
      </w:r>
    </w:p>
    <w:p>
      <w:pPr>
        <w:pStyle w:val="2"/>
        <w:spacing w:before="66"/>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三、服务对象</w:t>
      </w:r>
    </w:p>
    <w:p>
      <w:pPr>
        <w:pStyle w:val="2"/>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符合条件的应届中考考生。</w:t>
      </w:r>
    </w:p>
    <w:p>
      <w:pPr>
        <w:pStyle w:val="2"/>
        <w:spacing w:before="66"/>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四、申请条件</w:t>
      </w:r>
    </w:p>
    <w:p>
      <w:pPr>
        <w:pStyle w:val="2"/>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符合以下条件的中考考生：</w:t>
      </w:r>
    </w:p>
    <w:p>
      <w:pPr>
        <w:pStyle w:val="2"/>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1.归侨、归侨子女、华侨在国内的子女，侨眷；</w:t>
      </w:r>
    </w:p>
    <w:p>
      <w:pPr>
        <w:pStyle w:val="2"/>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2.台湾籍考生；</w:t>
      </w:r>
    </w:p>
    <w:p>
      <w:pPr>
        <w:pStyle w:val="2"/>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3.烈士子女；</w:t>
      </w:r>
    </w:p>
    <w:p>
      <w:pPr>
        <w:pStyle w:val="2"/>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4.少数民族考生；</w:t>
      </w:r>
    </w:p>
    <w:p>
      <w:pPr>
        <w:pStyle w:val="2"/>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5.援疆和援藏人员子女；</w:t>
      </w:r>
    </w:p>
    <w:p>
      <w:pPr>
        <w:pStyle w:val="2"/>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6.其他军人子女。</w:t>
      </w:r>
    </w:p>
    <w:p>
      <w:pPr>
        <w:pStyle w:val="2"/>
        <w:numPr>
          <w:ilvl w:val="0"/>
          <w:numId w:val="1"/>
        </w:numPr>
        <w:spacing w:before="66"/>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申报资料</w:t>
      </w:r>
    </w:p>
    <w:p>
      <w:pPr>
        <w:pStyle w:val="2"/>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我区中考报名的考生申请加分须按以下要求准备材料：</w:t>
      </w:r>
    </w:p>
    <w:p>
      <w:pPr>
        <w:pStyle w:val="2"/>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1.“归侨、归侨子女、华侨在国内的子女”和“侨眷”，须提供地市及以上侨务办公室或港澳台事务办公室出具的证明原件（须写清具体情况并与加分项目一致）；</w:t>
      </w:r>
    </w:p>
    <w:p>
      <w:pPr>
        <w:pStyle w:val="2"/>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2.“台湾籍考生”， 须提供市人民政府台湾事务办公室出具的证明原件；</w:t>
      </w:r>
    </w:p>
    <w:p>
      <w:pPr>
        <w:pStyle w:val="2"/>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3.“烈士子女”，须提供“烈士证书”原件和复印件或县级以上民政部门出具的证明原件；</w:t>
      </w:r>
    </w:p>
    <w:p>
      <w:pPr>
        <w:pStyle w:val="2"/>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4.“少数民族考生”，须提供户口簿原件、复印件和县级以上民族事务委员会出具的证明原件；</w:t>
      </w:r>
    </w:p>
    <w:p>
      <w:pPr>
        <w:pStyle w:val="2"/>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5.“援疆和援藏人员子女”，须提供援疆和援藏派出机构出具的证明原件；</w:t>
      </w:r>
    </w:p>
    <w:p>
      <w:pPr>
        <w:pStyle w:val="2"/>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6.“其他军人子女”， 须提供宿州军分区政治机关出具的证明原件。</w:t>
      </w:r>
    </w:p>
    <w:p>
      <w:pPr>
        <w:pStyle w:val="2"/>
        <w:spacing w:before="66"/>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六、服务流程</w:t>
      </w:r>
    </w:p>
    <w:p>
      <w:pPr>
        <w:pStyle w:val="2"/>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1.考生按照市教体局教育招生考试中心当年规定的时间，到所在学校（报名点）申报，签订《2016 年宿州市中考政策加分申报及诚信承诺书》并提交有关证明材料。 </w:t>
      </w:r>
    </w:p>
    <w:p>
      <w:pPr>
        <w:pStyle w:val="2"/>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学校（报名点）工作人员现场当面初审申报材料；符合条件要求的，予以登记并留存“承诺书”和证明材料（户口簿原件、烈士证书原件要当场退还）；不符合条件要求的，予以说明原因并退回有关材料。初审通过的考生名单及其符合的加分项目在本校（报名点）公示 5 个工作日，无异议后将“统计表”“承诺书”和证明材料报送市县考试机构复核。</w:t>
      </w:r>
    </w:p>
    <w:p>
      <w:pPr>
        <w:pStyle w:val="2"/>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3.市县考试机构在规定的时间范围内完成复核工作。复核通过的考生名单及其符合的加分项目在本级网站上公示 5 个工作日。各县经公示后无异议的考生名单及其加分分值须在当年规定的截止时间之前报市教体局教育招生考试中心。</w:t>
      </w:r>
    </w:p>
    <w:p>
      <w:pPr>
        <w:pStyle w:val="2"/>
        <w:spacing w:before="66"/>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七、办理时限</w:t>
      </w:r>
    </w:p>
    <w:p>
      <w:pPr>
        <w:pStyle w:val="2"/>
        <w:bidi w:val="0"/>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材料齐全、即来即办。</w:t>
      </w:r>
    </w:p>
    <w:p>
      <w:pPr>
        <w:pStyle w:val="2"/>
        <w:spacing w:before="66"/>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八、收费依据及标准</w:t>
      </w:r>
    </w:p>
    <w:p>
      <w:pPr>
        <w:pStyle w:val="2"/>
        <w:spacing w:line="206" w:lineRule="auto"/>
        <w:ind w:right="103"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pStyle w:val="2"/>
        <w:spacing w:before="66"/>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九、咨询方式</w:t>
      </w:r>
    </w:p>
    <w:p>
      <w:pPr>
        <w:pStyle w:val="2"/>
        <w:spacing w:line="206" w:lineRule="auto"/>
        <w:ind w:right="103"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3917529</w:t>
      </w:r>
      <w:bookmarkStart w:id="0" w:name="_GoBack"/>
      <w:bookmarkEnd w:id="0"/>
      <w:r>
        <w:rPr>
          <w:rFonts w:hint="eastAsia" w:ascii="仿宋" w:hAnsi="仿宋" w:eastAsia="仿宋" w:cs="仿宋"/>
          <w:sz w:val="32"/>
          <w:szCs w:val="32"/>
          <w:lang w:val="en-US" w:eastAsia="zh-CN"/>
        </w:rPr>
        <w:t>。</w:t>
      </w:r>
    </w:p>
    <w:sectPr>
      <w:pgSz w:w="11910" w:h="16840"/>
      <w:pgMar w:top="660" w:right="760" w:bottom="280" w:left="7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F77229"/>
    <w:multiLevelType w:val="singleLevel"/>
    <w:tmpl w:val="F5F7722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NWQ1NTM1ZGFlZGYwMjFkNjlhOGQ5MmU4YWE0OGE2NGUifQ=="/>
  </w:docVars>
  <w:rsids>
    <w:rsidRoot w:val="00000000"/>
    <w:rsid w:val="08A11698"/>
    <w:rsid w:val="17C52C27"/>
    <w:rsid w:val="21E66527"/>
    <w:rsid w:val="251765B5"/>
    <w:rsid w:val="327C1AA1"/>
    <w:rsid w:val="35D74535"/>
    <w:rsid w:val="37753710"/>
    <w:rsid w:val="39437222"/>
    <w:rsid w:val="3A684402"/>
    <w:rsid w:val="3B9344F5"/>
    <w:rsid w:val="3C6C70CE"/>
    <w:rsid w:val="42023B56"/>
    <w:rsid w:val="6E543863"/>
    <w:rsid w:val="71B05423"/>
    <w:rsid w:val="75F61D2B"/>
    <w:rsid w:val="784F1AFF"/>
    <w:rsid w:val="7E1776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00"/>
    </w:pPr>
    <w:rPr>
      <w:rFonts w:ascii="宋体" w:hAnsi="宋体" w:eastAsia="宋体" w:cs="宋体"/>
      <w:sz w:val="24"/>
      <w:szCs w:val="24"/>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860</Words>
  <Characters>894</Characters>
  <TotalTime>1</TotalTime>
  <ScaleCrop>false</ScaleCrop>
  <LinksUpToDate>false</LinksUpToDate>
  <CharactersWithSpaces>904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2020-08-17T05:06:00Z</dcterms:created>
  <dc:creator>lenovo</dc:creator>
  <cp:lastModifiedBy>WPS_1672820541</cp:lastModifiedBy>
  <dcterms:modified xsi:type="dcterms:W3CDTF">2023-03-15T02:23:41Z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2020-08-17T00:00:00Z</vt:filetime>
  </property>
  <property fmtid="{D5CDD505-2E9C-101B-9397-08002B2CF9AE}" pid="3" name="LastSaved">
    <vt:filetime>2020-08-17T00:00:00Z</vt:filetime>
  </property>
  <property fmtid="{D5CDD505-2E9C-101B-9397-08002B2CF9AE}" pid="4" name="KSOProductBuildVer">
    <vt:lpwstr>2052-11.1.0.13703</vt:lpwstr>
  </property>
  <property fmtid="{D5CDD505-2E9C-101B-9397-08002B2CF9AE}" pid="5" name="ICV">
    <vt:lpwstr>3A86FEFCD4B0484288849C26431E51DA</vt:lpwstr>
  </property>
</Properties>
</file>