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val="0"/>
          <w:bCs w:val="0"/>
          <w:sz w:val="42"/>
          <w:szCs w:val="42"/>
        </w:rPr>
      </w:pPr>
      <w:r>
        <w:rPr>
          <w:b w:val="0"/>
          <w:bCs w:val="0"/>
          <w:sz w:val="42"/>
          <w:szCs w:val="42"/>
        </w:rPr>
        <w:t>关于印发《南关街道五经普工作包保督导方案》的通知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ascii="仿宋_GB2312" w:hAnsi="微软雅黑" w:eastAsia="仿宋_GB2312" w:cs="仿宋_GB2312"/>
          <w:i w:val="0"/>
          <w:iCs w:val="0"/>
          <w:caps w:val="0"/>
          <w:color w:val="333333"/>
          <w:spacing w:val="0"/>
          <w:kern w:val="0"/>
          <w:sz w:val="32"/>
          <w:szCs w:val="32"/>
          <w:shd w:val="clear" w:fill="FDFDFD"/>
          <w:lang w:val="en-US" w:eastAsia="zh-CN" w:bidi="ar"/>
        </w:rPr>
        <w:t>各社区、各部门：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    现将《南关街道五经普工作包保督导方案》印发给你们，请结合工作实际，认真贯彻执行，实现包保督导全覆盖。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                               </w:t>
      </w:r>
      <w:r>
        <w:rPr>
          <w:rFonts w:hint="eastAsia" w:ascii="仿宋_GB2312" w:hAnsi="微软雅黑" w:eastAsia="仿宋_GB2312" w:cs="仿宋_GB2312"/>
          <w:i w:val="0"/>
          <w:iCs w:val="0"/>
          <w:caps w:val="0"/>
          <w:color w:val="333333"/>
          <w:spacing w:val="0"/>
          <w:kern w:val="0"/>
          <w:sz w:val="32"/>
          <w:szCs w:val="32"/>
          <w:shd w:val="clear" w:fill="FDFDFD"/>
          <w:lang w:val="en-US" w:eastAsia="zh-CN" w:bidi="ar"/>
        </w:rPr>
        <w:t>　</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南关街道办事处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pPr>
      <w:r>
        <w:rPr>
          <w:rFonts w:hint="eastAsia" w:ascii="Times New Roman" w:hAnsi="Times New Roman" w:eastAsia="楷体_GB2312" w:cs="Times New Roman"/>
          <w:i w:val="0"/>
          <w:iCs w:val="0"/>
          <w:caps w:val="0"/>
          <w:color w:val="333333"/>
          <w:spacing w:val="0"/>
          <w:kern w:val="0"/>
          <w:sz w:val="32"/>
          <w:szCs w:val="32"/>
          <w:shd w:val="clear" w:fill="FDFDFD"/>
          <w:lang w:val="en-US" w:eastAsia="zh-CN" w:bidi="ar"/>
        </w:rPr>
        <w:t>　　　　　　　　　　　　　</w:t>
      </w:r>
      <w:r>
        <w:rPr>
          <w:rFonts w:hint="default" w:ascii="Times New Roman" w:hAnsi="Times New Roman" w:eastAsia="楷体_GB2312" w:cs="Times New Roman"/>
          <w:i w:val="0"/>
          <w:iCs w:val="0"/>
          <w:caps w:val="0"/>
          <w:color w:val="333333"/>
          <w:spacing w:val="0"/>
          <w:kern w:val="0"/>
          <w:sz w:val="32"/>
          <w:szCs w:val="32"/>
          <w:shd w:val="clear" w:fill="FDFDFD"/>
          <w:lang w:val="en-US" w:eastAsia="zh-CN" w:bidi="ar"/>
        </w:rPr>
        <w:t>2023</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年</w:t>
      </w:r>
      <w:r>
        <w:rPr>
          <w:rFonts w:hint="default" w:ascii="Times New Roman" w:hAnsi="Times New Roman" w:eastAsia="楷体_GB2312" w:cs="Times New Roman"/>
          <w:i w:val="0"/>
          <w:iCs w:val="0"/>
          <w:caps w:val="0"/>
          <w:color w:val="333333"/>
          <w:spacing w:val="0"/>
          <w:kern w:val="0"/>
          <w:sz w:val="32"/>
          <w:szCs w:val="32"/>
          <w:shd w:val="clear" w:fill="FDFDFD"/>
          <w:lang w:val="en-US" w:eastAsia="zh-CN" w:bidi="ar"/>
        </w:rPr>
        <w:t>7</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月</w:t>
      </w:r>
      <w:r>
        <w:rPr>
          <w:rFonts w:hint="default" w:ascii="Times New Roman" w:hAnsi="Times New Roman" w:eastAsia="楷体_GB2312" w:cs="Times New Roman"/>
          <w:i w:val="0"/>
          <w:iCs w:val="0"/>
          <w:caps w:val="0"/>
          <w:color w:val="333333"/>
          <w:spacing w:val="0"/>
          <w:kern w:val="0"/>
          <w:sz w:val="32"/>
          <w:szCs w:val="32"/>
          <w:shd w:val="clear" w:fill="FDFDFD"/>
          <w:lang w:val="en-US" w:eastAsia="zh-CN" w:bidi="ar"/>
        </w:rPr>
        <w:t>7</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日      </w:t>
      </w:r>
      <w:r>
        <w:rPr>
          <w:rFonts w:ascii="方正小标宋简体" w:hAnsi="方正小标宋简体" w:eastAsia="方正小标宋简体" w:cs="方正小标宋简体"/>
          <w:i w:val="0"/>
          <w:iCs w:val="0"/>
          <w:caps w:val="0"/>
          <w:color w:val="333333"/>
          <w:spacing w:val="0"/>
          <w:kern w:val="0"/>
          <w:sz w:val="44"/>
          <w:szCs w:val="44"/>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jc w:val="both"/>
        <w:rPr>
          <w:rFonts w:hint="eastAsia" w:ascii="方正小标宋简体" w:hAnsi="方正小标宋简体" w:eastAsia="方正小标宋简体" w:cs="方正小标宋简体"/>
          <w:i w:val="0"/>
          <w:iCs w:val="0"/>
          <w:caps w:val="0"/>
          <w:color w:val="333333"/>
          <w:spacing w:val="0"/>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jc w:val="both"/>
        <w:rPr>
          <w:rFonts w:hint="eastAsia" w:ascii="方正小标宋简体" w:hAnsi="方正小标宋简体" w:eastAsia="方正小标宋简体" w:cs="方正小标宋简体"/>
          <w:i w:val="0"/>
          <w:iCs w:val="0"/>
          <w:caps w:val="0"/>
          <w:color w:val="333333"/>
          <w:spacing w:val="0"/>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44"/>
          <w:szCs w:val="44"/>
          <w:shd w:val="clear" w:fill="FDFDFD"/>
        </w:rPr>
        <w:t>南关街道五经普工作包保督导方案</w:t>
      </w:r>
      <w:r>
        <w:rPr>
          <w:rFonts w:hint="default" w:ascii="仿宋_GB2312" w:hAnsi="微软雅黑" w:eastAsia="仿宋_GB2312" w:cs="仿宋_GB2312"/>
          <w:i w:val="0"/>
          <w:iCs w:val="0"/>
          <w:caps w:val="0"/>
          <w:color w:val="333333"/>
          <w:spacing w:val="0"/>
          <w:sz w:val="32"/>
          <w:szCs w:val="32"/>
          <w:shd w:val="clear" w:fill="FDFDFD"/>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    为扎实有效推进五经普各项重点工作有序开展，经街道党工委研究决定，现就五经普工作包保督导制定本方案。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b w:val="0"/>
          <w:bCs w:val="0"/>
          <w:i w:val="0"/>
          <w:iCs w:val="0"/>
          <w:caps w:val="0"/>
          <w:color w:val="333333"/>
          <w:spacing w:val="0"/>
          <w:sz w:val="30"/>
          <w:szCs w:val="30"/>
        </w:rPr>
      </w:pPr>
      <w:r>
        <w:rPr>
          <w:rFonts w:ascii="黑体" w:hAnsi="宋体" w:eastAsia="黑体" w:cs="黑体"/>
          <w:b w:val="0"/>
          <w:bCs w:val="0"/>
          <w:i w:val="0"/>
          <w:iCs w:val="0"/>
          <w:caps w:val="0"/>
          <w:color w:val="333333"/>
          <w:spacing w:val="0"/>
          <w:sz w:val="32"/>
          <w:szCs w:val="32"/>
          <w:shd w:val="clear" w:fill="FDFDFD"/>
        </w:rPr>
        <w:t>一、督导职责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    包保社区班子成员对包保社区（详见附表）进行督导，主要职责包括：及时掌握包保社区普查工作进度和数据质量，对普查工作进行指导，协调解决普查工作过程中遇到的困难和问题，推动普查关键阶段和重点环节工作落实落细、执行到位、取得成效，并对工作经验进行总结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b w:val="0"/>
          <w:bCs w:val="0"/>
          <w:i w:val="0"/>
          <w:iCs w:val="0"/>
          <w:caps w:val="0"/>
          <w:color w:val="333333"/>
          <w:spacing w:val="0"/>
          <w:sz w:val="30"/>
          <w:szCs w:val="30"/>
        </w:rPr>
      </w:pPr>
      <w:r>
        <w:rPr>
          <w:rFonts w:hint="eastAsia" w:ascii="黑体" w:hAnsi="宋体" w:eastAsia="黑体" w:cs="黑体"/>
          <w:b w:val="0"/>
          <w:bCs w:val="0"/>
          <w:i w:val="0"/>
          <w:iCs w:val="0"/>
          <w:caps w:val="0"/>
          <w:color w:val="333333"/>
          <w:spacing w:val="0"/>
          <w:sz w:val="32"/>
          <w:szCs w:val="32"/>
          <w:shd w:val="clear" w:fill="FDFDFD"/>
        </w:rPr>
        <w:t>二、督导内容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333333"/>
          <w:spacing w:val="0"/>
          <w:sz w:val="32"/>
          <w:szCs w:val="32"/>
          <w:shd w:val="clear" w:fill="FDFDFD"/>
        </w:rPr>
        <w:t>   （一）普查准备阶段（</w:t>
      </w:r>
      <w:r>
        <w:rPr>
          <w:rFonts w:hint="default" w:ascii="Times New Roman" w:hAnsi="Times New Roman" w:eastAsia="楷体_GB2312" w:cs="Times New Roman"/>
          <w:b w:val="0"/>
          <w:bCs w:val="0"/>
          <w:i w:val="0"/>
          <w:iCs w:val="0"/>
          <w:caps w:val="0"/>
          <w:color w:val="333333"/>
          <w:spacing w:val="0"/>
          <w:sz w:val="32"/>
          <w:szCs w:val="32"/>
          <w:shd w:val="clear" w:fill="FDFDFD"/>
        </w:rPr>
        <w:t>2023</w:t>
      </w:r>
      <w:r>
        <w:rPr>
          <w:rFonts w:hint="default" w:ascii="楷体_GB2312" w:hAnsi="微软雅黑" w:eastAsia="楷体_GB2312" w:cs="楷体_GB2312"/>
          <w:b w:val="0"/>
          <w:bCs w:val="0"/>
          <w:i w:val="0"/>
          <w:iCs w:val="0"/>
          <w:caps w:val="0"/>
          <w:color w:val="333333"/>
          <w:spacing w:val="0"/>
          <w:sz w:val="32"/>
          <w:szCs w:val="32"/>
          <w:shd w:val="clear" w:fill="FDFDFD"/>
        </w:rPr>
        <w:t>年</w:t>
      </w:r>
      <w:r>
        <w:rPr>
          <w:rFonts w:hint="default" w:ascii="Times New Roman" w:hAnsi="Times New Roman" w:eastAsia="楷体_GB2312" w:cs="Times New Roman"/>
          <w:b w:val="0"/>
          <w:bCs w:val="0"/>
          <w:i w:val="0"/>
          <w:iCs w:val="0"/>
          <w:caps w:val="0"/>
          <w:color w:val="333333"/>
          <w:spacing w:val="0"/>
          <w:sz w:val="32"/>
          <w:szCs w:val="32"/>
          <w:shd w:val="clear" w:fill="FDFDFD"/>
        </w:rPr>
        <w:t>6</w:t>
      </w:r>
      <w:r>
        <w:rPr>
          <w:rFonts w:hint="default" w:ascii="楷体_GB2312" w:hAnsi="微软雅黑" w:eastAsia="楷体_GB2312" w:cs="楷体_GB2312"/>
          <w:b w:val="0"/>
          <w:bCs w:val="0"/>
          <w:i w:val="0"/>
          <w:iCs w:val="0"/>
          <w:caps w:val="0"/>
          <w:color w:val="333333"/>
          <w:spacing w:val="0"/>
          <w:sz w:val="32"/>
          <w:szCs w:val="32"/>
          <w:shd w:val="clear" w:fill="FDFDFD"/>
        </w:rPr>
        <w:t>月底前）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DFDFD"/>
          <w:lang w:val="en-US" w:eastAsia="zh-CN" w:bidi="ar"/>
        </w:rPr>
        <w:t>    1.</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包保社区班子成员调研督导包保社区普查机构、人员及经费落实，帮助解决问题，督促推动工作开展。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DFDFD"/>
          <w:lang w:val="en-US" w:eastAsia="zh-CN" w:bidi="ar"/>
        </w:rPr>
        <w:t>    2.</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街道普查办督导包保社区五经普工作情况，推动普查机构、人员及经费落实；核实“两员”选聘，以及其他五经普相关准备工作落实情况。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333333"/>
          <w:spacing w:val="0"/>
          <w:sz w:val="32"/>
          <w:szCs w:val="32"/>
          <w:shd w:val="clear" w:fill="FDFDFD"/>
        </w:rPr>
        <w:t>    （二）单位清查阶段（</w:t>
      </w:r>
      <w:r>
        <w:rPr>
          <w:rFonts w:hint="default" w:ascii="Times New Roman" w:hAnsi="Times New Roman" w:eastAsia="楷体_GB2312" w:cs="Times New Roman"/>
          <w:b w:val="0"/>
          <w:bCs w:val="0"/>
          <w:i w:val="0"/>
          <w:iCs w:val="0"/>
          <w:caps w:val="0"/>
          <w:color w:val="333333"/>
          <w:spacing w:val="0"/>
          <w:sz w:val="32"/>
          <w:szCs w:val="32"/>
          <w:shd w:val="clear" w:fill="FDFDFD"/>
        </w:rPr>
        <w:t>2023</w:t>
      </w:r>
      <w:r>
        <w:rPr>
          <w:rFonts w:hint="default" w:ascii="楷体_GB2312" w:hAnsi="微软雅黑" w:eastAsia="楷体_GB2312" w:cs="楷体_GB2312"/>
          <w:b w:val="0"/>
          <w:bCs w:val="0"/>
          <w:i w:val="0"/>
          <w:iCs w:val="0"/>
          <w:caps w:val="0"/>
          <w:color w:val="333333"/>
          <w:spacing w:val="0"/>
          <w:sz w:val="32"/>
          <w:szCs w:val="32"/>
          <w:shd w:val="clear" w:fill="FDFDFD"/>
        </w:rPr>
        <w:t>年</w:t>
      </w:r>
      <w:r>
        <w:rPr>
          <w:rFonts w:hint="default" w:ascii="Times New Roman" w:hAnsi="Times New Roman" w:eastAsia="楷体_GB2312" w:cs="Times New Roman"/>
          <w:b w:val="0"/>
          <w:bCs w:val="0"/>
          <w:i w:val="0"/>
          <w:iCs w:val="0"/>
          <w:caps w:val="0"/>
          <w:color w:val="333333"/>
          <w:spacing w:val="0"/>
          <w:sz w:val="32"/>
          <w:szCs w:val="32"/>
          <w:shd w:val="clear" w:fill="FDFDFD"/>
        </w:rPr>
        <w:t>7</w:t>
      </w:r>
      <w:r>
        <w:rPr>
          <w:rFonts w:hint="default" w:ascii="楷体_GB2312" w:hAnsi="微软雅黑" w:eastAsia="楷体_GB2312" w:cs="楷体_GB2312"/>
          <w:b w:val="0"/>
          <w:bCs w:val="0"/>
          <w:i w:val="0"/>
          <w:iCs w:val="0"/>
          <w:caps w:val="0"/>
          <w:color w:val="333333"/>
          <w:spacing w:val="0"/>
          <w:sz w:val="32"/>
          <w:szCs w:val="32"/>
          <w:shd w:val="clear" w:fill="FDFDFD"/>
        </w:rPr>
        <w:t>月至</w:t>
      </w:r>
      <w:r>
        <w:rPr>
          <w:rFonts w:hint="default" w:ascii="Times New Roman" w:hAnsi="Times New Roman" w:eastAsia="楷体_GB2312" w:cs="Times New Roman"/>
          <w:b w:val="0"/>
          <w:bCs w:val="0"/>
          <w:i w:val="0"/>
          <w:iCs w:val="0"/>
          <w:caps w:val="0"/>
          <w:color w:val="333333"/>
          <w:spacing w:val="0"/>
          <w:sz w:val="32"/>
          <w:szCs w:val="32"/>
          <w:shd w:val="clear" w:fill="FDFDFD"/>
        </w:rPr>
        <w:t>12</w:t>
      </w:r>
      <w:r>
        <w:rPr>
          <w:rFonts w:hint="default" w:ascii="楷体_GB2312" w:hAnsi="微软雅黑" w:eastAsia="楷体_GB2312" w:cs="楷体_GB2312"/>
          <w:b w:val="0"/>
          <w:bCs w:val="0"/>
          <w:i w:val="0"/>
          <w:iCs w:val="0"/>
          <w:caps w:val="0"/>
          <w:color w:val="333333"/>
          <w:spacing w:val="0"/>
          <w:sz w:val="32"/>
          <w:szCs w:val="32"/>
          <w:shd w:val="clear" w:fill="FDFDFD"/>
        </w:rPr>
        <w:t>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DFDFD"/>
          <w:lang w:val="en-US" w:eastAsia="zh-CN" w:bidi="ar"/>
        </w:rPr>
        <w:t>    1.</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包保社区班子成员督导包保社区单位清查工作，帮助解决问题，督促推动工作开展。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DFDFD"/>
          <w:lang w:val="en-US" w:eastAsia="zh-CN" w:bidi="ar"/>
        </w:rPr>
        <w:t>    2.</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街道普查办督导包保社区组织开展普查区划分及电子地图绘制、普查宣传动员、单位清查业务培训、“地毯式”单位清查及查疑补漏、单位清查数据质量评估等工作推进及完成情况。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DFDFD"/>
          <w:lang w:val="en-US" w:eastAsia="zh-CN" w:bidi="ar"/>
        </w:rPr>
        <w:t>    3.</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街道普查办审核评估本单位单位清查数据质量。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333333"/>
          <w:spacing w:val="0"/>
          <w:sz w:val="32"/>
          <w:szCs w:val="32"/>
          <w:shd w:val="clear" w:fill="FDFDFD"/>
        </w:rPr>
        <w:t>    （三）普查登记阶段（</w:t>
      </w:r>
      <w:r>
        <w:rPr>
          <w:rFonts w:hint="default" w:ascii="Times New Roman" w:hAnsi="Times New Roman" w:eastAsia="楷体_GB2312" w:cs="Times New Roman"/>
          <w:b w:val="0"/>
          <w:bCs w:val="0"/>
          <w:i w:val="0"/>
          <w:iCs w:val="0"/>
          <w:caps w:val="0"/>
          <w:color w:val="333333"/>
          <w:spacing w:val="0"/>
          <w:sz w:val="32"/>
          <w:szCs w:val="32"/>
          <w:shd w:val="clear" w:fill="FDFDFD"/>
        </w:rPr>
        <w:t>2023</w:t>
      </w:r>
      <w:r>
        <w:rPr>
          <w:rFonts w:hint="default" w:ascii="楷体_GB2312" w:hAnsi="微软雅黑" w:eastAsia="楷体_GB2312" w:cs="楷体_GB2312"/>
          <w:b w:val="0"/>
          <w:bCs w:val="0"/>
          <w:i w:val="0"/>
          <w:iCs w:val="0"/>
          <w:caps w:val="0"/>
          <w:color w:val="333333"/>
          <w:spacing w:val="0"/>
          <w:sz w:val="32"/>
          <w:szCs w:val="32"/>
          <w:shd w:val="clear" w:fill="FDFDFD"/>
        </w:rPr>
        <w:t>年</w:t>
      </w:r>
      <w:r>
        <w:rPr>
          <w:rFonts w:hint="default" w:ascii="Times New Roman" w:hAnsi="Times New Roman" w:eastAsia="楷体_GB2312" w:cs="Times New Roman"/>
          <w:b w:val="0"/>
          <w:bCs w:val="0"/>
          <w:i w:val="0"/>
          <w:iCs w:val="0"/>
          <w:caps w:val="0"/>
          <w:color w:val="333333"/>
          <w:spacing w:val="0"/>
          <w:sz w:val="32"/>
          <w:szCs w:val="32"/>
          <w:shd w:val="clear" w:fill="FDFDFD"/>
        </w:rPr>
        <w:t>11</w:t>
      </w:r>
      <w:r>
        <w:rPr>
          <w:rFonts w:hint="default" w:ascii="楷体_GB2312" w:hAnsi="微软雅黑" w:eastAsia="楷体_GB2312" w:cs="楷体_GB2312"/>
          <w:b w:val="0"/>
          <w:bCs w:val="0"/>
          <w:i w:val="0"/>
          <w:iCs w:val="0"/>
          <w:caps w:val="0"/>
          <w:color w:val="333333"/>
          <w:spacing w:val="0"/>
          <w:sz w:val="32"/>
          <w:szCs w:val="32"/>
          <w:shd w:val="clear" w:fill="FDFDFD"/>
        </w:rPr>
        <w:t>月至</w:t>
      </w:r>
      <w:r>
        <w:rPr>
          <w:rFonts w:hint="default" w:ascii="Times New Roman" w:hAnsi="Times New Roman" w:eastAsia="楷体_GB2312" w:cs="Times New Roman"/>
          <w:b w:val="0"/>
          <w:bCs w:val="0"/>
          <w:i w:val="0"/>
          <w:iCs w:val="0"/>
          <w:caps w:val="0"/>
          <w:color w:val="333333"/>
          <w:spacing w:val="0"/>
          <w:sz w:val="32"/>
          <w:szCs w:val="32"/>
          <w:shd w:val="clear" w:fill="FDFDFD"/>
        </w:rPr>
        <w:t>2024</w:t>
      </w:r>
      <w:r>
        <w:rPr>
          <w:rFonts w:hint="default" w:ascii="楷体_GB2312" w:hAnsi="微软雅黑" w:eastAsia="楷体_GB2312" w:cs="楷体_GB2312"/>
          <w:b w:val="0"/>
          <w:bCs w:val="0"/>
          <w:i w:val="0"/>
          <w:iCs w:val="0"/>
          <w:caps w:val="0"/>
          <w:color w:val="333333"/>
          <w:spacing w:val="0"/>
          <w:sz w:val="32"/>
          <w:szCs w:val="32"/>
          <w:shd w:val="clear" w:fill="FDFDFD"/>
        </w:rPr>
        <w:t>年</w:t>
      </w:r>
      <w:r>
        <w:rPr>
          <w:rFonts w:hint="default" w:ascii="Times New Roman" w:hAnsi="Times New Roman" w:eastAsia="楷体_GB2312" w:cs="Times New Roman"/>
          <w:b w:val="0"/>
          <w:bCs w:val="0"/>
          <w:i w:val="0"/>
          <w:iCs w:val="0"/>
          <w:caps w:val="0"/>
          <w:color w:val="333333"/>
          <w:spacing w:val="0"/>
          <w:sz w:val="32"/>
          <w:szCs w:val="32"/>
          <w:shd w:val="clear" w:fill="FDFDFD"/>
        </w:rPr>
        <w:t>6</w:t>
      </w:r>
      <w:r>
        <w:rPr>
          <w:rFonts w:hint="default" w:ascii="楷体_GB2312" w:hAnsi="微软雅黑" w:eastAsia="楷体_GB2312" w:cs="楷体_GB2312"/>
          <w:b w:val="0"/>
          <w:bCs w:val="0"/>
          <w:i w:val="0"/>
          <w:iCs w:val="0"/>
          <w:caps w:val="0"/>
          <w:color w:val="333333"/>
          <w:spacing w:val="0"/>
          <w:sz w:val="32"/>
          <w:szCs w:val="32"/>
          <w:shd w:val="clear" w:fill="FDFDFD"/>
        </w:rPr>
        <w:t>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DFDFD"/>
          <w:lang w:val="en-US" w:eastAsia="zh-CN" w:bidi="ar"/>
        </w:rPr>
        <w:t>    1.</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包保社区班子成员督导包保社区普查登记工作，帮助解决问题，督促推动工作开展。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DFDFD"/>
          <w:lang w:val="en-US" w:eastAsia="zh-CN" w:bidi="ar"/>
        </w:rPr>
        <w:t>    2.</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街道普查办督导包保社区普查登记工作业务培训和数据处理软件培训效果；联合相关专业核查督导包保社区的普查登记数据质量。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shd w:val="clear" w:fill="FDFDFD"/>
          <w:lang w:val="en-US" w:eastAsia="zh-CN" w:bidi="ar"/>
        </w:rPr>
        <w:t>    3.</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街道普查办及时对普查数据进行跟踪审核，即审即查，发现疑似问题立即查询核实。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    为充分发挥街道普查办工作小组成员作用，在普查准备、单位清查、普查登记阶段，适时组建督查组，由包保社区党政班子负责同志带队，对各社区普查工作进展情况进行督查。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b w:val="0"/>
          <w:bCs w:val="0"/>
          <w:i w:val="0"/>
          <w:iCs w:val="0"/>
          <w:caps w:val="0"/>
          <w:color w:val="333333"/>
          <w:spacing w:val="0"/>
          <w:sz w:val="30"/>
          <w:szCs w:val="30"/>
        </w:rPr>
      </w:pPr>
      <w:r>
        <w:rPr>
          <w:rFonts w:hint="eastAsia" w:ascii="黑体" w:hAnsi="宋体" w:eastAsia="黑体" w:cs="黑体"/>
          <w:b w:val="0"/>
          <w:bCs w:val="0"/>
          <w:i w:val="0"/>
          <w:iCs w:val="0"/>
          <w:caps w:val="0"/>
          <w:color w:val="333333"/>
          <w:spacing w:val="0"/>
          <w:sz w:val="32"/>
          <w:szCs w:val="32"/>
          <w:shd w:val="clear" w:fill="FDFDFD"/>
        </w:rPr>
        <w:t>三、督导要求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kern w:val="0"/>
          <w:sz w:val="32"/>
          <w:szCs w:val="32"/>
          <w:shd w:val="clear" w:fill="FDFDFD"/>
          <w:lang w:val="en-US" w:eastAsia="zh-CN" w:bidi="ar"/>
        </w:rPr>
        <w:t>   （一）</w:t>
      </w:r>
      <w:r>
        <w:rPr>
          <w:rFonts w:hint="eastAsia" w:ascii="楷体_GB2312" w:hAnsi="微软雅黑" w:eastAsia="楷体_GB2312" w:cs="楷体_GB2312"/>
          <w:i w:val="0"/>
          <w:iCs w:val="0"/>
          <w:caps w:val="0"/>
          <w:color w:val="333333"/>
          <w:spacing w:val="0"/>
          <w:kern w:val="0"/>
          <w:sz w:val="32"/>
          <w:szCs w:val="32"/>
          <w:shd w:val="clear" w:fill="FDFDFD"/>
          <w:lang w:val="en-US" w:eastAsia="zh-CN" w:bidi="ar"/>
        </w:rPr>
        <w:t>采取</w:t>
      </w:r>
      <w:bookmarkStart w:id="0" w:name="_GoBack"/>
      <w:bookmarkEnd w:id="0"/>
      <w:r>
        <w:rPr>
          <w:rFonts w:hint="default" w:ascii="楷体_GB2312" w:hAnsi="微软雅黑" w:eastAsia="楷体_GB2312" w:cs="楷体_GB2312"/>
          <w:i w:val="0"/>
          <w:iCs w:val="0"/>
          <w:caps w:val="0"/>
          <w:color w:val="333333"/>
          <w:spacing w:val="0"/>
          <w:kern w:val="0"/>
          <w:sz w:val="32"/>
          <w:szCs w:val="32"/>
          <w:shd w:val="clear" w:fill="FDFDFD"/>
          <w:lang w:val="en-US" w:eastAsia="zh-CN" w:bidi="ar"/>
        </w:rPr>
        <w:t>“四不两直”。</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包保社区班子成员及普查办赴包保社区开展检查、督查等，均不发通知、不打招呼、不听汇报、不用陪同接待，直奔基层、直插现场，坚持问题导向，发现问题、解决问题。严格执行中央八项规定，做到廉洁自律，轻车简从，遵守党的群众纪律，尽量减少对基层日常工作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kern w:val="0"/>
          <w:sz w:val="32"/>
          <w:szCs w:val="32"/>
          <w:shd w:val="clear" w:fill="FDFDFD"/>
          <w:lang w:val="en-US" w:eastAsia="zh-CN" w:bidi="ar"/>
        </w:rPr>
        <w:t>   （二）定期召开例会。</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普查登记期间，街道普查办每周召开例会，包保社区班子成员及经普办业务人员参加，对查询纠错情况进行分析研究，并针对问题提出解决方案。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kern w:val="0"/>
          <w:sz w:val="32"/>
          <w:szCs w:val="32"/>
          <w:shd w:val="clear" w:fill="FDFDFD"/>
          <w:lang w:val="en-US" w:eastAsia="zh-CN" w:bidi="ar"/>
        </w:rPr>
        <w:t>   （三）定期通报情况。</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在普查工作的关键节点，对社区每日上报的工作完成情况、进展情况，经街道普查办汇总后进行通报，对进度缓慢、存在问题的社区加强督导。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kern w:val="0"/>
          <w:sz w:val="32"/>
          <w:szCs w:val="32"/>
          <w:shd w:val="clear" w:fill="FDFDFD"/>
          <w:lang w:val="en-US" w:eastAsia="zh-CN" w:bidi="ar"/>
        </w:rPr>
        <w:t>  （四）及时跟进检查。</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包保社区班子成员及普查办发现问题，立即由包保社区班子成员带队，进行现场检查，督促整改，后勤组做好保障。如遇重大疑难问题，汇报区经普办带队进行现场督导。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kern w:val="0"/>
          <w:sz w:val="32"/>
          <w:szCs w:val="32"/>
          <w:shd w:val="clear" w:fill="FDFDFD"/>
          <w:lang w:val="en-US" w:eastAsia="zh-CN" w:bidi="ar"/>
        </w:rPr>
        <w:t>  （五）及时跟踪督查。</w:t>
      </w: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包保社区班子成员和普查办工作人员要实时监控包保社区普查工作进展和数据质量，发现工作进度缓慢、查询纠错不力、数据质量不高等问题，及时向街道主要负责人、区经普办汇报，同时做好经济普查的统计法治保障，重点查处普查中的拒报、虚报、瞒报和不完整上报等统计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DFDFD"/>
          <w:lang w:val="en-US" w:eastAsia="zh-CN" w:bidi="ar"/>
        </w:rPr>
        <w:t>附表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9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DFDFD"/>
          <w:lang w:val="en-US" w:eastAsia="zh-CN" w:bidi="ar"/>
        </w:rPr>
        <w:t>南关街道班子成员包保督导责任一览表</w:t>
      </w:r>
    </w:p>
    <w:tbl>
      <w:tblPr>
        <w:tblStyle w:val="5"/>
        <w:tblW w:w="871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DFD"/>
        <w:tblLayout w:type="autofit"/>
        <w:tblCellMar>
          <w:top w:w="0" w:type="dxa"/>
          <w:left w:w="0" w:type="dxa"/>
          <w:bottom w:w="0" w:type="dxa"/>
          <w:right w:w="0" w:type="dxa"/>
        </w:tblCellMar>
      </w:tblPr>
      <w:tblGrid>
        <w:gridCol w:w="1743"/>
        <w:gridCol w:w="2141"/>
        <w:gridCol w:w="2251"/>
        <w:gridCol w:w="25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DFD"/>
          <w:tblCellMar>
            <w:top w:w="0" w:type="dxa"/>
            <w:left w:w="0" w:type="dxa"/>
            <w:bottom w:w="0" w:type="dxa"/>
            <w:right w:w="0" w:type="dxa"/>
          </w:tblCellMar>
        </w:tblPrEx>
        <w:trPr>
          <w:trHeight w:val="760" w:hRule="atLeast"/>
        </w:trPr>
        <w:tc>
          <w:tcPr>
            <w:tcW w:w="1743" w:type="dxa"/>
            <w:tcBorders>
              <w:top w:val="single" w:color="auto" w:sz="8" w:space="0"/>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b/>
                <w:bCs/>
                <w:i w:val="0"/>
                <w:iCs w:val="0"/>
                <w:caps w:val="0"/>
                <w:color w:val="333333"/>
                <w:spacing w:val="0"/>
                <w:kern w:val="0"/>
                <w:sz w:val="32"/>
                <w:szCs w:val="32"/>
                <w:lang w:val="en-US" w:eastAsia="zh-CN" w:bidi="ar"/>
              </w:rPr>
              <w:t>班子成员</w:t>
            </w:r>
          </w:p>
        </w:tc>
        <w:tc>
          <w:tcPr>
            <w:tcW w:w="2141" w:type="dxa"/>
            <w:tcBorders>
              <w:top w:val="single" w:color="auto" w:sz="8" w:space="0"/>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b/>
                <w:bCs/>
                <w:i w:val="0"/>
                <w:iCs w:val="0"/>
                <w:caps w:val="0"/>
                <w:color w:val="333333"/>
                <w:spacing w:val="0"/>
                <w:kern w:val="0"/>
                <w:sz w:val="32"/>
                <w:szCs w:val="32"/>
                <w:lang w:val="en-US" w:eastAsia="zh-CN" w:bidi="ar"/>
              </w:rPr>
              <w:t>包保区域</w:t>
            </w:r>
          </w:p>
        </w:tc>
        <w:tc>
          <w:tcPr>
            <w:tcW w:w="2251" w:type="dxa"/>
            <w:tcBorders>
              <w:top w:val="single" w:color="auto" w:sz="8" w:space="0"/>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b/>
                <w:bCs/>
                <w:i w:val="0"/>
                <w:iCs w:val="0"/>
                <w:caps w:val="0"/>
                <w:color w:val="333333"/>
                <w:spacing w:val="0"/>
                <w:kern w:val="0"/>
                <w:sz w:val="32"/>
                <w:szCs w:val="32"/>
                <w:lang w:val="en-US" w:eastAsia="zh-CN" w:bidi="ar"/>
              </w:rPr>
              <w:t>股室负责人</w:t>
            </w:r>
          </w:p>
        </w:tc>
        <w:tc>
          <w:tcPr>
            <w:tcW w:w="2582" w:type="dxa"/>
            <w:tcBorders>
              <w:top w:val="single" w:color="auto" w:sz="8" w:space="0"/>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hAnsi="微软雅黑" w:eastAsia="仿宋_GB2312" w:cs="仿宋_GB2312"/>
                <w:b/>
                <w:bCs/>
                <w:i w:val="0"/>
                <w:iCs w:val="0"/>
                <w:caps w:val="0"/>
                <w:color w:val="333333"/>
                <w:spacing w:val="0"/>
                <w:kern w:val="0"/>
                <w:sz w:val="32"/>
                <w:szCs w:val="32"/>
                <w:lang w:val="en-US" w:eastAsia="zh-CN" w:bidi="ar"/>
              </w:rPr>
              <w:t>成 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DFD"/>
          <w:tblCellMar>
            <w:top w:w="0" w:type="dxa"/>
            <w:left w:w="0" w:type="dxa"/>
            <w:bottom w:w="0" w:type="dxa"/>
            <w:right w:w="0" w:type="dxa"/>
          </w:tblCellMar>
        </w:tblPrEx>
        <w:trPr>
          <w:trHeight w:val="963" w:hRule="atLeast"/>
        </w:trPr>
        <w:tc>
          <w:tcPr>
            <w:tcW w:w="1743"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孔肖三</w:t>
            </w:r>
          </w:p>
        </w:tc>
        <w:tc>
          <w:tcPr>
            <w:tcW w:w="214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淮海社区</w:t>
            </w:r>
          </w:p>
        </w:tc>
        <w:tc>
          <w:tcPr>
            <w:tcW w:w="225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王晓冬</w:t>
            </w:r>
          </w:p>
        </w:tc>
        <w:tc>
          <w:tcPr>
            <w:tcW w:w="2582"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张慧文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38" w:hRule="atLeast"/>
        </w:trPr>
        <w:tc>
          <w:tcPr>
            <w:tcW w:w="1743"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马兆普</w:t>
            </w:r>
          </w:p>
        </w:tc>
        <w:tc>
          <w:tcPr>
            <w:tcW w:w="214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九中社区</w:t>
            </w:r>
          </w:p>
        </w:tc>
        <w:tc>
          <w:tcPr>
            <w:tcW w:w="225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王晓冬</w:t>
            </w:r>
          </w:p>
        </w:tc>
        <w:tc>
          <w:tcPr>
            <w:tcW w:w="2582"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张治国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DFD"/>
          <w:tblCellMar>
            <w:top w:w="0" w:type="dxa"/>
            <w:left w:w="0" w:type="dxa"/>
            <w:bottom w:w="0" w:type="dxa"/>
            <w:right w:w="0" w:type="dxa"/>
          </w:tblCellMar>
        </w:tblPrEx>
        <w:trPr>
          <w:trHeight w:val="988" w:hRule="atLeast"/>
        </w:trPr>
        <w:tc>
          <w:tcPr>
            <w:tcW w:w="1743"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孙霈清</w:t>
            </w:r>
          </w:p>
        </w:tc>
        <w:tc>
          <w:tcPr>
            <w:tcW w:w="214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广场社区</w:t>
            </w:r>
          </w:p>
        </w:tc>
        <w:tc>
          <w:tcPr>
            <w:tcW w:w="225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王晓冬</w:t>
            </w:r>
          </w:p>
        </w:tc>
        <w:tc>
          <w:tcPr>
            <w:tcW w:w="2582"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张慧文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DFD"/>
          <w:tblCellMar>
            <w:top w:w="0" w:type="dxa"/>
            <w:left w:w="0" w:type="dxa"/>
            <w:bottom w:w="0" w:type="dxa"/>
            <w:right w:w="0" w:type="dxa"/>
          </w:tblCellMar>
        </w:tblPrEx>
        <w:trPr>
          <w:trHeight w:val="978" w:hRule="atLeast"/>
        </w:trPr>
        <w:tc>
          <w:tcPr>
            <w:tcW w:w="1743"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孙霈清</w:t>
            </w:r>
          </w:p>
        </w:tc>
        <w:tc>
          <w:tcPr>
            <w:tcW w:w="214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煤电社区</w:t>
            </w:r>
          </w:p>
        </w:tc>
        <w:tc>
          <w:tcPr>
            <w:tcW w:w="225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王晓冬</w:t>
            </w:r>
          </w:p>
        </w:tc>
        <w:tc>
          <w:tcPr>
            <w:tcW w:w="2582"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张园园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63" w:hRule="atLeast"/>
        </w:trPr>
        <w:tc>
          <w:tcPr>
            <w:tcW w:w="1743"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孙霈清</w:t>
            </w:r>
          </w:p>
        </w:tc>
        <w:tc>
          <w:tcPr>
            <w:tcW w:w="214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万里社区</w:t>
            </w:r>
          </w:p>
        </w:tc>
        <w:tc>
          <w:tcPr>
            <w:tcW w:w="225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王晓冬</w:t>
            </w:r>
          </w:p>
        </w:tc>
        <w:tc>
          <w:tcPr>
            <w:tcW w:w="2582"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张园园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3" w:hRule="atLeast"/>
        </w:trPr>
        <w:tc>
          <w:tcPr>
            <w:tcW w:w="1743"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陈茵</w:t>
            </w:r>
          </w:p>
        </w:tc>
        <w:tc>
          <w:tcPr>
            <w:tcW w:w="214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恒馨社区</w:t>
            </w:r>
          </w:p>
        </w:tc>
        <w:tc>
          <w:tcPr>
            <w:tcW w:w="225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王晓冬</w:t>
            </w:r>
          </w:p>
        </w:tc>
        <w:tc>
          <w:tcPr>
            <w:tcW w:w="2582"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王晓冬</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DFD"/>
          <w:tblCellMar>
            <w:top w:w="0" w:type="dxa"/>
            <w:left w:w="0" w:type="dxa"/>
            <w:bottom w:w="0" w:type="dxa"/>
            <w:right w:w="0" w:type="dxa"/>
          </w:tblCellMar>
        </w:tblPrEx>
        <w:trPr>
          <w:trHeight w:val="993" w:hRule="atLeast"/>
        </w:trPr>
        <w:tc>
          <w:tcPr>
            <w:tcW w:w="1743"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邵勇</w:t>
            </w:r>
          </w:p>
        </w:tc>
        <w:tc>
          <w:tcPr>
            <w:tcW w:w="214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南园社区</w:t>
            </w:r>
          </w:p>
        </w:tc>
        <w:tc>
          <w:tcPr>
            <w:tcW w:w="225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王晓冬</w:t>
            </w:r>
          </w:p>
        </w:tc>
        <w:tc>
          <w:tcPr>
            <w:tcW w:w="2582"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张治国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DFD"/>
          <w:tblCellMar>
            <w:top w:w="0" w:type="dxa"/>
            <w:left w:w="0" w:type="dxa"/>
            <w:bottom w:w="0" w:type="dxa"/>
            <w:right w:w="0" w:type="dxa"/>
          </w:tblCellMar>
        </w:tblPrEx>
        <w:trPr>
          <w:trHeight w:val="1038" w:hRule="atLeast"/>
        </w:trPr>
        <w:tc>
          <w:tcPr>
            <w:tcW w:w="1743"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刘珍</w:t>
            </w:r>
          </w:p>
        </w:tc>
        <w:tc>
          <w:tcPr>
            <w:tcW w:w="214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一中社区</w:t>
            </w:r>
          </w:p>
        </w:tc>
        <w:tc>
          <w:tcPr>
            <w:tcW w:w="225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王晓冬</w:t>
            </w:r>
          </w:p>
        </w:tc>
        <w:tc>
          <w:tcPr>
            <w:tcW w:w="2582"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张治国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33" w:hRule="atLeast"/>
        </w:trPr>
        <w:tc>
          <w:tcPr>
            <w:tcW w:w="1743"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王新元</w:t>
            </w:r>
          </w:p>
        </w:tc>
        <w:tc>
          <w:tcPr>
            <w:tcW w:w="214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观园社区</w:t>
            </w:r>
          </w:p>
        </w:tc>
        <w:tc>
          <w:tcPr>
            <w:tcW w:w="2251"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王晓冬</w:t>
            </w:r>
          </w:p>
        </w:tc>
        <w:tc>
          <w:tcPr>
            <w:tcW w:w="2582" w:type="dxa"/>
            <w:tcBorders>
              <w:top w:val="nil"/>
              <w:left w:val="single" w:color="auto" w:sz="8" w:space="0"/>
              <w:bottom w:val="single" w:color="auto" w:sz="8" w:space="0"/>
              <w:right w:val="single" w:color="auto" w:sz="8" w:space="0"/>
            </w:tcBorders>
            <w:shd w:val="clear" w:color="auto" w:fill="FDFDFD"/>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default" w:ascii="仿宋_GB2312" w:hAnsi="微软雅黑" w:eastAsia="仿宋_GB2312" w:cs="仿宋_GB2312"/>
                <w:i w:val="0"/>
                <w:iCs w:val="0"/>
                <w:caps w:val="0"/>
                <w:color w:val="333333"/>
                <w:spacing w:val="0"/>
                <w:kern w:val="0"/>
                <w:sz w:val="30"/>
                <w:szCs w:val="30"/>
                <w:lang w:val="en-US" w:eastAsia="zh-CN" w:bidi="ar"/>
              </w:rPr>
              <w:t>王晓冬</w:t>
            </w:r>
          </w:p>
        </w:tc>
      </w:tr>
    </w:tbl>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2ODUyZWNjNGQ2NTU5MzE4MzA0OGNhYzZlNjE2M2YifQ=="/>
  </w:docVars>
  <w:rsids>
    <w:rsidRoot w:val="00000000"/>
    <w:rsid w:val="1DBA693A"/>
    <w:rsid w:val="7D3D0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autoRedefine/>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2024-01-14T02:33:00Z</dcterms:created>
  <dc:creator>Administrator</dc:creator>
  <cp:lastModifiedBy>美天</cp:lastModifiedBy>
  <dcterms:modified xsi:type="dcterms:W3CDTF">2024-01-14T02:36:30Z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313E3CEE01E1497AA4BBFFE40224EC1B_12</vt:lpwstr>
  </property>
</Properties>
</file>