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黑体" w:hAnsi="黑体" w:eastAsia="黑体" w:cs="黑体"/>
          <w:b w:val="0"/>
          <w:bCs w:val="0"/>
          <w:sz w:val="44"/>
          <w:szCs w:val="44"/>
        </w:rPr>
      </w:pPr>
      <w:r>
        <w:rPr>
          <w:rFonts w:hint="eastAsia" w:ascii="黑体" w:hAnsi="黑体" w:eastAsia="黑体" w:cs="黑体"/>
          <w:b w:val="0"/>
          <w:bCs w:val="0"/>
          <w:i w:val="0"/>
          <w:iCs w:val="0"/>
          <w:caps w:val="0"/>
          <w:color w:val="333333"/>
          <w:spacing w:val="0"/>
          <w:sz w:val="44"/>
          <w:szCs w:val="44"/>
          <w:bdr w:val="none" w:color="auto" w:sz="0" w:space="0"/>
          <w:shd w:val="clear" w:fill="FDFDFD"/>
        </w:rPr>
        <w:t>关于印发《沱河街道2023年全民国家安全教育日普法宣传活动方案》的通知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rPr>
          <w:rFonts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pPr>
      <w:r>
        <w:rPr>
          <w:rFonts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t>各社区、街道各部门、辖区各单位：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t>根据工作安排，现将《沱河街道2023年全民国家安全教育日普法宣传活动方案》印发给你们，请结合实际抓好落实。各社区、街道各部门请积极开展活动。信息、图片请及时报送，活动总结请于2023年4月15日前报送法宣办邮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t>联系人：  张美慧；   联系电话：  2395370；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t>电子邮箱：tuohezz@163.com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pPr>
      <w:r>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firstLine="4480" w:firstLineChars="1400"/>
        <w:jc w:val="left"/>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pPr>
      <w:r>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t>沱河街道党工委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firstLine="4480" w:firstLineChars="1400"/>
        <w:jc w:val="left"/>
      </w:pPr>
      <w:r>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t>2023年4月13日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shd w:val="clear" w:fill="FDFDFD"/>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黑体" w:hAnsi="黑体" w:eastAsia="黑体" w:cs="黑体"/>
          <w:b w:val="0"/>
          <w:bCs w:val="0"/>
          <w:i w:val="0"/>
          <w:iCs w:val="0"/>
          <w:caps w:val="0"/>
          <w:color w:val="333333"/>
          <w:spacing w:val="0"/>
          <w:sz w:val="44"/>
          <w:szCs w:val="44"/>
          <w:shd w:val="clear" w:fill="FDFDFD"/>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黑体" w:hAnsi="黑体" w:eastAsia="黑体" w:cs="黑体"/>
          <w:b w:val="0"/>
          <w:bCs w:val="0"/>
          <w:i w:val="0"/>
          <w:iCs w:val="0"/>
          <w:caps w:val="0"/>
          <w:color w:val="333333"/>
          <w:spacing w:val="0"/>
          <w:sz w:val="44"/>
          <w:szCs w:val="44"/>
          <w:shd w:val="clear" w:fill="FDFDFD"/>
        </w:rPr>
      </w:pPr>
      <w:r>
        <w:rPr>
          <w:rFonts w:hint="eastAsia" w:ascii="黑体" w:hAnsi="黑体" w:eastAsia="黑体" w:cs="黑体"/>
          <w:b w:val="0"/>
          <w:bCs w:val="0"/>
          <w:i w:val="0"/>
          <w:iCs w:val="0"/>
          <w:caps w:val="0"/>
          <w:color w:val="333333"/>
          <w:spacing w:val="0"/>
          <w:sz w:val="44"/>
          <w:szCs w:val="44"/>
          <w:shd w:val="clear" w:fill="FDFDFD"/>
          <w:lang w:val="en-US" w:eastAsia="zh-CN"/>
        </w:rPr>
        <w:t>2023年全民国家安全教育日普法宣传活动方案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t>今年4月15日是我国第八个全民国家安全教育日。为深入学习宣传贯彻党的二十大精神，贯彻落实习近平总书记关于全面加强国家安全教育的重要指示精神，增强全民国家安全意识和法治意识，努力使尊法学法守法用法在全辖区蔚然成风。经研究，决定在辖区开展2023年全民国家安全教育日普法宣传活动。现提出以下活动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ascii="黑体" w:hAnsi="宋体" w:eastAsia="黑体" w:cs="黑体"/>
          <w:b w:val="0"/>
          <w:bCs w:val="0"/>
          <w:i w:val="0"/>
          <w:iCs w:val="0"/>
          <w:caps w:val="0"/>
          <w:color w:val="333333"/>
          <w:spacing w:val="0"/>
          <w:kern w:val="0"/>
          <w:sz w:val="32"/>
          <w:szCs w:val="32"/>
          <w:bdr w:val="none" w:color="auto" w:sz="0" w:space="0"/>
          <w:shd w:val="clear" w:fill="FDFDFD"/>
          <w:lang w:val="en-US" w:eastAsia="zh-CN" w:bidi="ar"/>
        </w:rPr>
        <w:t>一、总体要求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t>坚持以习近平新时代中国特色社会主义思想为指导，全面贯彻落实党的二十大精神，深入学习宣传贯彻习近平法治思想，深刻领悟“两个确立”的决定性意义，不断增强“四个意识”、坚定“四个自信”、做到“两个维护”，坚定不移贯彻总体国家安全观，把维护国家安全贯穿工作各方面全过程，加强国家安全法治宣传教育，深入宣传国家安全相关法律法规，着力提升辖区国家安全法治意识，着力推动大安全理念深入人心、落地生根，着力推动构建新安全格局，为全面建设现代化新沱河提供有力法治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黑体" w:hAnsi="宋体" w:eastAsia="黑体" w:cs="黑体"/>
          <w:b w:val="0"/>
          <w:bCs w:val="0"/>
          <w:i w:val="0"/>
          <w:iCs w:val="0"/>
          <w:caps w:val="0"/>
          <w:color w:val="333333"/>
          <w:spacing w:val="0"/>
          <w:kern w:val="0"/>
          <w:sz w:val="32"/>
          <w:szCs w:val="32"/>
          <w:bdr w:val="none" w:color="auto" w:sz="0" w:space="0"/>
          <w:shd w:val="clear" w:fill="FDFDFD"/>
          <w:lang w:val="en-US" w:eastAsia="zh-CN" w:bidi="ar"/>
        </w:rPr>
        <w:t>二、活动主题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t>贯彻总体国家安全观，增强全民国家安全意识和素养，夯实以新安全格局保障新发展格局的社会基础。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黑体" w:hAnsi="宋体" w:eastAsia="黑体" w:cs="黑体"/>
          <w:b w:val="0"/>
          <w:bCs w:val="0"/>
          <w:i w:val="0"/>
          <w:iCs w:val="0"/>
          <w:caps w:val="0"/>
          <w:color w:val="333333"/>
          <w:spacing w:val="0"/>
          <w:kern w:val="0"/>
          <w:sz w:val="32"/>
          <w:szCs w:val="32"/>
          <w:bdr w:val="none" w:color="auto" w:sz="0" w:space="0"/>
          <w:shd w:val="clear" w:fill="FDFDFD"/>
          <w:lang w:val="en-US" w:eastAsia="zh-CN" w:bidi="ar"/>
        </w:rPr>
        <w:t>三、重点内容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t>突出学习宣传党的二十大精神，大力宣传新时代国家安全发生的历史性变革、取得的历史性成就、积累的宝贵经验，宣传党的二十大报告关于推进国家安全体系和能力现代化、坚决维护国家安全和社会稳定的重要部署。突出学习宣传习近平法治思想，深入学习领会习近平法治思想的重大意义、丰富内涵、精神实质和实践要求，引导全辖区坚定不移走中国特色社会主义法治道路。突出学习宣传总体国家安全观，深入学习领会习近平总书记关于总体国家安全观的重要论述，宣传总体国家安全观“五大要素”“五对关系”“五个统筹”“十个坚持”等内容。突出学习宣传国家安全相关法律法规，宣传宪法规定的关于公民维护祖国安全、荣誉和利益的基本义务，宣传国家安全法、反分裂国家法、国防法、反恐怖主义法、反间谍法、数据安全法、生物安全法、网络安全法等，宣传刑法关于危害国家安全犯罪的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黑体" w:hAnsi="宋体" w:eastAsia="黑体" w:cs="黑体"/>
          <w:b w:val="0"/>
          <w:bCs w:val="0"/>
          <w:i w:val="0"/>
          <w:iCs w:val="0"/>
          <w:caps w:val="0"/>
          <w:color w:val="333333"/>
          <w:spacing w:val="0"/>
          <w:kern w:val="0"/>
          <w:sz w:val="32"/>
          <w:szCs w:val="32"/>
          <w:bdr w:val="none" w:color="auto" w:sz="0" w:space="0"/>
          <w:shd w:val="clear" w:fill="FDFDFD"/>
          <w:lang w:val="en-US" w:eastAsia="zh-CN" w:bidi="ar"/>
        </w:rPr>
        <w:t>四、工作安排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 w:hAnsi="仿宋" w:eastAsia="仿宋" w:cs="仿宋"/>
          <w:b/>
          <w:bCs/>
          <w:i w:val="0"/>
          <w:iCs w:val="0"/>
          <w:caps w:val="0"/>
          <w:color w:val="333333"/>
          <w:spacing w:val="0"/>
          <w:kern w:val="0"/>
          <w:sz w:val="32"/>
          <w:szCs w:val="32"/>
          <w:bdr w:val="none" w:color="auto" w:sz="0" w:space="0"/>
          <w:shd w:val="clear" w:fill="FDFDFD"/>
          <w:lang w:val="en-US" w:eastAsia="zh-CN" w:bidi="ar"/>
        </w:rPr>
        <w:t>（一）组织开展社会面宣传。</w:t>
      </w:r>
      <w:r>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t>各社区、街道各部门要结合实际，紧紧围绕活动主题和重点内容，组织开展有特色、接地气的普法宣传活动，广泛开展群众性法治文化活动，推动国家安全相关法律法规进机关、进社区、进校园、进企业、进网络、进小区。要充分利用法治宣传教育基地、法治文化广场、法治宣传栏、电子显示屏等载体，推送国家安全法治宣传资料、国家安全法治教育典型案例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 w:hAnsi="仿宋" w:eastAsia="仿宋" w:cs="仿宋"/>
          <w:b/>
          <w:bCs/>
          <w:i w:val="0"/>
          <w:iCs w:val="0"/>
          <w:caps w:val="0"/>
          <w:color w:val="333333"/>
          <w:spacing w:val="0"/>
          <w:kern w:val="0"/>
          <w:sz w:val="32"/>
          <w:szCs w:val="32"/>
          <w:bdr w:val="none" w:color="auto" w:sz="0" w:space="0"/>
          <w:shd w:val="clear" w:fill="FDFDFD"/>
          <w:lang w:val="en-US" w:eastAsia="zh-CN" w:bidi="ar"/>
        </w:rPr>
        <w:t>（二）组织开展网络宣传。</w:t>
      </w:r>
      <w:r>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t>要发挥网站、微信、微博和普法新媒体矩阵的优势，采用短视频、微动漫、网络直播等群众喜闻乐见的方式，宣传普及国家安全相关法律法规。各社区大屏要在4月15日前后利用主要版面、重要时段集中播放国家安全方面的公益广告、公益视频等。各社区、街道各部门要积极组织动员干部职工参加全国普法办举办的全民国家安全教育日专项答题活动，提高参与率（参与方式见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 w:hAnsi="仿宋" w:eastAsia="仿宋" w:cs="仿宋"/>
          <w:b/>
          <w:bCs/>
          <w:i w:val="0"/>
          <w:iCs w:val="0"/>
          <w:caps w:val="0"/>
          <w:color w:val="333333"/>
          <w:spacing w:val="0"/>
          <w:kern w:val="0"/>
          <w:sz w:val="32"/>
          <w:szCs w:val="32"/>
          <w:bdr w:val="none" w:color="auto" w:sz="0" w:space="0"/>
          <w:shd w:val="clear" w:fill="FDFDFD"/>
          <w:lang w:val="en-US" w:eastAsia="zh-CN" w:bidi="ar"/>
        </w:rPr>
        <w:t>（三）组织开展重点对象宣传。</w:t>
      </w:r>
      <w:r>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t>推动领导干部学习掌握国家安全法律知识，通过党委（党组）理论学习中心组学习、会前学法等形式，提高领导干部法治思维能力、统筹发展和安全的能力。联合教育、宣传等部门，充分发挥中小学法治副校长作用，通过讲授国家安全法治课、举办法律知识竞赛、主题征文、主题班会和书写手抄报等活动，教育引导青少年增强国家安全意识和法治意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 w:hAnsi="仿宋" w:eastAsia="仿宋" w:cs="仿宋"/>
          <w:b/>
          <w:bCs/>
          <w:i w:val="0"/>
          <w:iCs w:val="0"/>
          <w:caps w:val="0"/>
          <w:color w:val="333333"/>
          <w:spacing w:val="0"/>
          <w:kern w:val="0"/>
          <w:sz w:val="32"/>
          <w:szCs w:val="32"/>
          <w:bdr w:val="none" w:color="auto" w:sz="0" w:space="0"/>
          <w:shd w:val="clear" w:fill="FDFDFD"/>
          <w:lang w:val="en-US" w:eastAsia="zh-CN" w:bidi="ar"/>
        </w:rPr>
        <w:t>（四）组织开展以案普法。</w:t>
      </w:r>
      <w:r>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t>全面落实“谁执法谁普法”普法责任制，落实机关行政工作人员、律师等以案释法制度和典型案例发布制度，对发布的国家安全相关典型案例进行深入剖析，让社会公众知晓哪些是危害国家安全的行为、应当承担什么样的法律责任、怎样依法维护国家安全，让典型案例公布的过程成为全民普法的公开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黑体" w:hAnsi="宋体" w:eastAsia="黑体" w:cs="黑体"/>
          <w:b w:val="0"/>
          <w:bCs w:val="0"/>
          <w:i w:val="0"/>
          <w:iCs w:val="0"/>
          <w:caps w:val="0"/>
          <w:color w:val="333333"/>
          <w:spacing w:val="0"/>
          <w:kern w:val="0"/>
          <w:sz w:val="32"/>
          <w:szCs w:val="32"/>
          <w:bdr w:val="none" w:color="auto" w:sz="0" w:space="0"/>
          <w:shd w:val="clear" w:fill="FDFDFD"/>
          <w:lang w:val="en-US" w:eastAsia="zh-CN" w:bidi="ar"/>
        </w:rPr>
        <w:t>五、工作要求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ascii="仿宋" w:hAnsi="仿宋" w:eastAsia="仿宋" w:cs="仿宋"/>
          <w:b/>
          <w:bCs/>
          <w:i w:val="0"/>
          <w:iCs w:val="0"/>
          <w:caps w:val="0"/>
          <w:color w:val="333333"/>
          <w:spacing w:val="0"/>
          <w:kern w:val="0"/>
          <w:sz w:val="32"/>
          <w:szCs w:val="32"/>
          <w:bdr w:val="none" w:color="auto" w:sz="0" w:space="0"/>
          <w:shd w:val="clear" w:fill="FDFDFD"/>
          <w:lang w:val="en-US" w:eastAsia="zh-CN" w:bidi="ar"/>
        </w:rPr>
        <w:t>（一）加强组织领导。</w:t>
      </w:r>
      <w:r>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t>各社区、街道各部门要提高政治站位，把组织开展好2023年全民国家安全教育日普法宣传活动作为重点任务，列入重要日程，积极谋划，制定具体活动计划，因地制宜开展活动，全面规范使用全民国家安全教育日活动标识，切实增强普法针对性和实效性。要牢牢把握正确政治方向和舆论导向，严格落实意识形态工作责任制，全面准确宣传解读国家安全相关法律法规，防止错误思想言论传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bdr w:val="none" w:color="auto" w:sz="0" w:space="0"/>
          <w:shd w:val="clear" w:fill="FDFDFD"/>
          <w:lang w:val="en-US" w:eastAsia="zh-CN" w:bidi="ar"/>
        </w:rPr>
        <w:t>（二）注重宣传实效。</w:t>
      </w:r>
      <w:r>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t>在充分利用传统有效的普法方式基础上，注重运用新媒体新技术，加大国家安全普法作品创作力度，强化互动化传播、沉浸式体验，善于运用群众乐于参与、便于参与的方式，让群众对国家安全法律知识听得懂、记得住、用得上，不断提升群众法治获得感、满意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DFDFD"/>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t>附件：全民国家安全教育日专项答题活动参与方式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line="560" w:lineRule="atLeast"/>
        <w:ind w:left="0" w:right="0" w:firstLine="0"/>
        <w:jc w:val="both"/>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line="560" w:lineRule="atLeast"/>
        <w:ind w:left="0" w:right="0" w:firstLine="0"/>
        <w:jc w:val="both"/>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line="560" w:lineRule="atLeast"/>
        <w:ind w:left="0" w:right="0" w:firstLine="0"/>
        <w:jc w:val="both"/>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line="560" w:lineRule="atLeast"/>
        <w:ind w:left="0" w:right="0" w:firstLine="0"/>
        <w:jc w:val="both"/>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line="560" w:lineRule="atLeast"/>
        <w:ind w:left="0" w:right="0" w:firstLine="0"/>
        <w:jc w:val="both"/>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line="560" w:lineRule="atLeast"/>
        <w:ind w:left="0" w:right="0" w:firstLine="0"/>
        <w:jc w:val="both"/>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line="560" w:lineRule="atLeast"/>
        <w:ind w:left="0" w:right="0" w:firstLine="0"/>
        <w:jc w:val="both"/>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line="560" w:lineRule="atLeast"/>
        <w:ind w:left="0" w:right="0" w:firstLine="0"/>
        <w:jc w:val="both"/>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line="560" w:lineRule="atLeast"/>
        <w:ind w:left="0" w:right="0" w:firstLine="0"/>
        <w:jc w:val="both"/>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line="560" w:lineRule="atLeast"/>
        <w:ind w:left="0" w:right="0" w:firstLine="0"/>
        <w:jc w:val="both"/>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line="560" w:lineRule="atLeast"/>
        <w:ind w:left="0" w:right="0" w:firstLine="0"/>
        <w:jc w:val="both"/>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line="560" w:lineRule="atLeast"/>
        <w:ind w:left="0" w:right="0" w:firstLine="0"/>
        <w:jc w:val="both"/>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t> 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kern w:val="0"/>
          <w:sz w:val="40"/>
          <w:szCs w:val="40"/>
          <w:bdr w:val="none" w:color="auto" w:sz="0" w:space="0"/>
          <w:shd w:val="clear" w:fill="FDFDFD"/>
          <w:lang w:val="en-US" w:eastAsia="zh-CN" w:bidi="ar"/>
        </w:rPr>
        <w:t>全民国家安全教育日专项答题活动参与方式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val="0"/>
          <w:bCs w:val="0"/>
          <w:i w:val="0"/>
          <w:iCs w:val="0"/>
          <w:caps w:val="0"/>
          <w:color w:val="333333"/>
          <w:spacing w:val="0"/>
          <w:kern w:val="0"/>
          <w:sz w:val="32"/>
          <w:szCs w:val="32"/>
          <w:bdr w:val="none" w:color="auto" w:sz="0" w:space="0"/>
          <w:shd w:val="clear" w:fill="FDFDFD"/>
          <w:lang w:val="en-US" w:eastAsia="zh-CN" w:bidi="ar"/>
        </w:rPr>
        <w:t>一、活动时间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t>即日起至 4 月 30 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val="0"/>
          <w:bCs w:val="0"/>
          <w:i w:val="0"/>
          <w:iCs w:val="0"/>
          <w:caps w:val="0"/>
          <w:color w:val="333333"/>
          <w:spacing w:val="0"/>
          <w:kern w:val="0"/>
          <w:sz w:val="32"/>
          <w:szCs w:val="32"/>
          <w:bdr w:val="none" w:color="auto" w:sz="0" w:space="0"/>
          <w:shd w:val="clear" w:fill="FDFDFD"/>
          <w:lang w:val="en-US" w:eastAsia="zh-CN" w:bidi="ar"/>
        </w:rPr>
        <w:t>二、步骤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t>关注“中国普法微信公众号”，在手机下方子菜单“齐参与”中找到“4•15 有奖竞答”进入答题页面即可答题。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kern w:val="0"/>
          <w:sz w:val="32"/>
          <w:szCs w:val="32"/>
          <w:bdr w:val="none" w:color="auto" w:sz="0" w:space="0"/>
          <w:shd w:val="clear" w:fill="FDFDFD"/>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DFDFD"/>
          <w:lang w:val="en-US" w:eastAsia="zh-CN" w:bidi="ar"/>
        </w:rPr>
        <w:drawing>
          <wp:inline distT="0" distB="0" distL="114300" distR="114300">
            <wp:extent cx="4676775" cy="5257800"/>
            <wp:effectExtent l="0" t="0" r="9525"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4"/>
                    <a:stretch>
                      <a:fillRect/>
                    </a:stretch>
                  </pic:blipFill>
                  <pic:spPr>
                    <a:xfrm>
                      <a:off x="0" y="0"/>
                      <a:ext cx="4676775" cy="52578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0"/>
        <w:jc w:val="center"/>
      </w:pPr>
      <w:r>
        <w:rPr>
          <w:rFonts w:hint="eastAsia" w:ascii="微软雅黑" w:hAnsi="微软雅黑" w:eastAsia="微软雅黑" w:cs="微软雅黑"/>
          <w:i w:val="0"/>
          <w:iCs w:val="0"/>
          <w:caps w:val="0"/>
          <w:color w:val="333333"/>
          <w:spacing w:val="0"/>
          <w:kern w:val="0"/>
          <w:sz w:val="24"/>
          <w:szCs w:val="24"/>
          <w:bdr w:val="none" w:color="auto" w:sz="0" w:space="0"/>
          <w:shd w:val="clear" w:fill="FDFDFD"/>
          <w:lang w:val="en-US" w:eastAsia="zh-CN" w:bidi="ar"/>
        </w:rPr>
        <w:t>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2NjQ2NDEyYzYyYTRlMGFhZTExNTRkZmIzOTNmNDAifQ=="/>
  </w:docVars>
  <w:rsids>
    <w:rsidRoot w:val="00000000"/>
    <w:rsid w:val="6D9E1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2024-01-17T08:31:56Z</dcterms:created>
  <dc:creator>HUI PU</dc:creator>
  <cp:lastModifiedBy>星若月沧</cp:lastModifiedBy>
  <dcterms:modified xsi:type="dcterms:W3CDTF">2024-01-17T08:33:50Z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A65FFB8A4748431588D8A29AF52F0B07_12</vt:lpwstr>
  </property>
</Properties>
</file>