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uppressAutoHyphens/>
        <w:bidi w:val="0"/>
        <w:spacing w:line="600" w:lineRule="exact"/>
        <w:ind w:left="0" w:leftChars="0" w:right="0" w:rightChars="0" w:firstLine="0" w:firstLineChars="0"/>
        <w:jc w:val="center"/>
        <w:rPr>
          <w:rFonts w:hint="eastAsia" w:ascii="方正小标宋_GBK" w:hAnsi="方正小标宋_GBK" w:eastAsia="方正小标宋_GBK" w:cs="方正小标宋_GBK"/>
          <w:color w:val="000000"/>
          <w:kern w:val="0"/>
          <w:sz w:val="44"/>
          <w:szCs w:val="44"/>
          <w:vertAlign w:val="baseline"/>
          <w:lang w:eastAsia="zh-CN"/>
        </w:rPr>
      </w:pPr>
      <w:r>
        <w:rPr>
          <w:rFonts w:hint="eastAsia" w:ascii="方正小标宋_GBK" w:hAnsi="方正小标宋_GBK" w:eastAsia="方正小标宋_GBK" w:cs="方正小标宋_GBK"/>
          <w:color w:val="000000"/>
          <w:kern w:val="0"/>
          <w:sz w:val="44"/>
          <w:szCs w:val="44"/>
          <w:vertAlign w:val="baseline"/>
          <w:lang w:eastAsia="zh-CN"/>
        </w:rPr>
        <w:t>埇桥区司法局行政权力廉政风险点情况表</w:t>
      </w:r>
    </w:p>
    <w:tbl>
      <w:tblPr>
        <w:tblStyle w:val="3"/>
        <w:tblpPr w:leftFromText="180" w:rightFromText="180" w:vertAnchor="text" w:horzAnchor="page" w:tblpX="1844"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88"/>
        <w:gridCol w:w="1216"/>
        <w:gridCol w:w="3576"/>
        <w:gridCol w:w="945"/>
        <w:gridCol w:w="342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序号</w:t>
            </w:r>
          </w:p>
        </w:tc>
        <w:tc>
          <w:tcPr>
            <w:tcW w:w="138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权力</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事项</w:t>
            </w:r>
          </w:p>
        </w:tc>
        <w:tc>
          <w:tcPr>
            <w:tcW w:w="121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风险点</w:t>
            </w:r>
            <w:r>
              <w:rPr>
                <w:rFonts w:hint="eastAsia" w:ascii="方正黑体_GBK" w:hAnsi="方正黑体_GBK" w:eastAsia="方正黑体_GBK" w:cs="方正黑体_GBK"/>
                <w:color w:val="000000"/>
                <w:kern w:val="0"/>
                <w:sz w:val="28"/>
                <w:szCs w:val="28"/>
                <w:vertAlign w:val="baseline"/>
                <w:lang w:val="en-US" w:eastAsia="zh-CN"/>
              </w:rPr>
              <w:br w:type="textWrapping"/>
            </w:r>
            <w:r>
              <w:rPr>
                <w:rFonts w:hint="eastAsia" w:ascii="方正黑体_GBK" w:hAnsi="方正黑体_GBK" w:eastAsia="方正黑体_GBK" w:cs="方正黑体_GBK"/>
                <w:color w:val="000000"/>
                <w:kern w:val="0"/>
                <w:sz w:val="28"/>
                <w:szCs w:val="28"/>
                <w:vertAlign w:val="baseline"/>
                <w:lang w:val="en-US" w:eastAsia="zh-CN"/>
              </w:rPr>
              <w:t>数量</w:t>
            </w:r>
          </w:p>
        </w:tc>
        <w:tc>
          <w:tcPr>
            <w:tcW w:w="357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表现形式</w:t>
            </w:r>
          </w:p>
        </w:tc>
        <w:tc>
          <w:tcPr>
            <w:tcW w:w="9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等级</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防控措施</w:t>
            </w:r>
          </w:p>
        </w:tc>
        <w:tc>
          <w:tcPr>
            <w:tcW w:w="1476" w:type="dxa"/>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kern w:val="0"/>
                <w:sz w:val="28"/>
                <w:szCs w:val="28"/>
                <w:vertAlign w:val="baseline"/>
                <w:lang w:val="en-US" w:eastAsia="zh-CN"/>
              </w:rPr>
            </w:pPr>
            <w:r>
              <w:rPr>
                <w:rFonts w:hint="eastAsia" w:ascii="方正黑体_GBK" w:hAnsi="方正黑体_GBK" w:eastAsia="方正黑体_GBK" w:cs="方正黑体_GBK"/>
                <w:color w:val="000000"/>
                <w:kern w:val="0"/>
                <w:sz w:val="28"/>
                <w:szCs w:val="28"/>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04"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1</w:t>
            </w:r>
          </w:p>
        </w:tc>
        <w:tc>
          <w:tcPr>
            <w:tcW w:w="1388"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基层法律服务所变更、注销</w:t>
            </w:r>
          </w:p>
        </w:tc>
        <w:tc>
          <w:tcPr>
            <w:tcW w:w="121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1</w:t>
            </w:r>
          </w:p>
        </w:tc>
        <w:tc>
          <w:tcPr>
            <w:tcW w:w="357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受理风险：申报的材料不全不能做到一次性告知，受理不及时。</w:t>
            </w:r>
          </w:p>
        </w:tc>
        <w:tc>
          <w:tcPr>
            <w:tcW w:w="9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低级</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建立确认受理台账，定期进行检查；严格按照法规程序进行监督；纪检跟踪督察，受理举报投诉理。</w:t>
            </w:r>
          </w:p>
        </w:tc>
        <w:tc>
          <w:tcPr>
            <w:tcW w:w="1476" w:type="dxa"/>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04"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2</w:t>
            </w:r>
          </w:p>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eastAsia="zh-CN"/>
              </w:rPr>
            </w:pPr>
          </w:p>
        </w:tc>
        <w:tc>
          <w:tcPr>
            <w:tcW w:w="1388"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rPr>
              <w:t>法律援助审核</w:t>
            </w:r>
          </w:p>
        </w:tc>
        <w:tc>
          <w:tcPr>
            <w:tcW w:w="1216" w:type="dxa"/>
            <w:vMerge w:val="restart"/>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4</w:t>
            </w:r>
          </w:p>
          <w:p>
            <w:pPr>
              <w:keepNext w:val="0"/>
              <w:keepLines w:val="0"/>
              <w:pageBreakBefore w:val="0"/>
              <w:widowControl/>
              <w:suppressAutoHyphens/>
              <w:kinsoku/>
              <w:wordWrap/>
              <w:overflowPunct/>
              <w:topLinePunct w:val="0"/>
              <w:autoSpaceDE/>
              <w:autoSpaceDN/>
              <w:bidi w:val="0"/>
              <w:adjustRightInd/>
              <w:snapToGrid/>
              <w:spacing w:line="360" w:lineRule="exact"/>
              <w:ind w:right="640"/>
              <w:jc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 xml:space="preserve">  </w:t>
            </w:r>
          </w:p>
        </w:tc>
        <w:tc>
          <w:tcPr>
            <w:tcW w:w="3576"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受理风险：申报的材料不全不能做到一次性告知，受理不及时</w:t>
            </w:r>
          </w:p>
        </w:tc>
        <w:tc>
          <w:tcPr>
            <w:tcW w:w="9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低</w:t>
            </w:r>
          </w:p>
        </w:tc>
        <w:tc>
          <w:tcPr>
            <w:tcW w:w="3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建立确认受理台账，定期进行检查；严格按照法规程序进行监督；纪检跟踪督察，受理举报投诉理。</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法律援助中心主任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center"/>
              <w:rPr>
                <w:rFonts w:hint="eastAsia" w:ascii="方正仿宋_GBK" w:hAnsi="方正仿宋_GBK" w:eastAsia="方正仿宋_GBK" w:cs="方正仿宋_GBK"/>
                <w:color w:val="000000"/>
                <w:kern w:val="0"/>
                <w:sz w:val="24"/>
                <w:szCs w:val="24"/>
                <w:vertAlign w:val="baseline"/>
                <w:lang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审查风险：材料审核，审核条件把关不严，不按照有关规定进行,超审查时限</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加强内部监督检查，建立核查监督机制。</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法律援助中心主任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tabs>
                <w:tab w:val="left" w:pos="1260"/>
              </w:tabs>
              <w:suppressAutoHyphens/>
              <w:kinsoku/>
              <w:wordWrap/>
              <w:overflowPunct/>
              <w:topLinePunct w:val="0"/>
              <w:autoSpaceDE w:val="0"/>
              <w:autoSpaceDN w:val="0"/>
              <w:bidi w:val="0"/>
              <w:adjustRightInd/>
              <w:snapToGrid/>
              <w:spacing w:line="240" w:lineRule="exact"/>
              <w:ind w:right="-186" w:rightChars="0"/>
              <w:jc w:val="left"/>
              <w:textAlignment w:val="auto"/>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决定风险：久拖不批，无故拖延办理；利用职务便利接受贿赂为当事人谋利益</w:t>
            </w:r>
          </w:p>
        </w:tc>
        <w:tc>
          <w:tcPr>
            <w:tcW w:w="9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及时公开处理结果，接受社会监督；建立核查监督机制。</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法律援助中心主任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center"/>
              <w:rPr>
                <w:rFonts w:hint="eastAsia" w:ascii="方正仿宋_GBK" w:hAnsi="方正仿宋_GBK" w:eastAsia="方正仿宋_GBK" w:cs="方正仿宋_GBK"/>
                <w:color w:val="000000"/>
                <w:kern w:val="0"/>
                <w:sz w:val="24"/>
                <w:szCs w:val="24"/>
                <w:vertAlign w:val="baseline"/>
                <w:lang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送达风险：结果不送达或不及时送达</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实行送达回执制度，对当事人进行回访，不定期对相关案卷进行评查。</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法律援助中心主任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3</w:t>
            </w:r>
          </w:p>
        </w:tc>
        <w:tc>
          <w:tcPr>
            <w:tcW w:w="1388" w:type="dxa"/>
            <w:vMerge w:val="restart"/>
            <w:tcBorders/>
            <w:noWrap w:val="0"/>
            <w:vAlign w:val="center"/>
          </w:tcPr>
          <w:p>
            <w:pPr>
              <w:keepNext w:val="0"/>
              <w:keepLines w:val="0"/>
              <w:pageBreakBefore w:val="0"/>
              <w:widowControl/>
              <w:tabs>
                <w:tab w:val="left" w:pos="1260"/>
              </w:tabs>
              <w:suppressAutoHyphens/>
              <w:kinsoku/>
              <w:wordWrap/>
              <w:overflowPunct/>
              <w:topLinePunct w:val="0"/>
              <w:autoSpaceDE w:val="0"/>
              <w:autoSpaceDN w:val="0"/>
              <w:bidi w:val="0"/>
              <w:adjustRightInd/>
              <w:snapToGrid/>
              <w:spacing w:line="240" w:lineRule="exact"/>
              <w:ind w:right="-186" w:rightChars="0"/>
              <w:jc w:val="left"/>
              <w:textAlignment w:val="auto"/>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1"/>
                <w:szCs w:val="21"/>
                <w:vertAlign w:val="baseline"/>
                <w:lang w:eastAsia="zh-CN"/>
              </w:rPr>
              <w:t>对申请人不服法律援助机构作出的不符合法律援助条件的通知的异议审查</w:t>
            </w:r>
          </w:p>
        </w:tc>
        <w:tc>
          <w:tcPr>
            <w:tcW w:w="1216"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val="en-US" w:eastAsia="zh-CN"/>
              </w:rPr>
              <w:t xml:space="preserve">  2</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组织风险：没有按固定组织开展相关监督指导</w:t>
            </w:r>
          </w:p>
        </w:tc>
        <w:tc>
          <w:tcPr>
            <w:tcW w:w="945"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建立公示制度，健全监督指导机制。</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法律援助中心主任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实施风险：没有依法依规实施监督指导工作</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健全监督指导机制，细化监督指导工作流程，定期组织效能督查。</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法律援助中心主任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4</w:t>
            </w:r>
          </w:p>
        </w:tc>
        <w:tc>
          <w:tcPr>
            <w:tcW w:w="1388"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对没有取得律师执业证书的人员以律师名义从事法律服务业务的处罚</w:t>
            </w:r>
          </w:p>
        </w:tc>
        <w:tc>
          <w:tcPr>
            <w:tcW w:w="1216"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7</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立案风险：案件受理不及时，徇私舞弊，应立案不立案。</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1、建立查处案件台账，定期进行检查；2、严格按照法规程序进行监督。</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调查风险：调查取证时接受请托，办理人情案。</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1、规范处罚程序，现场调查必须两人以上；2、调查取证可采取现场录音、录像的等技术手段，严格执法全过程记录制度。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审查风险：对调查结果不按规定进行审查。</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1、加强内部监督检查；2、建立集体审查制度。</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告知风险：在案件办理中不履行法定告知义务。</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1、严格行政执法公示制度，2、健全信访投诉举报办理制度；3、实行一次性告知制。</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决定风险：1）久拖不批或者越权审批，无故拖延案件办理；2）利用职务便利接受贿赂为当事人谋利益；3）随意行使自由裁量权；4、法律法规运用错误。</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tabs>
                <w:tab w:val="left" w:pos="3160"/>
              </w:tabs>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1、执行内部监督检查2、严格层级审批制度3、严格重大执法决定法制审核制度；4、严格执行听证程序；5、严格履行服务承诺，政务公开、健全信访投诉举报受理制度。</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送达风险：不履行送达程序，未将行政处罚决定书送达当事人。</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26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val="en-US" w:eastAsia="zh-CN"/>
              </w:rPr>
              <w:t>1、</w:t>
            </w:r>
            <w:r>
              <w:rPr>
                <w:rFonts w:hint="eastAsia" w:ascii="方正仿宋_GBK" w:hAnsi="方正仿宋_GBK" w:eastAsia="方正仿宋_GBK" w:cs="方正仿宋_GBK"/>
                <w:color w:val="000000"/>
                <w:kern w:val="0"/>
                <w:sz w:val="24"/>
                <w:szCs w:val="24"/>
                <w:vertAlign w:val="baseline"/>
                <w:lang w:eastAsia="zh-CN"/>
              </w:rPr>
              <w:t>加强内部监督检查；2、行政执法信息公示，接受社会监督。</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执行风险：1）不履行送达程序；2）对已作出处罚决定的案件不执行、不及时执行或变通；3）结案材料归档不及时，手续不完整。</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tabs>
                <w:tab w:val="left" w:pos="3160"/>
              </w:tabs>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1、加强政务公开，对被处罚当事人进行回访；2、对卷宗处理进行抽查，加强对执行情况的监督；3、健全信访投诉举报办理制度；4、建立案件台账，定期进行检查。</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审查环节：违反程序，违规审查。</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建立集体审查制度</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决定环节：违法违规决定，超时决定。</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tabs>
                <w:tab w:val="left" w:pos="3160"/>
              </w:tabs>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加强内部监管，接受社会监督。</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5</w:t>
            </w:r>
          </w:p>
        </w:tc>
        <w:tc>
          <w:tcPr>
            <w:tcW w:w="1388"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对基层法律服务工作者超越业务范围和诉讼代理执业区域等二十种行为的处罚</w:t>
            </w:r>
          </w:p>
        </w:tc>
        <w:tc>
          <w:tcPr>
            <w:tcW w:w="1216"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6</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立案风险：对发现的、接到举报的案件没有按规定决定是否立案</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建立立案台帐；定期进行检查；纪检跟踪督查，受理举报投诉。</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调查风险：在调查或者进行检查时没有依照规定指派人员，没有按照规定程序进行调查。</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tabs>
                <w:tab w:val="left" w:pos="3160"/>
              </w:tabs>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规范处罚程序；现场调查取证必须两人以上；调查取证可采取现场录音、录像等技术手段。</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审查风险：对当事人违法的事实和证据、处罚种类和幅度、当事人陈述和申辩的理由没有按规定依法给予审查意见。</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严格按照司法行政案件审理规定开展审理；执行行政处罚自由裁量基准制度；对案审情况进行文字记录，必要时采取录音等记录手段。</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告知风险：作出行政处罚决定前，应当书面告知当事人违法事实及其享有的陈述、申辩、要求听证等权利。</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tabs>
                <w:tab w:val="left" w:pos="2520"/>
              </w:tabs>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规范告知程序；严格政务公开制度；健全信访投诉举报受理制度。</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决定风险：没有按规定依法对案件审查结果给出决定，没有按规定程序制作决定书。</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规范决定程序；执行内部监督检查，纪检跟踪督察制度；严格层级审批制度；严格执行听证程序，重大案件实行集体讨论。</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送达和执行风险：不履行送达程序；对已作出处罚决定的案件不执行、不及时执行或变通。</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2"/>
                <w:sz w:val="24"/>
                <w:szCs w:val="24"/>
                <w:u w:val="none"/>
                <w:lang w:val="en-US" w:eastAsia="zh-CN" w:bidi="ar-SA"/>
              </w:rPr>
              <w:t>低</w:t>
            </w: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规范执行程序；加强政务公开，对被处罚当事人进行回访；对案卷处理进行抽查，加强对执行情况的监督。</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default"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6</w:t>
            </w:r>
          </w:p>
        </w:tc>
        <w:tc>
          <w:tcPr>
            <w:tcW w:w="1388"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对基层法律服务所超越业务范围和诉讼代理执业区域等十一种行为的处罚</w:t>
            </w:r>
          </w:p>
        </w:tc>
        <w:tc>
          <w:tcPr>
            <w:tcW w:w="1216" w:type="dxa"/>
            <w:vMerge w:val="restart"/>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default"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6</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立案风险：对发现的、接到举报的案件没有按规定决定是否立案</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建立立案台帐；定期进行检查；纪检跟踪督查，受理举报投诉。</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调查风险：在调查或者进行检查时没有依照规定指派人员，没有按照规定程序进行调查。</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规范处罚程序；现场调查取证必须两人以上；调查取证可采取现场录音、录像等技术手段。</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审查风险：对当事人违法的事实和证据、处罚种类和幅度、当事人陈述和申辩的理由没有按规定依法给予审查意见。</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严格按照司法行政案件审理规定开展审理；执行行政处罚自由裁量基准制度；对案审情况进行文字记录，必要时采取录音等记录手段。</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告知风险：作出行政处罚决定前，应当书面告知当事人违法事实及其享有的陈述、申辩、要求听证等权利。</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规范告知程序；严格政务公开制度；健全信访投诉举报受理制度。</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决定风险：没有按规定依法对案件审查结果给出决定，没有按规定程序制作决定书。</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规范决定程序；执行内部监督检查，纪检跟踪督察制度；严格层级审批制度；严格执行听证程序，重大案件实行集体讨论。</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04"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left="0" w:leftChars="0" w:right="0" w:rightChars="0" w:firstLine="0" w:firstLineChars="0"/>
              <w:jc w:val="center"/>
              <w:rPr>
                <w:rFonts w:hint="eastAsia" w:ascii="方正仿宋_GBK" w:hAnsi="方正仿宋_GBK" w:eastAsia="方正仿宋_GBK" w:cs="方正仿宋_GBK"/>
                <w:color w:val="000000"/>
                <w:kern w:val="0"/>
                <w:sz w:val="24"/>
                <w:szCs w:val="24"/>
                <w:vertAlign w:val="baseline"/>
                <w:lang w:val="en-US" w:eastAsia="zh-CN"/>
              </w:rPr>
            </w:pPr>
            <w:bookmarkStart w:id="1" w:name="_GoBack" w:colFirst="6" w:colLast="6"/>
          </w:p>
        </w:tc>
        <w:tc>
          <w:tcPr>
            <w:tcW w:w="1388"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88" w:rightChars="0"/>
              <w:jc w:val="center"/>
              <w:rPr>
                <w:rFonts w:hint="eastAsia" w:ascii="方正仿宋_GBK" w:hAnsi="方正仿宋_GBK" w:eastAsia="方正仿宋_GBK" w:cs="方正仿宋_GBK"/>
                <w:color w:val="000000"/>
                <w:kern w:val="0"/>
                <w:sz w:val="24"/>
                <w:szCs w:val="24"/>
                <w:vertAlign w:val="baseline"/>
                <w:lang w:eastAsia="zh-CN"/>
              </w:rPr>
            </w:pPr>
          </w:p>
        </w:tc>
        <w:tc>
          <w:tcPr>
            <w:tcW w:w="1216" w:type="dxa"/>
            <w:vMerge w:val="continue"/>
            <w:tcBorders/>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640" w:rightChars="0"/>
              <w:jc w:val="center"/>
              <w:rPr>
                <w:rFonts w:hint="eastAsia" w:ascii="方正仿宋_GBK" w:hAnsi="方正仿宋_GBK" w:eastAsia="方正仿宋_GBK" w:cs="方正仿宋_GBK"/>
                <w:color w:val="000000"/>
                <w:kern w:val="0"/>
                <w:sz w:val="24"/>
                <w:szCs w:val="24"/>
                <w:vertAlign w:val="baseline"/>
                <w:lang w:val="en-US" w:eastAsia="zh-CN"/>
              </w:rPr>
            </w:pP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送达和执行风险：不履行送达程序；对已作出处罚决定的案件不执行、不及时执行或变通。</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3420" w:type="dxa"/>
            <w:noWrap w:val="0"/>
            <w:vAlign w:val="center"/>
          </w:tcPr>
          <w:p>
            <w:pPr>
              <w:keepNext w:val="0"/>
              <w:keepLines w:val="0"/>
              <w:pageBreakBefore w:val="0"/>
              <w:widowControl/>
              <w:suppressAutoHyphens/>
              <w:kinsoku/>
              <w:wordWrap/>
              <w:overflowPunct/>
              <w:topLinePunct w:val="0"/>
              <w:autoSpaceDE/>
              <w:autoSpaceDN/>
              <w:bidi w:val="0"/>
              <w:adjustRightInd/>
              <w:snapToGrid/>
              <w:spacing w:line="360" w:lineRule="exact"/>
              <w:ind w:right="44" w:rightChars="0"/>
              <w:jc w:val="center"/>
              <w:rPr>
                <w:rFonts w:hint="eastAsia" w:ascii="方正仿宋_GBK" w:hAnsi="方正仿宋_GBK" w:eastAsia="方正仿宋_GBK" w:cs="方正仿宋_GBK"/>
                <w:color w:val="000000"/>
                <w:kern w:val="0"/>
                <w:sz w:val="24"/>
                <w:szCs w:val="24"/>
                <w:vertAlign w:val="baseline"/>
                <w:lang w:eastAsia="zh-CN"/>
              </w:rPr>
            </w:pPr>
            <w:r>
              <w:rPr>
                <w:rFonts w:hint="eastAsia" w:ascii="方正仿宋_GBK" w:hAnsi="方正仿宋_GBK" w:eastAsia="方正仿宋_GBK" w:cs="方正仿宋_GBK"/>
                <w:color w:val="000000"/>
                <w:kern w:val="0"/>
                <w:sz w:val="24"/>
                <w:szCs w:val="24"/>
                <w:vertAlign w:val="baseline"/>
                <w:lang w:eastAsia="zh-CN"/>
              </w:rPr>
              <w:t>规范执行程序；加强政务公开，对被处罚当事人进行回访；对案卷处理进行抽查，加强对执行情况的监督。</w:t>
            </w:r>
          </w:p>
        </w:tc>
        <w:tc>
          <w:tcPr>
            <w:tcW w:w="14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color w:val="000000"/>
                <w:kern w:val="0"/>
                <w:sz w:val="24"/>
                <w:szCs w:val="24"/>
                <w:vertAlign w:val="baseline"/>
                <w:lang w:val="en-US" w:eastAsia="zh-CN"/>
              </w:rPr>
            </w:pPr>
            <w:r>
              <w:rPr>
                <w:rFonts w:hint="eastAsia" w:ascii="方正仿宋_GBK" w:hAnsi="方正仿宋_GBK" w:eastAsia="方正仿宋_GBK" w:cs="方正仿宋_GBK"/>
                <w:color w:val="000000"/>
                <w:kern w:val="0"/>
                <w:sz w:val="24"/>
                <w:szCs w:val="24"/>
                <w:vertAlign w:val="baseline"/>
                <w:lang w:val="en-US" w:eastAsia="zh-CN"/>
              </w:rPr>
              <w:t>律师股股长</w:t>
            </w:r>
          </w:p>
        </w:tc>
      </w:tr>
    </w:tbl>
    <w:p/>
    <w:p>
      <w:pPr>
        <w:bidi w:val="0"/>
        <w:rPr>
          <w:rFonts w:ascii="Calibri" w:hAnsi="Calibri" w:eastAsia="宋体" w:cs="Times New Roman"/>
          <w:color w:val="auto"/>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227"/>
        </w:tabs>
        <w:bidi w:val="0"/>
        <w:jc w:val="left"/>
        <w:rPr>
          <w:rFonts w:hint="eastAsia"/>
          <w:lang w:val="en-US" w:eastAsia="zh-CN"/>
        </w:rPr>
      </w:pPr>
      <w:r>
        <w:rPr>
          <w:rFonts w:hint="eastAsia"/>
          <w:lang w:val="en-US" w:eastAsia="zh-CN"/>
        </w:rPr>
        <w:tab/>
      </w:r>
    </w:p>
    <w:p>
      <w:pPr>
        <w:tabs>
          <w:tab w:val="left" w:pos="4227"/>
        </w:tabs>
        <w:bidi w:val="0"/>
        <w:jc w:val="left"/>
        <w:rPr>
          <w:rFonts w:hint="eastAsia"/>
          <w:lang w:val="en-US" w:eastAsia="zh-CN"/>
        </w:rPr>
      </w:pPr>
    </w:p>
    <w:p>
      <w:pPr>
        <w:tabs>
          <w:tab w:val="left" w:pos="4227"/>
        </w:tabs>
        <w:bidi w:val="0"/>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Tc3MzNkYzQxMWVkNTYyMjk4MDZjYjJiNGNjMDIifQ=="/>
  </w:docVars>
  <w:rsids>
    <w:rsidRoot w:val="00000000"/>
    <w:rsid w:val="7555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2024-01-18T03:19:54Z</dcterms:created>
  <dc:creator>Administrator</dc:creator>
  <cp:lastModifiedBy>宅小浩</cp:lastModifiedBy>
  <dcterms:modified xsi:type="dcterms:W3CDTF">2024-01-18T07:05:55Z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0375C30C3324410B852D244639E8056C_12</vt:lpwstr>
  </property>
</Properties>
</file>