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大标宋_GBK" w:hAnsi="Times New Roman" w:eastAsia="方正大标宋_GBK" w:cs="方正仿宋_GBK"/>
          <w:sz w:val="36"/>
          <w:szCs w:val="36"/>
          <w:lang w:eastAsia="zh-CN"/>
        </w:rPr>
        <w:t>埇桥区永安镇</w:t>
      </w:r>
      <w:r>
        <w:rPr>
          <w:rFonts w:hint="default" w:ascii="Times New Roman" w:hAnsi="Times New Roman" w:eastAsia="方正大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大标宋_GBK" w:cs="Times New Roman"/>
          <w:sz w:val="36"/>
          <w:szCs w:val="36"/>
          <w:lang w:val="en-US" w:eastAsia="zh-CN"/>
        </w:rPr>
        <w:t>4</w:t>
      </w:r>
      <w:r>
        <w:rPr>
          <w:rFonts w:hint="eastAsia" w:ascii="方正大标宋_GBK" w:hAnsi="Times New Roman" w:eastAsia="方正大标宋_GBK" w:cs="方正仿宋_GBK"/>
          <w:sz w:val="36"/>
          <w:szCs w:val="36"/>
        </w:rPr>
        <w:t>年一般公共预算“三公”经费预算</w:t>
      </w:r>
    </w:p>
    <w:p>
      <w:pPr>
        <w:spacing w:line="600" w:lineRule="exact"/>
        <w:jc w:val="left"/>
        <w:rPr>
          <w:rFonts w:hint="eastAsia" w:ascii="方正仿宋_GBK" w:hAnsi="Times New Roman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一、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年一般公共预算“三公”经费支出预算表</w:t>
      </w:r>
    </w:p>
    <w:p>
      <w:pPr>
        <w:pStyle w:val="6"/>
        <w:jc w:val="right"/>
        <w:rPr>
          <w:rFonts w:ascii="方正仿宋_GBK" w:eastAsia="方正仿宋_GBK"/>
          <w:sz w:val="32"/>
          <w:szCs w:val="32"/>
        </w:rPr>
      </w:pPr>
    </w:p>
    <w:p>
      <w:pPr>
        <w:pStyle w:val="6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4"/>
        <w:tblW w:w="916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57"/>
        <w:gridCol w:w="1244"/>
        <w:gridCol w:w="1607"/>
        <w:gridCol w:w="158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“三公”经费合计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4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8.5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方正仿宋_GBK" w:hAnsi="Times New Roman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二、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年一般公共预算“三公”经费支出预算情况说明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埇桥区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永安镇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年一般公共预算“三公” 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。其中:因公出国(境)费支出预算为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 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万元。具体情况如下: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(一)因公出国(境)费支出预算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2023年没有因公出国境计划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。经费使用严格执行党政机关因公临时出国经费管理办法》(财行〔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号)、《宿州市市直党政机关因公短期出国培训费用管理办法》(财行〔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527</w:t>
      </w:r>
      <w:r>
        <w:rPr>
          <w:rFonts w:hint="eastAsia" w:ascii="仿宋_GB2312" w:hAnsi="仿宋_GB2312" w:eastAsia="仿宋_GB2312" w:cs="仿宋_GB2312"/>
          <w:sz w:val="32"/>
          <w:szCs w:val="32"/>
        </w:rPr>
        <w:t>号)等相关规定。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(二)公务用车购置及运行费支出预算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。其中:公务用车运行费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;该项经费主要于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车辆燃料费、维修费、保险费等支出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 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预算相比无增减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:主要原因是：本单位已实行公车改革，所有公务用车均由公车办统一管理。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(三)公务接待费支出预算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年预算持平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，原因主要是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年没有公务接待费预算支出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。经费使用严格执行《党政机关厉行节约反对浪费条例》、《宿州市市直机关公务接待管理暂行办法》(财行〔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2066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号)、《宿州市财政局关于调整市直机关公务接待费用餐标准的通知》(财行〔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1096</w:t>
      </w:r>
      <w:r>
        <w:rPr>
          <w:rFonts w:hint="eastAsia" w:ascii="仿宋_GB2312" w:hAnsi="仿宋_GB2312" w:eastAsia="仿宋_GB2312" w:cs="仿宋_GB2312"/>
          <w:sz w:val="32"/>
          <w:szCs w:val="32"/>
        </w:rPr>
        <w:t>号)等相关规定。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注:各部门、单位均要公开“三公”经费预算，部门(单位)一般公共预算未安排“三公”经费支出的应当公开空白表并予以说明。各项“三公”经费(包括该项经费本年未安排、上年未安排、本年预算与上年持平等)均要说明增减变化情况及其原因。】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bidi w:val="0"/>
        <w:jc w:val="distribute"/>
        <w:rPr>
          <w:rFonts w:hint="default"/>
          <w:lang w:val="en-US" w:eastAsia="zh-CN"/>
        </w:rPr>
      </w:pPr>
    </w:p>
    <w:p/>
    <w:bookmarkEnd w:id="0"/>
    <w:sectPr>
      <w:footerReference r:id="rId3" w:type="default"/>
      <w:footerReference r:id="rId4" w:type="even"/>
      <w:pgSz w:w="11906" w:h="16838"/>
      <w:pgMar w:top="2098" w:right="1474" w:bottom="1984" w:left="1587" w:header="851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jk3Y2EzZmMwMWQxZTI5MWI1YTc3ZjQ3MmIyNmEifQ=="/>
  </w:docVars>
  <w:rsids>
    <w:rsidRoot w:val="6DC805D8"/>
    <w:rsid w:val="62A04D30"/>
    <w:rsid w:val="6DC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1"/>
    <w:autoRedefine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2024-02-05T02:37:00Z</dcterms:created>
  <dc:creator>Administrator</dc:creator>
  <cp:lastModifiedBy>LENOVO</cp:lastModifiedBy>
  <dcterms:modified xsi:type="dcterms:W3CDTF">2024-02-23T07:34:29Z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892A2573C79B4B9DB1814AC2F68FD170_11</vt:lpwstr>
  </property>
</Properties>
</file>