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一、财务信息：</w:t>
      </w:r>
    </w:p>
    <w:p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1、财务管理及监督办法</w:t>
      </w:r>
    </w:p>
    <w:p>
      <w:pPr>
        <w:widowControl/>
        <w:shd w:val="clear" w:color="auto" w:fill="FFFFFF"/>
        <w:spacing w:before="156" w:beforeLines="50" w:after="156" w:afterLines="50" w:line="480" w:lineRule="exact"/>
        <w:ind w:firstLine="600" w:firstLineChars="25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预算内经费全部由财政拨款，主要用于职工工资、奖金、离退休费、医疗保险、住房公积金和公业务费等开支。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主要通过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以下工作来实现经费管理。</w:t>
      </w:r>
    </w:p>
    <w:p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①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、及时足额发放职工工资、退休费、绩效工资等。</w:t>
      </w:r>
    </w:p>
    <w:p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②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、按期上交职工医疗保险金、住房公积金。</w:t>
      </w:r>
    </w:p>
    <w:p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③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、公开业务费开支，严格执行校长一支笔审批，报销时务必凭原始凭证据实列报，不能以领代报或以借代报，手续不完善、票据不正规和非正常开支的费用，一律不予报销。</w:t>
      </w:r>
    </w:p>
    <w:p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④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、采购、维修大额开支实行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申请中心校校长办公会议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研究决定，并签订采购、维修合同，上报相关部门，完善控购手续后方可执行。</w:t>
      </w:r>
    </w:p>
    <w:p>
      <w:pPr>
        <w:widowControl/>
        <w:shd w:val="clear" w:color="auto" w:fill="FFFFFF"/>
        <w:spacing w:before="156" w:beforeLines="50" w:after="156" w:afterLines="50" w:line="480" w:lineRule="exact"/>
        <w:ind w:firstLine="120" w:firstLineChars="50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2024年收入支出预算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信息</w:t>
      </w:r>
    </w:p>
    <w:p>
      <w:pPr>
        <w:widowControl/>
        <w:shd w:val="clear" w:color="auto" w:fill="FFFFFF"/>
        <w:spacing w:before="156" w:beforeLines="50" w:after="156" w:afterLines="50" w:line="480" w:lineRule="exact"/>
        <w:ind w:firstLine="360" w:firstLineChars="150"/>
        <w:jc w:val="left"/>
        <w:rPr>
          <w:rFonts w:hint="default" w:ascii="宋体" w:hAnsi="宋体" w:eastAsia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单位预算是学校完成各项工作任务，实现事业计划的重要前提。为了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做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好这项工作，根据学校的实际情况，本着“以收定支，量入为出”，使预算更加切合实际。充分发挥在财务管理中的积极作用，较圆满地完成预算编制任务。</w:t>
      </w:r>
    </w:p>
    <w:p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222222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3、收费项目及收费标准</w:t>
      </w:r>
    </w:p>
    <w:p>
      <w:pPr>
        <w:widowControl/>
        <w:shd w:val="clear" w:color="auto" w:fill="FFFFFF"/>
        <w:spacing w:before="156" w:beforeLines="50" w:after="156" w:afterLines="50" w:line="480" w:lineRule="exact"/>
        <w:ind w:firstLine="480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>收费是学校最为繁琐，也是政策最强的一项工作，为了做好这项工作，我们及早做好申报审批工作，做到收费的依据，严格执行收费标准。及时出具票据，期未做好结算工作，做到多退少不补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before="156" w:beforeLines="50" w:after="156" w:afterLines="50" w:line="480" w:lineRule="exact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月份我校收取202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春季中小学延时服务费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，严格按照标区教体局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收费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文件精神执行，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与教体局认真核算，据实收费，绝无</w:t>
      </w:r>
      <w:bookmarkStart w:id="0" w:name="_GoBack"/>
      <w:bookmarkEnd w:id="0"/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多收费、搭车收费等现象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WQxYmIxOTJhMDk5NjZjMTc0OGY4YTBkODNlNWYifQ=="/>
  </w:docVars>
  <w:rsids>
    <w:rsidRoot w:val="004138B9"/>
    <w:rsid w:val="0022106F"/>
    <w:rsid w:val="004138B9"/>
    <w:rsid w:val="0045681E"/>
    <w:rsid w:val="007268DC"/>
    <w:rsid w:val="00D9099F"/>
    <w:rsid w:val="09842C00"/>
    <w:rsid w:val="174D4E72"/>
    <w:rsid w:val="44CB2B31"/>
    <w:rsid w:val="44E62C4E"/>
    <w:rsid w:val="5B563017"/>
    <w:rsid w:val="6B156676"/>
    <w:rsid w:val="734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698</Words>
  <Characters>714</Characters>
  <Lines>4</Lines>
  <Paragraphs>1</Paragraphs>
  <TotalTime>90</TotalTime>
  <ScaleCrop>false</ScaleCrop>
  <LinksUpToDate>false</LinksUpToDate>
  <CharactersWithSpaces>723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2022-06-30T01:19:00Z</dcterms:created>
  <dc:creator>微软用户</dc:creator>
  <cp:lastModifiedBy>Administrator</cp:lastModifiedBy>
  <dcterms:modified xsi:type="dcterms:W3CDTF">2024-03-19T06:42:50Z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4384EF9B1CDF42EDAA0A7F7AD9A30849_13</vt:lpwstr>
  </property>
</Properties>
</file>