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_GBK" w:hAnsi="Times New Roman" w:eastAsia="方正小标宋_GBK" w:cs="方正仿宋_GBK"/>
          <w:sz w:val="52"/>
          <w:szCs w:val="52"/>
        </w:rPr>
      </w:pPr>
    </w:p>
    <w:p>
      <w:pPr>
        <w:pStyle w:val="2"/>
        <w:rPr>
          <w:rFonts w:hint="eastAsia" w:ascii="方正小标宋_GBK" w:hAnsi="Times New Roman" w:eastAsia="方正小标宋_GBK" w:cs="方正仿宋_GBK"/>
          <w:sz w:val="52"/>
          <w:szCs w:val="52"/>
        </w:rPr>
      </w:pPr>
    </w:p>
    <w:p>
      <w:pPr>
        <w:pStyle w:val="2"/>
        <w:rPr>
          <w:rFonts w:hint="eastAsia" w:ascii="方正小标宋_GBK" w:hAnsi="Times New Roman" w:eastAsia="方正小标宋_GBK" w:cs="方正仿宋_GBK"/>
          <w:sz w:val="52"/>
          <w:szCs w:val="52"/>
        </w:rPr>
      </w:pPr>
    </w:p>
    <w:p>
      <w:pPr>
        <w:pStyle w:val="2"/>
        <w:rPr>
          <w:rFonts w:hint="eastAsia" w:ascii="方正小标宋_GBK" w:hAnsi="Times New Roman" w:eastAsia="方正小标宋_GBK" w:cs="方正仿宋_GBK"/>
          <w:sz w:val="52"/>
          <w:szCs w:val="52"/>
        </w:rPr>
      </w:pPr>
    </w:p>
    <w:p>
      <w:pPr>
        <w:pStyle w:val="2"/>
        <w:rPr>
          <w:rFonts w:hint="eastAsia" w:ascii="华文中宋" w:hAnsi="华文中宋" w:eastAsia="华文中宋" w:cs="华文中宋"/>
          <w:b/>
          <w:bCs/>
          <w:color w:val="000000"/>
          <w:kern w:val="0"/>
          <w:sz w:val="52"/>
          <w:szCs w:val="52"/>
          <w:lang w:val="zh-TW" w:eastAsia="zh-CN" w:bidi="zh-TW"/>
        </w:rPr>
      </w:pPr>
    </w:p>
    <w:p>
      <w:pPr>
        <w:spacing w:line="600" w:lineRule="exact"/>
        <w:jc w:val="center"/>
        <w:rPr>
          <w:rFonts w:hint="eastAsia" w:ascii="华文中宋" w:hAnsi="华文中宋" w:eastAsia="华文中宋" w:cs="华文中宋"/>
          <w:b/>
          <w:bCs/>
          <w:color w:val="000000"/>
          <w:kern w:val="0"/>
          <w:sz w:val="52"/>
          <w:szCs w:val="52"/>
          <w:lang w:val="en-US" w:eastAsia="zh-CN" w:bidi="zh-TW"/>
        </w:rPr>
      </w:pPr>
      <w:r>
        <w:rPr>
          <w:rFonts w:hint="eastAsia" w:ascii="华文中宋" w:hAnsi="华文中宋" w:eastAsia="华文中宋" w:cs="华文中宋"/>
          <w:b/>
          <w:bCs/>
          <w:color w:val="000000"/>
          <w:kern w:val="0"/>
          <w:sz w:val="52"/>
          <w:szCs w:val="52"/>
          <w:lang w:val="en-US" w:eastAsia="zh-CN" w:bidi="zh-TW"/>
        </w:rPr>
        <w:t>宿州市</w:t>
      </w:r>
      <w:r>
        <w:rPr>
          <w:rFonts w:hint="eastAsia" w:ascii="华文中宋" w:hAnsi="华文中宋" w:eastAsia="华文中宋" w:cs="华文中宋"/>
          <w:b/>
          <w:bCs/>
          <w:color w:val="000000"/>
          <w:kern w:val="0"/>
          <w:sz w:val="52"/>
          <w:szCs w:val="52"/>
          <w:lang w:val="zh-TW" w:eastAsia="zh-CN" w:bidi="zh-TW"/>
        </w:rPr>
        <w:t>埇桥区</w:t>
      </w:r>
      <w:r>
        <w:rPr>
          <w:rFonts w:hint="eastAsia" w:ascii="华文中宋" w:hAnsi="华文中宋" w:eastAsia="华文中宋" w:cs="华文中宋"/>
          <w:b/>
          <w:bCs/>
          <w:color w:val="000000"/>
          <w:kern w:val="0"/>
          <w:sz w:val="52"/>
          <w:szCs w:val="52"/>
          <w:lang w:val="en-US" w:eastAsia="zh-CN" w:bidi="zh-TW"/>
        </w:rPr>
        <w:t>社会福利救助中心</w:t>
      </w:r>
    </w:p>
    <w:p>
      <w:pPr>
        <w:spacing w:line="600" w:lineRule="exact"/>
        <w:jc w:val="center"/>
        <w:rPr>
          <w:rFonts w:hint="eastAsia" w:ascii="华文中宋" w:hAnsi="华文中宋" w:eastAsia="华文中宋" w:cs="华文中宋"/>
          <w:b/>
          <w:bCs/>
          <w:color w:val="000000"/>
          <w:kern w:val="0"/>
          <w:sz w:val="52"/>
          <w:szCs w:val="52"/>
          <w:lang w:val="zh-TW" w:eastAsia="zh-CN" w:bidi="zh-TW"/>
        </w:rPr>
      </w:pPr>
      <w:r>
        <w:rPr>
          <w:rFonts w:hint="default" w:ascii="华文中宋" w:hAnsi="华文中宋" w:eastAsia="华文中宋" w:cs="华文中宋"/>
          <w:b/>
          <w:bCs/>
          <w:color w:val="000000"/>
          <w:kern w:val="0"/>
          <w:sz w:val="52"/>
          <w:szCs w:val="52"/>
          <w:lang w:val="zh-TW" w:eastAsia="zh-CN" w:bidi="zh-TW"/>
        </w:rPr>
        <w:t>202</w:t>
      </w:r>
      <w:r>
        <w:rPr>
          <w:rFonts w:hint="default" w:ascii="华文中宋" w:hAnsi="华文中宋" w:eastAsia="华文中宋" w:cs="华文中宋"/>
          <w:b/>
          <w:bCs/>
          <w:color w:val="000000"/>
          <w:kern w:val="0"/>
          <w:sz w:val="52"/>
          <w:szCs w:val="52"/>
          <w:lang w:val="en-US" w:eastAsia="zh-CN" w:bidi="zh-TW"/>
        </w:rPr>
        <w:t>4</w:t>
      </w:r>
      <w:r>
        <w:rPr>
          <w:rFonts w:hint="eastAsia" w:ascii="华文中宋" w:hAnsi="华文中宋" w:eastAsia="华文中宋" w:cs="华文中宋"/>
          <w:b/>
          <w:bCs/>
          <w:color w:val="000000"/>
          <w:kern w:val="0"/>
          <w:sz w:val="52"/>
          <w:szCs w:val="52"/>
          <w:lang w:val="zh-TW" w:eastAsia="zh-CN" w:bidi="zh-TW"/>
        </w:rPr>
        <w:t>年单位预算</w:t>
      </w:r>
    </w:p>
    <w:p>
      <w:pPr>
        <w:spacing w:line="600" w:lineRule="exact"/>
        <w:jc w:val="left"/>
        <w:rPr>
          <w:rFonts w:hint="eastAsia" w:ascii="华文中宋" w:hAnsi="华文中宋" w:eastAsia="华文中宋" w:cs="华文中宋"/>
          <w:b/>
          <w:bCs/>
          <w:color w:val="000000"/>
          <w:kern w:val="0"/>
          <w:sz w:val="52"/>
          <w:szCs w:val="52"/>
          <w:lang w:val="zh-TW" w:eastAsia="zh-CN" w:bidi="zh-TW"/>
        </w:rPr>
      </w:pPr>
      <w:r>
        <w:rPr>
          <w:rFonts w:hint="eastAsia" w:ascii="华文中宋" w:hAnsi="华文中宋" w:eastAsia="华文中宋" w:cs="华文中宋"/>
          <w:b/>
          <w:bCs/>
          <w:color w:val="000000"/>
          <w:kern w:val="0"/>
          <w:sz w:val="52"/>
          <w:szCs w:val="52"/>
          <w:lang w:val="zh-TW" w:eastAsia="zh-CN" w:bidi="zh-TW"/>
        </w:rPr>
        <w:t xml:space="preserve"> </w:t>
      </w:r>
    </w:p>
    <w:p>
      <w:pPr>
        <w:spacing w:line="600" w:lineRule="exact"/>
        <w:jc w:val="left"/>
        <w:rPr>
          <w:rFonts w:ascii="方正仿宋_GBK" w:hAnsi="Times New Roman" w:eastAsia="方正仿宋_GBK" w:cs="方正仿宋_GBK"/>
          <w:sz w:val="28"/>
          <w:szCs w:val="32"/>
        </w:rPr>
      </w:pPr>
    </w:p>
    <w:p>
      <w:pPr>
        <w:spacing w:line="600" w:lineRule="exact"/>
        <w:jc w:val="left"/>
        <w:rPr>
          <w:rFonts w:ascii="方正仿宋_GBK" w:hAnsi="Times New Roman" w:eastAsia="方正仿宋_GBK" w:cs="方正仿宋_GBK"/>
          <w:sz w:val="28"/>
          <w:szCs w:val="32"/>
        </w:rPr>
      </w:pPr>
    </w:p>
    <w:p>
      <w:pPr>
        <w:spacing w:line="600" w:lineRule="exact"/>
        <w:jc w:val="left"/>
        <w:rPr>
          <w:rFonts w:ascii="方正仿宋_GBK" w:hAnsi="Times New Roman" w:eastAsia="方正仿宋_GBK" w:cs="方正仿宋_GBK"/>
          <w:sz w:val="28"/>
          <w:szCs w:val="32"/>
        </w:rPr>
      </w:pPr>
    </w:p>
    <w:p>
      <w:pPr>
        <w:spacing w:line="600" w:lineRule="exact"/>
        <w:jc w:val="left"/>
        <w:rPr>
          <w:rFonts w:ascii="方正仿宋_GBK" w:hAnsi="Times New Roman" w:eastAsia="方正仿宋_GBK" w:cs="方正仿宋_GBK"/>
          <w:sz w:val="28"/>
          <w:szCs w:val="32"/>
        </w:rPr>
      </w:pPr>
    </w:p>
    <w:p>
      <w:pPr>
        <w:spacing w:line="600" w:lineRule="exact"/>
        <w:jc w:val="left"/>
        <w:rPr>
          <w:rFonts w:hint="eastAsia" w:ascii="方正仿宋_GBK" w:hAnsi="Times New Roman" w:eastAsia="方正仿宋_GBK" w:cs="方正仿宋_GBK"/>
          <w:sz w:val="28"/>
          <w:szCs w:val="32"/>
        </w:rPr>
      </w:pPr>
    </w:p>
    <w:p>
      <w:pPr>
        <w:spacing w:line="600" w:lineRule="exact"/>
        <w:jc w:val="center"/>
        <w:rPr>
          <w:rFonts w:hint="eastAsia" w:ascii="黑体" w:hAnsi="黑体" w:eastAsia="黑体" w:cs="宋体"/>
          <w:bCs/>
          <w:color w:val="000000"/>
          <w:kern w:val="0"/>
          <w:sz w:val="44"/>
          <w:szCs w:val="44"/>
          <w:lang w:val="en-US" w:eastAsia="zh-CN" w:bidi="ar-SA"/>
        </w:rPr>
      </w:pPr>
      <w:r>
        <w:rPr>
          <w:rFonts w:hint="default" w:ascii="黑体" w:hAnsi="黑体" w:eastAsia="黑体" w:cs="宋体"/>
          <w:bCs/>
          <w:color w:val="000000"/>
          <w:kern w:val="0"/>
          <w:sz w:val="44"/>
          <w:szCs w:val="44"/>
          <w:lang w:val="en-US" w:eastAsia="zh-CN" w:bidi="ar-SA"/>
        </w:rPr>
        <w:t>2024</w:t>
      </w:r>
      <w:r>
        <w:rPr>
          <w:rFonts w:hint="eastAsia" w:ascii="黑体" w:hAnsi="黑体" w:eastAsia="黑体" w:cs="宋体"/>
          <w:bCs/>
          <w:color w:val="000000"/>
          <w:kern w:val="0"/>
          <w:sz w:val="44"/>
          <w:szCs w:val="44"/>
          <w:lang w:val="en-US" w:eastAsia="zh-CN" w:bidi="ar-SA"/>
        </w:rPr>
        <w:t>年2月</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pStyle w:val="2"/>
        <w:rPr>
          <w:rFonts w:hint="eastAsia"/>
        </w:rPr>
      </w:pPr>
    </w:p>
    <w:p>
      <w:pPr>
        <w:pStyle w:val="9"/>
        <w:ind w:left="0" w:leftChars="0" w:firstLine="0" w:firstLineChars="0"/>
        <w:rPr>
          <w:rFonts w:hint="eastAsia"/>
        </w:rPr>
      </w:pPr>
    </w:p>
    <w:p>
      <w:pPr>
        <w:pStyle w:val="9"/>
        <w:ind w:left="0" w:leftChars="0" w:firstLine="0" w:firstLineChars="0"/>
        <w:rPr>
          <w:rFonts w:hint="eastAsia"/>
        </w:rPr>
      </w:pPr>
    </w:p>
    <w:p>
      <w:pPr>
        <w:spacing w:line="600" w:lineRule="exact"/>
        <w:jc w:val="center"/>
        <w:rPr>
          <w:rFonts w:hint="eastAsia" w:ascii="方正小标宋_GBK" w:hAnsi="Times New Roman" w:eastAsia="方正小标宋_GBK" w:cs="方正仿宋_GBK"/>
          <w:sz w:val="28"/>
          <w:szCs w:val="32"/>
        </w:rPr>
      </w:pPr>
      <w:r>
        <w:rPr>
          <w:rFonts w:hint="eastAsia" w:ascii="方正小标宋简体" w:hAnsi="方正小标宋简体" w:eastAsia="方正小标宋简体" w:cs="方正小标宋简体"/>
          <w:sz w:val="44"/>
          <w:szCs w:val="44"/>
        </w:rPr>
        <w:t>目  录</w:t>
      </w:r>
    </w:p>
    <w:p>
      <w:pPr>
        <w:spacing w:line="600" w:lineRule="exact"/>
        <w:ind w:firstLine="320" w:firstLineChars="100"/>
        <w:jc w:val="left"/>
        <w:rPr>
          <w:rFonts w:hint="eastAsia" w:ascii="黑体" w:hAnsi="黑体" w:eastAsia="黑体" w:cs="黑体"/>
          <w:sz w:val="32"/>
          <w:szCs w:val="32"/>
        </w:rPr>
      </w:pPr>
      <w:r>
        <w:rPr>
          <w:rFonts w:hint="eastAsia" w:ascii="黑体" w:hAnsi="黑体" w:eastAsia="黑体" w:cs="黑体"/>
          <w:sz w:val="32"/>
          <w:szCs w:val="32"/>
        </w:rPr>
        <w:t>第一部分 单位概况</w:t>
      </w:r>
    </w:p>
    <w:p>
      <w:pPr>
        <w:spacing w:line="60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1.主要职责</w:t>
      </w:r>
    </w:p>
    <w:p>
      <w:pPr>
        <w:spacing w:line="60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2.单位预算构成</w:t>
      </w:r>
    </w:p>
    <w:p>
      <w:pPr>
        <w:spacing w:line="60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3.202</w:t>
      </w:r>
      <w:r>
        <w:rPr>
          <w:rFonts w:hint="eastAsia" w:ascii="仿宋" w:hAnsi="仿宋" w:eastAsia="仿宋" w:cs="仿宋"/>
          <w:sz w:val="32"/>
          <w:szCs w:val="32"/>
          <w:lang w:val="en-US" w:eastAsia="zh-CN"/>
        </w:rPr>
        <w:t>4</w:t>
      </w:r>
      <w:r>
        <w:rPr>
          <w:rFonts w:hint="eastAsia" w:ascii="仿宋" w:hAnsi="仿宋" w:eastAsia="仿宋" w:cs="仿宋"/>
          <w:sz w:val="32"/>
          <w:szCs w:val="32"/>
        </w:rPr>
        <w:t>度主要工作任务</w:t>
      </w:r>
    </w:p>
    <w:p>
      <w:pPr>
        <w:spacing w:line="600" w:lineRule="exact"/>
        <w:ind w:firstLine="320" w:firstLineChars="100"/>
        <w:jc w:val="left"/>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eastAsia" w:ascii="黑体" w:hAnsi="黑体" w:eastAsia="黑体" w:cs="黑体"/>
          <w:sz w:val="32"/>
          <w:szCs w:val="32"/>
        </w:rPr>
        <w:t>单位预算表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年财政拨款收支总表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年一般公共预算支出预算表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年一般公共预算基本支出预算表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年政府性基金预算支出表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5</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预算收支预算总表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6</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收入预算表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7</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支出预算表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8</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年国有资本经营预算支出表</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9</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年项目支出表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10</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年政府采购支出表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11</w:t>
      </w:r>
      <w:r>
        <w:rPr>
          <w:rFonts w:hint="eastAsia" w:ascii="仿宋" w:hAnsi="仿宋" w:eastAsia="仿宋" w:cs="仿宋"/>
          <w:sz w:val="32"/>
          <w:szCs w:val="32"/>
        </w:rPr>
        <w:t>.</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年政府购买服务支出表</w:t>
      </w:r>
    </w:p>
    <w:p>
      <w:pPr>
        <w:spacing w:line="600" w:lineRule="exact"/>
        <w:ind w:firstLine="320" w:firstLineChars="100"/>
        <w:jc w:val="left"/>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eastAsia" w:ascii="黑体" w:hAnsi="黑体" w:eastAsia="黑体" w:cs="黑体"/>
          <w:sz w:val="32"/>
          <w:szCs w:val="32"/>
        </w:rPr>
        <w:t xml:space="preserve">年单位预算情况说明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年财政拨款收支总表的说明</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2</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年一般公共预算支出预算表的说明</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3</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年一般公共预算基本支出预算表的说明</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4</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年政府性基金预算支出表的说明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5</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 xml:space="preserve">预算收支预算总表的说明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6</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 xml:space="preserve">收入预算表的说明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7</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 xml:space="preserve">支出预算表的说明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8</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年国有资本经营预算支出表的说明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9</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年项目支出表的说明</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10</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年政府采购支出表的说明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11</w:t>
      </w:r>
      <w:r>
        <w:rPr>
          <w:rFonts w:hint="eastAsia" w:ascii="仿宋" w:hAnsi="仿宋" w:eastAsia="仿宋" w:cs="仿宋"/>
          <w:sz w:val="32"/>
          <w:szCs w:val="32"/>
        </w:rPr>
        <w:t xml:space="preserve">.关于 </w:t>
      </w:r>
      <w:r>
        <w:rPr>
          <w:rFonts w:hint="default" w:ascii="仿宋" w:hAnsi="仿宋" w:eastAsia="仿宋" w:cs="仿宋"/>
          <w:sz w:val="32"/>
          <w:szCs w:val="32"/>
        </w:rPr>
        <w:t>202</w:t>
      </w:r>
      <w:r>
        <w:rPr>
          <w:rFonts w:hint="default" w:ascii="仿宋" w:hAnsi="仿宋" w:eastAsia="仿宋" w:cs="仿宋"/>
          <w:sz w:val="32"/>
          <w:szCs w:val="32"/>
          <w:lang w:val="en-US" w:eastAsia="zh-CN"/>
        </w:rPr>
        <w:t>4</w:t>
      </w:r>
      <w:r>
        <w:rPr>
          <w:rFonts w:hint="eastAsia" w:ascii="仿宋" w:hAnsi="仿宋" w:eastAsia="仿宋" w:cs="仿宋"/>
          <w:sz w:val="32"/>
          <w:szCs w:val="32"/>
        </w:rPr>
        <w:t xml:space="preserve">年政府购买服务支出表的说明 </w:t>
      </w:r>
    </w:p>
    <w:p>
      <w:pPr>
        <w:spacing w:line="600" w:lineRule="exact"/>
        <w:ind w:firstLine="320" w:firstLineChars="100"/>
        <w:jc w:val="left"/>
        <w:rPr>
          <w:rFonts w:hint="eastAsia" w:ascii="仿宋" w:hAnsi="仿宋" w:eastAsia="仿宋" w:cs="仿宋"/>
          <w:sz w:val="32"/>
          <w:szCs w:val="32"/>
        </w:rPr>
      </w:pPr>
      <w:r>
        <w:rPr>
          <w:rFonts w:hint="default" w:ascii="仿宋" w:hAnsi="仿宋" w:eastAsia="仿宋" w:cs="仿宋"/>
          <w:sz w:val="32"/>
          <w:szCs w:val="32"/>
        </w:rPr>
        <w:t>12</w:t>
      </w:r>
      <w:r>
        <w:rPr>
          <w:rFonts w:hint="eastAsia" w:ascii="仿宋" w:hAnsi="仿宋" w:eastAsia="仿宋" w:cs="仿宋"/>
          <w:sz w:val="32"/>
          <w:szCs w:val="32"/>
        </w:rPr>
        <w:t>.其他重要事项情况说明</w:t>
      </w:r>
    </w:p>
    <w:p>
      <w:pPr>
        <w:spacing w:line="600" w:lineRule="exact"/>
        <w:ind w:firstLine="320" w:firstLineChars="100"/>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center"/>
        <w:rPr>
          <w:rFonts w:hint="eastAsia" w:ascii="方正仿宋_GBK" w:hAnsi="Times New Roman" w:eastAsia="方正仿宋_GBK" w:cs="方正仿宋_GBK"/>
          <w:sz w:val="32"/>
          <w:szCs w:val="32"/>
        </w:rPr>
      </w:pPr>
    </w:p>
    <w:p>
      <w:pPr>
        <w:spacing w:line="600" w:lineRule="exact"/>
        <w:jc w:val="both"/>
        <w:rPr>
          <w:rFonts w:hint="eastAsia" w:ascii="方正仿宋_GBK" w:hAnsi="Times New Roman" w:eastAsia="方正仿宋_GBK" w:cs="方正仿宋_GBK"/>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pStyle w:val="2"/>
        <w:rPr>
          <w:rFonts w:hint="eastAsia"/>
        </w:rPr>
      </w:pPr>
    </w:p>
    <w:p>
      <w:pPr>
        <w:spacing w:line="600" w:lineRule="exact"/>
        <w:jc w:val="center"/>
        <w:rPr>
          <w:rFonts w:hint="eastAsia" w:ascii="黑体" w:hAnsi="黑体" w:eastAsia="黑体" w:cs="黑体"/>
          <w:sz w:val="32"/>
          <w:szCs w:val="32"/>
        </w:rPr>
      </w:pPr>
    </w:p>
    <w:p>
      <w:pPr>
        <w:spacing w:line="600" w:lineRule="exact"/>
        <w:jc w:val="center"/>
        <w:rPr>
          <w:rFonts w:hint="eastAsia" w:ascii="方正小标宋_GBK" w:hAnsi="Times New Roman" w:eastAsia="方正小标宋_GBK" w:cs="方正仿宋_GBK"/>
          <w:sz w:val="32"/>
          <w:szCs w:val="32"/>
        </w:rPr>
      </w:pPr>
      <w:r>
        <w:rPr>
          <w:rFonts w:hint="eastAsia" w:ascii="黑体" w:hAnsi="黑体" w:eastAsia="黑体" w:cs="黑体"/>
          <w:sz w:val="32"/>
          <w:szCs w:val="32"/>
        </w:rPr>
        <w:t>第一部分 单位概况</w:t>
      </w:r>
    </w:p>
    <w:p>
      <w:pPr>
        <w:spacing w:line="600" w:lineRule="exact"/>
        <w:ind w:firstLine="640" w:firstLineChars="200"/>
        <w:jc w:val="left"/>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一、主要职责</w:t>
      </w:r>
    </w:p>
    <w:p>
      <w:pPr>
        <w:spacing w:line="600" w:lineRule="exact"/>
        <w:ind w:firstLine="640" w:firstLineChars="200"/>
        <w:jc w:val="left"/>
        <w:rPr>
          <w:rFonts w:hint="eastAsia" w:ascii="仿宋" w:hAnsi="仿宋" w:eastAsia="仿宋" w:cs="仿宋"/>
          <w:sz w:val="32"/>
          <w:szCs w:val="32"/>
          <w:lang w:val="en-US" w:eastAsia="zh-CN"/>
        </w:rPr>
      </w:pPr>
      <w:bookmarkStart w:id="0" w:name="bookmark63"/>
      <w:r>
        <w:rPr>
          <w:rFonts w:hint="eastAsia" w:ascii="仿宋" w:hAnsi="仿宋" w:eastAsia="仿宋" w:cs="仿宋"/>
          <w:sz w:val="32"/>
          <w:szCs w:val="32"/>
          <w:lang w:val="en-US" w:eastAsia="zh-CN"/>
        </w:rPr>
        <w:t>宿州市埇桥区社会福利救助中心是隶属于埇桥区民政局的具有独立法人资格的二级机构，于2019年7月由埇桥区儿童福利院和埇桥区社会福利院整合设立。主要职责如下：</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（一）贯彻执行民政工作法律、法规和方针、政策；</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（二）负责全区孤儿及事实无人抚养儿童（未成年人）的供养、保护和救助，保障其生存、教育、康复和发展权益。</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（三）负责全区的城市特困人员养护、医疗、康复等救助。</w:t>
      </w:r>
    </w:p>
    <w:p>
      <w:pPr>
        <w:spacing w:line="600" w:lineRule="exact"/>
        <w:ind w:firstLine="640" w:firstLineChars="200"/>
        <w:jc w:val="left"/>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（四）负责全区的流浪乞讨人员的基本生活、医疗救助、返乡安置等救助服务。</w:t>
      </w:r>
      <w:bookmarkEnd w:id="0"/>
    </w:p>
    <w:p>
      <w:pPr>
        <w:spacing w:line="600" w:lineRule="exact"/>
        <w:ind w:firstLine="640" w:firstLineChars="200"/>
        <w:jc w:val="left"/>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二、单位预算构成</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单位预算构成：从预算单位构成看，埇桥区社会福利救助中心 2023年度单位预算仅包括单位本级预算，无其他下属单位预算。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三、</w:t>
      </w:r>
      <w:r>
        <w:rPr>
          <w:rFonts w:hint="default" w:ascii="Times New Roman" w:hAnsi="Times New Roman" w:eastAsia="方正小标宋_GBK" w:cs="Times New Roman"/>
          <w:sz w:val="32"/>
          <w:szCs w:val="32"/>
        </w:rPr>
        <w:t>202</w:t>
      </w:r>
      <w:r>
        <w:rPr>
          <w:rFonts w:hint="default" w:ascii="Times New Roman" w:hAnsi="Times New Roman" w:eastAsia="方正小标宋_GBK" w:cs="Times New Roman"/>
          <w:sz w:val="32"/>
          <w:szCs w:val="32"/>
          <w:lang w:val="en-US" w:eastAsia="zh-CN"/>
        </w:rPr>
        <w:t>4</w:t>
      </w:r>
      <w:r>
        <w:rPr>
          <w:rFonts w:hint="eastAsia" w:ascii="方正小标宋_GBK" w:hAnsi="Times New Roman" w:eastAsia="方正小标宋_GBK" w:cs="方正仿宋_GBK"/>
          <w:sz w:val="32"/>
          <w:szCs w:val="32"/>
        </w:rPr>
        <w:t xml:space="preserve">年度主要工作任务 </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（一）保障行政运行经费，保障在职工作人员各项工资福利支出，维持福利救助中心正常顺利运转。</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（二）救助孤儿及事实无人抚养儿童，保障其生存、教育、康复和发展权益。</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根据上级文件部署，应按时保质保量完成城市特困人员救助供养工作，建立特困人员救助供养制度，为特困人员提供基本生活保障，使特困人员得到较好的照料护理，生活质量得到提升，切实兜住兜牢兜好基本民生保障底线，切实维护他们的基本生活权益。</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（四）符合重残条件的均应纳入重度残疾人护理补贴受益对象申报范围，及时发放重残人员护理补贴。</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考特困人员基本生活标准、照料护理标准，综合考虑特殊人群的床位费、康复费等各类成本，医疗救治费用由救助管理机构据实结算。同时，区应根据实际需要，安排必要的资金确保救助管理机构正常运转。及时有效救助，应救尽救，切实解决流浪乞讨人员的基本生活、医疗救助、返乡安置等救助服务。</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为维护社会福利救助中心正常运转，进一步完善儿童福利、社会福利、流浪乞讨等救助人员的救助及宣传工作，以政府购买服务形式配备相应护理人员，及时足额发放政府购买服务人员工资，缴纳各项保险，从而提高救助对象护理质量，提高社会满意度，推动埇桥区社会福利事业高质量发展。</w:t>
      </w:r>
    </w:p>
    <w:p>
      <w:pPr>
        <w:spacing w:line="600" w:lineRule="exact"/>
        <w:ind w:firstLine="640" w:firstLineChars="200"/>
        <w:jc w:val="left"/>
        <w:rPr>
          <w:rFonts w:hint="eastAsia" w:ascii="仿宋_GB2312" w:hAnsi="仿宋_GB2312" w:eastAsia="仿宋_GB2312" w:cs="仿宋_GB2312"/>
          <w:sz w:val="32"/>
          <w:szCs w:val="32"/>
          <w:lang w:val="en-US" w:eastAsia="zh-CN"/>
        </w:rPr>
      </w:pPr>
    </w:p>
    <w:p>
      <w:pPr>
        <w:spacing w:line="600" w:lineRule="exact"/>
        <w:ind w:firstLine="640" w:firstLineChars="200"/>
        <w:jc w:val="left"/>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spacing w:line="600" w:lineRule="exact"/>
        <w:jc w:val="center"/>
        <w:rPr>
          <w:rFonts w:hint="eastAsia" w:ascii="方正仿宋_GBK" w:hAnsi="宋体" w:eastAsia="方正仿宋_GBK" w:cs="Arial"/>
          <w:color w:val="000000"/>
          <w:kern w:val="0"/>
          <w:sz w:val="20"/>
          <w:szCs w:val="18"/>
          <w:lang w:eastAsia="zh-CN"/>
        </w:rPr>
      </w:pPr>
      <w:r>
        <w:rPr>
          <w:rFonts w:hint="eastAsia" w:ascii="黑体" w:hAnsi="黑体" w:eastAsia="黑体" w:cs="黑体"/>
          <w:sz w:val="32"/>
          <w:szCs w:val="32"/>
        </w:rPr>
        <w:t xml:space="preserve">第二部分 </w:t>
      </w: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eastAsia" w:ascii="黑体" w:hAnsi="黑体" w:eastAsia="黑体" w:cs="黑体"/>
          <w:sz w:val="32"/>
          <w:szCs w:val="32"/>
        </w:rPr>
        <w:t>年单位预算表</w:t>
      </w:r>
    </w:p>
    <w:p>
      <w:pPr>
        <w:widowControl/>
        <w:jc w:val="left"/>
        <w:rPr>
          <w:rFonts w:hint="eastAsia" w:ascii="方正仿宋_GBK" w:hAnsi="宋体" w:eastAsia="方正仿宋_GBK" w:cs="Arial"/>
          <w:color w:val="000000"/>
          <w:kern w:val="0"/>
          <w:sz w:val="20"/>
          <w:szCs w:val="18"/>
          <w:lang w:eastAsia="zh-CN"/>
        </w:rPr>
      </w:pPr>
    </w:p>
    <w:p>
      <w:pPr>
        <w:widowControl/>
        <w:jc w:val="left"/>
        <w:rPr>
          <w:rFonts w:hint="eastAsia" w:ascii="宋体" w:hAnsi="宋体" w:eastAsia="宋体" w:cs="宋体"/>
          <w:color w:val="000000"/>
          <w:kern w:val="0"/>
          <w:sz w:val="22"/>
          <w:szCs w:val="21"/>
          <w:lang w:val="en-US" w:eastAsia="zh-CN"/>
        </w:rPr>
      </w:pPr>
      <w:r>
        <w:rPr>
          <w:rFonts w:hint="eastAsia" w:ascii="宋体" w:hAnsi="宋体" w:eastAsia="宋体" w:cs="宋体"/>
          <w:color w:val="000000"/>
          <w:kern w:val="0"/>
          <w:sz w:val="22"/>
          <w:szCs w:val="21"/>
          <w:lang w:eastAsia="zh-CN"/>
        </w:rPr>
        <w:t>表</w:t>
      </w:r>
      <w:r>
        <w:rPr>
          <w:rFonts w:hint="eastAsia" w:ascii="宋体" w:hAnsi="宋体" w:eastAsia="宋体" w:cs="宋体"/>
          <w:color w:val="000000"/>
          <w:kern w:val="0"/>
          <w:sz w:val="22"/>
          <w:szCs w:val="21"/>
          <w:lang w:val="en-US" w:eastAsia="zh-CN"/>
        </w:rPr>
        <w:t>1</w:t>
      </w:r>
    </w:p>
    <w:tbl>
      <w:tblPr>
        <w:tblStyle w:val="6"/>
        <w:tblW w:w="10101" w:type="dxa"/>
        <w:tblInd w:w="-143" w:type="dxa"/>
        <w:tblLayout w:type="fixed"/>
        <w:tblCellMar>
          <w:top w:w="0" w:type="dxa"/>
          <w:left w:w="108" w:type="dxa"/>
          <w:bottom w:w="0" w:type="dxa"/>
          <w:right w:w="108" w:type="dxa"/>
        </w:tblCellMar>
      </w:tblPr>
      <w:tblGrid>
        <w:gridCol w:w="1959"/>
        <w:gridCol w:w="1127"/>
        <w:gridCol w:w="2350"/>
        <w:gridCol w:w="900"/>
        <w:gridCol w:w="377"/>
        <w:gridCol w:w="731"/>
        <w:gridCol w:w="285"/>
        <w:gridCol w:w="846"/>
        <w:gridCol w:w="1526"/>
      </w:tblGrid>
      <w:tr>
        <w:tblPrEx>
          <w:tblCellMar>
            <w:top w:w="0" w:type="dxa"/>
            <w:left w:w="108" w:type="dxa"/>
            <w:bottom w:w="0" w:type="dxa"/>
            <w:right w:w="108" w:type="dxa"/>
          </w:tblCellMar>
        </w:tblPrEx>
        <w:trPr>
          <w:trHeight w:val="525" w:hRule="atLeast"/>
        </w:trPr>
        <w:tc>
          <w:tcPr>
            <w:tcW w:w="10101" w:type="dxa"/>
            <w:gridSpan w:val="9"/>
            <w:tcBorders>
              <w:top w:val="nil"/>
              <w:left w:val="nil"/>
              <w:bottom w:val="nil"/>
              <w:right w:val="nil"/>
            </w:tcBorders>
            <w:noWrap/>
            <w:vAlign w:val="center"/>
          </w:tcPr>
          <w:p>
            <w:pPr>
              <w:widowControl/>
              <w:jc w:val="center"/>
              <w:rPr>
                <w:rFonts w:ascii="方正仿宋_GBK" w:hAnsi="华文中宋" w:eastAsia="方正仿宋_GBK" w:cs="Arial"/>
                <w:b/>
                <w:bCs/>
                <w:color w:val="000000"/>
                <w:kern w:val="0"/>
                <w:sz w:val="36"/>
                <w:szCs w:val="36"/>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w:t>
            </w:r>
            <w:r>
              <w:rPr>
                <w:rFonts w:hint="eastAsia" w:ascii="宋体" w:hAnsi="宋体" w:eastAsia="宋体" w:cs="宋体"/>
                <w:b/>
                <w:bCs/>
                <w:color w:val="000000"/>
                <w:kern w:val="0"/>
                <w:sz w:val="36"/>
                <w:szCs w:val="36"/>
              </w:rPr>
              <w:t>年财政拨款收支总表</w:t>
            </w:r>
          </w:p>
        </w:tc>
      </w:tr>
      <w:tr>
        <w:tblPrEx>
          <w:tblCellMar>
            <w:top w:w="0" w:type="dxa"/>
            <w:left w:w="108" w:type="dxa"/>
            <w:bottom w:w="0" w:type="dxa"/>
            <w:right w:w="108" w:type="dxa"/>
          </w:tblCellMar>
        </w:tblPrEx>
        <w:trPr>
          <w:trHeight w:val="375" w:hRule="atLeast"/>
        </w:trPr>
        <w:tc>
          <w:tcPr>
            <w:tcW w:w="6713" w:type="dxa"/>
            <w:gridSpan w:val="5"/>
            <w:tcBorders>
              <w:top w:val="nil"/>
              <w:left w:val="nil"/>
              <w:bottom w:val="nil"/>
              <w:right w:val="nil"/>
            </w:tcBorders>
            <w:noWrap/>
            <w:vAlign w:val="center"/>
          </w:tcPr>
          <w:p>
            <w:pPr>
              <w:widowControl/>
              <w:jc w:val="left"/>
              <w:rPr>
                <w:rFonts w:hint="eastAsia" w:ascii="宋体" w:hAnsi="宋体" w:eastAsia="宋体" w:cs="宋体"/>
                <w:color w:val="000000"/>
                <w:kern w:val="0"/>
                <w:sz w:val="20"/>
                <w:szCs w:val="18"/>
              </w:rPr>
            </w:pPr>
            <w:r>
              <w:rPr>
                <w:rFonts w:hint="eastAsia" w:ascii="宋体" w:hAnsi="宋体" w:eastAsia="宋体" w:cs="宋体"/>
                <w:color w:val="000000"/>
                <w:kern w:val="0"/>
                <w:sz w:val="20"/>
                <w:szCs w:val="18"/>
              </w:rPr>
              <w:t>单位名称</w:t>
            </w:r>
            <w:r>
              <w:rPr>
                <w:rFonts w:hint="eastAsia" w:ascii="宋体" w:hAnsi="宋体" w:eastAsia="宋体" w:cs="宋体"/>
                <w:color w:val="000000"/>
                <w:kern w:val="0"/>
                <w:sz w:val="20"/>
                <w:szCs w:val="18"/>
                <w:lang w:eastAsia="zh-CN"/>
              </w:rPr>
              <w:t>：</w:t>
            </w:r>
            <w:r>
              <w:rPr>
                <w:rFonts w:hint="eastAsia" w:ascii="宋体" w:hAnsi="宋体" w:eastAsia="宋体" w:cs="宋体"/>
                <w:color w:val="000000"/>
                <w:kern w:val="0"/>
                <w:sz w:val="20"/>
                <w:szCs w:val="18"/>
                <w:lang w:val="en-US" w:eastAsia="zh-CN"/>
              </w:rPr>
              <w:t>066005-宿州市埇桥区社会福利救助中心</w:t>
            </w:r>
          </w:p>
        </w:tc>
        <w:tc>
          <w:tcPr>
            <w:tcW w:w="1016" w:type="dxa"/>
            <w:gridSpan w:val="2"/>
            <w:tcBorders>
              <w:top w:val="nil"/>
              <w:left w:val="nil"/>
              <w:bottom w:val="nil"/>
              <w:right w:val="nil"/>
            </w:tcBorders>
            <w:noWrap/>
            <w:vAlign w:val="center"/>
          </w:tcPr>
          <w:p>
            <w:pPr>
              <w:widowControl/>
              <w:jc w:val="left"/>
              <w:rPr>
                <w:rFonts w:hint="eastAsia" w:ascii="宋体" w:hAnsi="宋体" w:eastAsia="宋体" w:cs="宋体"/>
                <w:color w:val="000000"/>
                <w:kern w:val="0"/>
                <w:sz w:val="20"/>
                <w:szCs w:val="18"/>
              </w:rPr>
            </w:pPr>
          </w:p>
        </w:tc>
        <w:tc>
          <w:tcPr>
            <w:tcW w:w="2372" w:type="dxa"/>
            <w:gridSpan w:val="2"/>
            <w:tcBorders>
              <w:top w:val="nil"/>
              <w:left w:val="nil"/>
              <w:bottom w:val="nil"/>
              <w:right w:val="nil"/>
            </w:tcBorders>
            <w:noWrap/>
            <w:vAlign w:val="center"/>
          </w:tcPr>
          <w:p>
            <w:pPr>
              <w:widowControl/>
              <w:ind w:firstLine="1000" w:firstLineChars="500"/>
              <w:jc w:val="left"/>
              <w:rPr>
                <w:rFonts w:hint="eastAsia" w:ascii="宋体" w:hAnsi="宋体" w:eastAsia="宋体" w:cs="宋体"/>
                <w:color w:val="000000"/>
                <w:kern w:val="0"/>
                <w:sz w:val="20"/>
                <w:szCs w:val="18"/>
              </w:rPr>
            </w:pPr>
            <w:r>
              <w:rPr>
                <w:rFonts w:hint="eastAsia" w:ascii="宋体" w:hAnsi="宋体" w:eastAsia="宋体" w:cs="宋体"/>
                <w:color w:val="000000"/>
                <w:kern w:val="0"/>
                <w:sz w:val="20"/>
                <w:szCs w:val="18"/>
              </w:rPr>
              <w:t>单位：万元</w:t>
            </w:r>
          </w:p>
        </w:tc>
      </w:tr>
      <w:tr>
        <w:tblPrEx>
          <w:tblCellMar>
            <w:top w:w="0" w:type="dxa"/>
            <w:left w:w="108" w:type="dxa"/>
            <w:bottom w:w="0" w:type="dxa"/>
            <w:right w:w="108" w:type="dxa"/>
          </w:tblCellMar>
        </w:tblPrEx>
        <w:trPr>
          <w:trHeight w:val="360" w:hRule="atLeast"/>
        </w:trPr>
        <w:tc>
          <w:tcPr>
            <w:tcW w:w="30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收   入             </w:t>
            </w:r>
          </w:p>
        </w:tc>
        <w:tc>
          <w:tcPr>
            <w:tcW w:w="7015" w:type="dxa"/>
            <w:gridSpan w:val="7"/>
            <w:tcBorders>
              <w:top w:val="single" w:color="000000" w:sz="4" w:space="0"/>
              <w:left w:val="nil"/>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127" w:type="dxa"/>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2350" w:type="dxa"/>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900" w:type="dxa"/>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108" w:type="dxa"/>
            <w:gridSpan w:val="2"/>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一般公共预算财政拨款</w:t>
            </w:r>
          </w:p>
        </w:tc>
        <w:tc>
          <w:tcPr>
            <w:tcW w:w="1131" w:type="dxa"/>
            <w:gridSpan w:val="2"/>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政府性基金预算财政拨款</w:t>
            </w:r>
          </w:p>
        </w:tc>
        <w:tc>
          <w:tcPr>
            <w:tcW w:w="1526"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国有资本经营预算拨款</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一、上年结转</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一、本年支出</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877.51</w:t>
            </w:r>
          </w:p>
        </w:tc>
        <w:tc>
          <w:tcPr>
            <w:tcW w:w="1108"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877.51</w:t>
            </w:r>
          </w:p>
        </w:tc>
        <w:tc>
          <w:tcPr>
            <w:tcW w:w="1131" w:type="dxa"/>
            <w:gridSpan w:val="2"/>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18"/>
                <w:szCs w:val="18"/>
              </w:rPr>
            </w:pP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7" w:hRule="atLeast"/>
        </w:trPr>
        <w:tc>
          <w:tcPr>
            <w:tcW w:w="1959" w:type="dxa"/>
            <w:tcBorders>
              <w:top w:val="nil"/>
              <w:left w:val="single" w:color="000000" w:sz="4" w:space="0"/>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（一）一般公共预算拨款</w:t>
            </w:r>
          </w:p>
        </w:tc>
        <w:tc>
          <w:tcPr>
            <w:tcW w:w="1127" w:type="dxa"/>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（一）一般公共服务支出</w:t>
            </w:r>
          </w:p>
        </w:tc>
        <w:tc>
          <w:tcPr>
            <w:tcW w:w="900" w:type="dxa"/>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（二）政府性基金预算拨款</w:t>
            </w:r>
          </w:p>
        </w:tc>
        <w:tc>
          <w:tcPr>
            <w:tcW w:w="1127" w:type="dxa"/>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900" w:type="dxa"/>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二、本年收入</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（一）一般公共预算拨款</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经常收入拨款</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861.01</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7"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国库管理非税收入</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16.50</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一般公共预算清算收入</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（七）文化旅游体育与传媒支出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4"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一般公共预算基数供给</w:t>
            </w:r>
          </w:p>
        </w:tc>
        <w:tc>
          <w:tcPr>
            <w:tcW w:w="1127"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（八）社会保障和就业支出</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845.31</w:t>
            </w:r>
          </w:p>
        </w:tc>
        <w:tc>
          <w:tcPr>
            <w:tcW w:w="1108"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845.31</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84"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（二）政府性基金预算拨款</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（九）社会保险基金支出</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p>
        </w:tc>
        <w:tc>
          <w:tcPr>
            <w:tcW w:w="1108"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（十）卫生健康支出</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10.57</w:t>
            </w:r>
          </w:p>
        </w:tc>
        <w:tc>
          <w:tcPr>
            <w:tcW w:w="1108"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10.57</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（十一）节能环保支出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（十二）城乡社区支出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（十三）农林水支出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（十四）交通运输支出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（十五）资源勘探信息等支出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（十六）商业服务业等支出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（十七）金融支出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（十八）援助其他地区支出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（十九）自然资源海洋气象等支出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（二十）住房保障支出</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21.62</w:t>
            </w:r>
          </w:p>
        </w:tc>
        <w:tc>
          <w:tcPr>
            <w:tcW w:w="1108"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21.62</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（二十一）粮油物资储备支出</w:t>
            </w:r>
          </w:p>
        </w:tc>
        <w:tc>
          <w:tcPr>
            <w:tcW w:w="900" w:type="dxa"/>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auto"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auto"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（二十二）国有资本经营收入安排支出</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（二十三）灾害防治及应急管理</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308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 xml:space="preserve">收   入             </w:t>
            </w:r>
          </w:p>
        </w:tc>
        <w:tc>
          <w:tcPr>
            <w:tcW w:w="7015"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项目</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预算数</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项目</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合计</w:t>
            </w: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一般公共预算财政拨款</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政府性基金预算财政拨款</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国有资本经营预算拨款</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（二十四）预备费</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（二十五）其他支出</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（二十六）转移性支出</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single" w:color="auto"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single" w:color="auto" w:sz="4" w:space="0"/>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（二十七）债务还本支出</w:t>
            </w:r>
          </w:p>
        </w:tc>
        <w:tc>
          <w:tcPr>
            <w:tcW w:w="900" w:type="dxa"/>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single" w:color="auto" w:sz="4" w:space="0"/>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（二十八）债务付息支出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（二十九）债务发行费用支出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（三十）抗</w:t>
            </w:r>
            <w:r>
              <w:rPr>
                <w:rFonts w:hint="eastAsia" w:ascii="宋体" w:hAnsi="宋体" w:eastAsia="宋体" w:cs="宋体"/>
                <w:color w:val="000000"/>
                <w:kern w:val="0"/>
                <w:sz w:val="18"/>
                <w:szCs w:val="18"/>
                <w:lang w:val="en-US" w:eastAsia="zh-CN"/>
              </w:rPr>
              <w:t>疫</w:t>
            </w:r>
            <w:r>
              <w:rPr>
                <w:rFonts w:hint="eastAsia" w:ascii="宋体" w:hAnsi="宋体" w:eastAsia="宋体" w:cs="宋体"/>
                <w:color w:val="000000"/>
                <w:kern w:val="0"/>
                <w:sz w:val="18"/>
                <w:szCs w:val="18"/>
              </w:rPr>
              <w:t>特别国债安排的支出</w:t>
            </w:r>
          </w:p>
        </w:tc>
        <w:tc>
          <w:tcPr>
            <w:tcW w:w="900"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p>
        </w:tc>
        <w:tc>
          <w:tcPr>
            <w:tcW w:w="1108"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08"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08"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0" w:type="dxa"/>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08"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0"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结转下年</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08"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16"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7" w:type="dxa"/>
            <w:tcBorders>
              <w:top w:val="nil"/>
              <w:left w:val="nil"/>
              <w:bottom w:val="single" w:color="000000" w:sz="4" w:space="0"/>
              <w:right w:val="single" w:color="000000" w:sz="4" w:space="0"/>
            </w:tcBorders>
            <w:noWrap/>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5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08" w:type="dxa"/>
            <w:gridSpan w:val="2"/>
            <w:tcBorders>
              <w:top w:val="nil"/>
              <w:left w:val="nil"/>
              <w:bottom w:val="single" w:color="000000" w:sz="4" w:space="0"/>
              <w:right w:val="single" w:color="000000" w:sz="4" w:space="0"/>
            </w:tcBorders>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1" w:type="dxa"/>
            <w:gridSpan w:val="2"/>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3" w:hRule="atLeast"/>
        </w:trPr>
        <w:tc>
          <w:tcPr>
            <w:tcW w:w="1959"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收入总计</w:t>
            </w:r>
          </w:p>
        </w:tc>
        <w:tc>
          <w:tcPr>
            <w:tcW w:w="11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kern w:val="0"/>
                <w:sz w:val="18"/>
                <w:szCs w:val="18"/>
                <w:lang w:val="en-US" w:eastAsia="zh-CN"/>
              </w:rPr>
              <w:t>877.51</w:t>
            </w:r>
          </w:p>
        </w:tc>
        <w:tc>
          <w:tcPr>
            <w:tcW w:w="2350" w:type="dxa"/>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支出总计</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877.51</w:t>
            </w:r>
          </w:p>
        </w:tc>
        <w:tc>
          <w:tcPr>
            <w:tcW w:w="1108"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877.51</w:t>
            </w:r>
          </w:p>
        </w:tc>
        <w:tc>
          <w:tcPr>
            <w:tcW w:w="1131" w:type="dxa"/>
            <w:gridSpan w:val="2"/>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宋体"/>
                <w:color w:val="000000"/>
                <w:kern w:val="0"/>
                <w:sz w:val="18"/>
                <w:szCs w:val="18"/>
              </w:rPr>
            </w:pPr>
          </w:p>
        </w:tc>
        <w:tc>
          <w:tcPr>
            <w:tcW w:w="1526"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436" w:type="dxa"/>
            <w:gridSpan w:val="3"/>
            <w:tcBorders>
              <w:top w:val="nil"/>
              <w:left w:val="nil"/>
              <w:bottom w:val="nil"/>
              <w:right w:val="nil"/>
            </w:tcBorders>
            <w:noWrap/>
            <w:vAlign w:val="bottom"/>
          </w:tcPr>
          <w:p>
            <w:pPr>
              <w:widowControl/>
              <w:jc w:val="left"/>
              <w:rPr>
                <w:rFonts w:hint="eastAsia" w:ascii="仿宋_GB2312" w:hAnsi="仿宋_GB2312" w:eastAsia="仿宋_GB2312" w:cs="仿宋_GB2312"/>
                <w:color w:val="000000"/>
                <w:kern w:val="0"/>
                <w:sz w:val="20"/>
                <w:szCs w:val="18"/>
              </w:rPr>
            </w:pPr>
            <w:r>
              <w:rPr>
                <w:rFonts w:hint="eastAsia" w:ascii="宋体" w:hAnsi="宋体" w:eastAsia="宋体" w:cs="宋体"/>
                <w:color w:val="000000"/>
                <w:kern w:val="0"/>
                <w:sz w:val="20"/>
                <w:szCs w:val="20"/>
              </w:rPr>
              <w:t>注：本表反映部门财政拨款收入、支出预算情况。</w:t>
            </w:r>
          </w:p>
        </w:tc>
        <w:tc>
          <w:tcPr>
            <w:tcW w:w="900" w:type="dxa"/>
            <w:tcBorders>
              <w:top w:val="nil"/>
              <w:left w:val="nil"/>
              <w:bottom w:val="nil"/>
              <w:right w:val="nil"/>
            </w:tcBorders>
            <w:noWrap/>
            <w:vAlign w:val="bottom"/>
          </w:tcPr>
          <w:p>
            <w:pPr>
              <w:widowControl/>
              <w:jc w:val="left"/>
              <w:rPr>
                <w:rFonts w:hint="eastAsia" w:ascii="仿宋_GB2312" w:hAnsi="仿宋_GB2312" w:eastAsia="仿宋_GB2312" w:cs="仿宋_GB2312"/>
                <w:color w:val="000000"/>
                <w:kern w:val="0"/>
                <w:sz w:val="20"/>
                <w:szCs w:val="18"/>
              </w:rPr>
            </w:pPr>
          </w:p>
        </w:tc>
        <w:tc>
          <w:tcPr>
            <w:tcW w:w="1108" w:type="dxa"/>
            <w:gridSpan w:val="2"/>
            <w:tcBorders>
              <w:top w:val="nil"/>
              <w:left w:val="nil"/>
              <w:bottom w:val="nil"/>
              <w:right w:val="nil"/>
            </w:tcBorders>
            <w:noWrap/>
            <w:vAlign w:val="bottom"/>
          </w:tcPr>
          <w:p>
            <w:pPr>
              <w:widowControl/>
              <w:jc w:val="left"/>
              <w:rPr>
                <w:rFonts w:hint="eastAsia" w:ascii="仿宋_GB2312" w:hAnsi="仿宋_GB2312" w:eastAsia="仿宋_GB2312" w:cs="仿宋_GB2312"/>
                <w:color w:val="000000"/>
                <w:kern w:val="0"/>
                <w:sz w:val="20"/>
                <w:szCs w:val="18"/>
              </w:rPr>
            </w:pPr>
          </w:p>
        </w:tc>
        <w:tc>
          <w:tcPr>
            <w:tcW w:w="1131" w:type="dxa"/>
            <w:gridSpan w:val="2"/>
            <w:tcBorders>
              <w:top w:val="nil"/>
              <w:left w:val="nil"/>
              <w:bottom w:val="nil"/>
              <w:right w:val="nil"/>
            </w:tcBorders>
            <w:noWrap/>
            <w:vAlign w:val="bottom"/>
          </w:tcPr>
          <w:p>
            <w:pPr>
              <w:widowControl/>
              <w:jc w:val="left"/>
              <w:rPr>
                <w:rFonts w:hint="eastAsia" w:ascii="仿宋_GB2312" w:hAnsi="仿宋_GB2312" w:eastAsia="仿宋_GB2312" w:cs="仿宋_GB2312"/>
                <w:color w:val="000000"/>
                <w:kern w:val="0"/>
                <w:sz w:val="20"/>
                <w:szCs w:val="18"/>
              </w:rPr>
            </w:pPr>
          </w:p>
        </w:tc>
        <w:tc>
          <w:tcPr>
            <w:tcW w:w="1526" w:type="dxa"/>
            <w:tcBorders>
              <w:top w:val="nil"/>
              <w:left w:val="nil"/>
              <w:bottom w:val="nil"/>
              <w:right w:val="nil"/>
            </w:tcBorders>
            <w:noWrap/>
            <w:vAlign w:val="bottom"/>
          </w:tcPr>
          <w:p>
            <w:pPr>
              <w:widowControl/>
              <w:jc w:val="left"/>
              <w:rPr>
                <w:rFonts w:hint="eastAsia" w:ascii="仿宋_GB2312" w:hAnsi="仿宋_GB2312" w:eastAsia="仿宋_GB2312" w:cs="仿宋_GB2312"/>
                <w:color w:val="000000"/>
                <w:kern w:val="0"/>
                <w:sz w:val="20"/>
                <w:szCs w:val="18"/>
              </w:rPr>
            </w:pPr>
          </w:p>
        </w:tc>
      </w:tr>
    </w:tbl>
    <w:p>
      <w:pPr>
        <w:widowControl/>
        <w:jc w:val="left"/>
        <w:rPr>
          <w:rFonts w:hint="eastAsia" w:ascii="方正仿宋_GBK" w:hAnsi="宋体" w:eastAsia="方正仿宋_GBK" w:cs="Arial"/>
          <w:color w:val="000000"/>
          <w:kern w:val="0"/>
          <w:sz w:val="22"/>
          <w:szCs w:val="22"/>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tbl>
      <w:tblPr>
        <w:tblStyle w:val="6"/>
        <w:tblW w:w="976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3050"/>
        <w:gridCol w:w="1849"/>
        <w:gridCol w:w="1950"/>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5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表2</w:t>
            </w:r>
          </w:p>
        </w:tc>
        <w:tc>
          <w:tcPr>
            <w:tcW w:w="305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4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95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6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76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605"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单位名称:066005-宿州市埇桥区社会福利救助中心</w:t>
            </w:r>
          </w:p>
        </w:tc>
        <w:tc>
          <w:tcPr>
            <w:tcW w:w="1849"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0"/>
                <w:szCs w:val="20"/>
                <w:lang w:val="en-US" w:eastAsia="zh-CN"/>
              </w:rPr>
            </w:pPr>
          </w:p>
        </w:tc>
        <w:tc>
          <w:tcPr>
            <w:tcW w:w="3313" w:type="dxa"/>
            <w:gridSpan w:val="2"/>
            <w:tcBorders>
              <w:top w:val="nil"/>
              <w:left w:val="nil"/>
              <w:bottom w:val="nil"/>
              <w:right w:val="nil"/>
            </w:tcBorders>
            <w:shd w:val="clear" w:color="auto" w:fill="auto"/>
            <w:noWrap/>
            <w:vAlign w:val="bottom"/>
          </w:tcPr>
          <w:p>
            <w:pPr>
              <w:widowControl/>
              <w:ind w:firstLine="800" w:firstLineChars="400"/>
              <w:jc w:val="righ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4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功能分类科目</w:t>
            </w:r>
          </w:p>
        </w:tc>
        <w:tc>
          <w:tcPr>
            <w:tcW w:w="51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科目编码</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科目名称</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合计</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基本支出</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合计</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279.86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597.65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社会保障和就业支出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845.31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247.66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597.65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20805</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行政事业单位养老支出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25.22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25.22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2080505</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机关事业单位基本养老保险缴费支出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16.82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16.82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2080506</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机关事业单位职业年金缴费支出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8.41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8.41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20810</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社会福利</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496.05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222.44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273.61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2081001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儿童福利</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2081005</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社会福利事业单位</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416.84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222.44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20811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残疾人事业</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2081107</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残疾人生活和护理补贴</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20820</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临时救助</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2082002</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流浪乞讨人员救助支出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20821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特困人员救助供养</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2082101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城市特困人员救助供养支出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210</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卫生健康支出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21011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行政事业单位医疗</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2101102</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事业单位医疗</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2101103</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公务员医疗补助</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5.49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5.49</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住房保障支出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21.62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21.62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22102</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住房改革支出</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21.62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21.62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2210201</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住房公积金</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12.61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12.61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2210202</w:t>
            </w:r>
          </w:p>
        </w:tc>
        <w:tc>
          <w:tcPr>
            <w:tcW w:w="3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提租补贴</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9.01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5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05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4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95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6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bl>
    <w:p>
      <w:pPr>
        <w:widowControl/>
        <w:jc w:val="left"/>
        <w:rPr>
          <w:rFonts w:hint="eastAsia" w:ascii="方正仿宋_GBK" w:hAnsi="宋体" w:eastAsia="方正仿宋_GBK" w:cs="Arial"/>
          <w:color w:val="000000"/>
          <w:kern w:val="0"/>
          <w:sz w:val="22"/>
          <w:szCs w:val="22"/>
          <w:lang w:val="en-US" w:eastAsia="zh-CN"/>
        </w:rPr>
      </w:pPr>
    </w:p>
    <w:p>
      <w:pPr>
        <w:widowControl/>
        <w:jc w:val="left"/>
        <w:rPr>
          <w:rFonts w:hint="eastAsia" w:ascii="方正仿宋_GBK" w:hAnsi="宋体" w:eastAsia="方正仿宋_GBK" w:cs="Arial"/>
          <w:color w:val="000000"/>
          <w:kern w:val="0"/>
          <w:sz w:val="22"/>
          <w:szCs w:val="22"/>
          <w:lang w:val="en-US" w:eastAsia="zh-CN"/>
        </w:rPr>
      </w:pPr>
    </w:p>
    <w:p>
      <w:pPr>
        <w:pStyle w:val="9"/>
        <w:ind w:left="0" w:leftChars="0" w:firstLine="0" w:firstLineChars="0"/>
        <w:rPr>
          <w:rFonts w:hint="eastAsia" w:ascii="方正仿宋_GBK" w:hAnsi="宋体" w:eastAsia="方正仿宋_GBK" w:cs="Arial"/>
          <w:color w:val="000000"/>
          <w:kern w:val="0"/>
          <w:sz w:val="22"/>
          <w:szCs w:val="22"/>
          <w:lang w:val="en-US" w:eastAsia="zh-CN"/>
        </w:rPr>
      </w:pPr>
    </w:p>
    <w:p>
      <w:pPr>
        <w:pStyle w:val="9"/>
        <w:ind w:left="0" w:leftChars="0" w:firstLine="0" w:firstLineChars="0"/>
        <w:rPr>
          <w:rFonts w:hint="eastAsia" w:ascii="方正仿宋_GBK" w:hAnsi="宋体" w:eastAsia="方正仿宋_GBK" w:cs="Arial"/>
          <w:color w:val="000000"/>
          <w:kern w:val="0"/>
          <w:sz w:val="22"/>
          <w:szCs w:val="22"/>
          <w:lang w:val="en-US" w:eastAsia="zh-CN"/>
        </w:rPr>
      </w:pPr>
    </w:p>
    <w:tbl>
      <w:tblPr>
        <w:tblStyle w:val="6"/>
        <w:tblW w:w="97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5"/>
        <w:gridCol w:w="380"/>
        <w:gridCol w:w="3788"/>
        <w:gridCol w:w="3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2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w:t>
            </w:r>
          </w:p>
        </w:tc>
        <w:tc>
          <w:tcPr>
            <w:tcW w:w="4168"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75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293" w:type="dxa"/>
            <w:gridSpan w:val="3"/>
            <w:tcBorders>
              <w:top w:val="nil"/>
              <w:left w:val="nil"/>
              <w:bottom w:val="nil"/>
              <w:right w:val="nil"/>
            </w:tcBorders>
            <w:shd w:val="clear" w:color="auto" w:fill="auto"/>
            <w:noWrap/>
            <w:vAlign w:val="center"/>
          </w:tcPr>
          <w:p>
            <w:pPr>
              <w:widowControl/>
              <w:jc w:val="left"/>
              <w:rPr>
                <w:rFonts w:hint="eastAsia" w:ascii="宋体" w:hAnsi="宋体" w:eastAsia="宋体" w:cs="宋体"/>
                <w:bCs/>
                <w:color w:val="000000"/>
                <w:kern w:val="0"/>
                <w:sz w:val="20"/>
                <w:szCs w:val="20"/>
                <w:lang w:val="en-US" w:eastAsia="zh-CN"/>
              </w:rPr>
            </w:pPr>
            <w:r>
              <w:rPr>
                <w:rFonts w:hint="eastAsia" w:ascii="宋体" w:hAnsi="宋体" w:eastAsia="宋体" w:cs="宋体"/>
                <w:bCs/>
                <w:color w:val="000000"/>
                <w:kern w:val="0"/>
                <w:sz w:val="20"/>
                <w:szCs w:val="20"/>
                <w:lang w:val="en-US" w:eastAsia="zh-CN"/>
              </w:rPr>
              <w:t>单位名称:066005-宿州市埇桥区社会福利救助中心</w:t>
            </w:r>
          </w:p>
        </w:tc>
        <w:tc>
          <w:tcPr>
            <w:tcW w:w="3462" w:type="dxa"/>
            <w:tcBorders>
              <w:top w:val="nil"/>
              <w:left w:val="nil"/>
              <w:bottom w:val="nil"/>
              <w:right w:val="nil"/>
            </w:tcBorders>
            <w:shd w:val="clear" w:color="auto" w:fill="auto"/>
            <w:noWrap/>
            <w:vAlign w:val="center"/>
          </w:tcPr>
          <w:p>
            <w:pPr>
              <w:widowControl/>
              <w:jc w:val="right"/>
              <w:rPr>
                <w:rFonts w:hint="eastAsia" w:ascii="宋体" w:hAnsi="宋体" w:eastAsia="宋体" w:cs="宋体"/>
                <w:bCs/>
                <w:color w:val="000000"/>
                <w:kern w:val="0"/>
                <w:sz w:val="20"/>
                <w:szCs w:val="20"/>
                <w:lang w:val="en-US" w:eastAsia="zh-CN"/>
              </w:rPr>
            </w:pPr>
            <w:r>
              <w:rPr>
                <w:rFonts w:hint="eastAsia" w:ascii="宋体" w:hAnsi="宋体" w:eastAsia="宋体" w:cs="宋体"/>
                <w:bCs/>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2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经济分类科目</w:t>
            </w:r>
          </w:p>
        </w:tc>
        <w:tc>
          <w:tcPr>
            <w:tcW w:w="3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22"/>
                <w:szCs w:val="22"/>
                <w:lang w:val="en-US" w:eastAsia="zh-CN"/>
              </w:rPr>
            </w:pPr>
            <w:r>
              <w:rPr>
                <w:rFonts w:hint="eastAsia" w:ascii="宋体" w:hAnsi="宋体" w:eastAsia="宋体" w:cs="宋体"/>
                <w:b/>
                <w:bCs w:val="0"/>
                <w:color w:val="000000"/>
                <w:kern w:val="0"/>
                <w:sz w:val="20"/>
                <w:szCs w:val="20"/>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科目编码</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科目名称</w:t>
            </w:r>
          </w:p>
        </w:tc>
        <w:tc>
          <w:tcPr>
            <w:tcW w:w="3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_GB2312" w:hAnsi="仿宋_GB2312" w:eastAsia="仿宋_GB2312" w:cs="仿宋_GB2312"/>
                <w:bCs/>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合计</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工资福利支出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30101</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基本工资</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津贴补贴</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津贴补贴</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30103</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奖金</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30107</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绩效工资</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30107</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绩效工资</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30108</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机关事业单位基本养老保险缴费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30109</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职业年金缴费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30110</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职工基本医疗保险缴费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30111</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公务员医疗补助缴费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30112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其他社会保障缴费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30112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其他社会保障缴费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30113</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住房公积金</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30199</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其他工资福利支出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商品和服务支出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42.09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30201</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办公费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30205</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水费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30206</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电费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30207</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邮电费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30213</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维修（护）费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30217</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公务接待费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30226</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劳务费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30228</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工会经费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30228</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工会经费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30231</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公务用车运行维护费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30239</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其他交通费用</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30299</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其他商品和服务支出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30299</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其他商品和服务支出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303</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对个人和家庭的补助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76.08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30302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退休费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30302</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退休费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30305</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生活补助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30307</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医疗费补助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2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pStyle w:val="2"/>
              <w:rPr>
                <w:rFonts w:hint="eastAsia"/>
                <w:lang w:val="en-US" w:eastAsia="zh-CN"/>
              </w:rPr>
            </w:pP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表3-2</w:t>
            </w:r>
          </w:p>
        </w:tc>
        <w:tc>
          <w:tcPr>
            <w:tcW w:w="4168"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46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75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293"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单位名称:066005-宿州市埇桥区社会福利救助中心</w:t>
            </w:r>
          </w:p>
        </w:tc>
        <w:tc>
          <w:tcPr>
            <w:tcW w:w="3462" w:type="dxa"/>
            <w:tcBorders>
              <w:top w:val="nil"/>
              <w:left w:val="nil"/>
              <w:bottom w:val="nil"/>
              <w:right w:val="nil"/>
            </w:tcBorders>
            <w:shd w:val="clear" w:color="auto" w:fill="auto"/>
            <w:noWrap/>
            <w:vAlign w:val="center"/>
          </w:tcPr>
          <w:p>
            <w:pPr>
              <w:keepNext w:val="0"/>
              <w:keepLines w:val="0"/>
              <w:widowControl/>
              <w:suppressLineNumbers w:val="0"/>
              <w:ind w:firstLine="800" w:firstLineChars="40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政府经济分类科目</w:t>
            </w:r>
          </w:p>
        </w:tc>
        <w:tc>
          <w:tcPr>
            <w:tcW w:w="3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3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对事业单位经常性补助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50501</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50502</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50901</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社会福利和救助</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50905</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离退休费</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71.26</w:t>
            </w:r>
          </w:p>
        </w:tc>
      </w:tr>
    </w:tbl>
    <w:p>
      <w:pPr>
        <w:widowControl/>
        <w:jc w:val="left"/>
        <w:rPr>
          <w:rFonts w:hint="eastAsia" w:ascii="方正仿宋_GBK" w:hAnsi="宋体" w:eastAsia="方正仿宋_GBK" w:cs="Arial"/>
          <w:color w:val="000000"/>
          <w:kern w:val="0"/>
          <w:sz w:val="22"/>
          <w:szCs w:val="22"/>
          <w:lang w:val="en-US" w:eastAsia="zh-CN"/>
        </w:rPr>
      </w:pPr>
    </w:p>
    <w:p>
      <w:pPr>
        <w:pStyle w:val="2"/>
        <w:rPr>
          <w:rFonts w:hint="eastAsia" w:ascii="方正仿宋_GBK" w:hAnsi="宋体" w:eastAsia="方正仿宋_GBK" w:cs="Arial"/>
          <w:color w:val="000000"/>
          <w:kern w:val="0"/>
          <w:sz w:val="22"/>
          <w:szCs w:val="22"/>
          <w:lang w:val="en-US" w:eastAsia="zh-CN"/>
        </w:rPr>
      </w:pPr>
    </w:p>
    <w:p>
      <w:pPr>
        <w:pStyle w:val="2"/>
        <w:ind w:left="0" w:leftChars="0" w:firstLine="0" w:firstLineChars="0"/>
        <w:rPr>
          <w:rFonts w:hint="eastAsia" w:ascii="方正仿宋_GBK" w:hAnsi="宋体" w:eastAsia="方正仿宋_GBK" w:cs="Arial"/>
          <w:color w:val="000000"/>
          <w:kern w:val="0"/>
          <w:sz w:val="22"/>
          <w:szCs w:val="22"/>
          <w:lang w:val="en-US" w:eastAsia="zh-CN"/>
        </w:rPr>
      </w:pPr>
    </w:p>
    <w:p>
      <w:pPr>
        <w:pStyle w:val="2"/>
        <w:rPr>
          <w:rFonts w:hint="eastAsia" w:ascii="方正仿宋_GBK" w:hAnsi="宋体" w:eastAsia="方正仿宋_GBK" w:cs="Arial"/>
          <w:color w:val="000000"/>
          <w:kern w:val="0"/>
          <w:sz w:val="22"/>
          <w:szCs w:val="22"/>
          <w:lang w:val="en-US" w:eastAsia="zh-CN"/>
        </w:rPr>
      </w:pPr>
    </w:p>
    <w:p>
      <w:pPr>
        <w:pStyle w:val="2"/>
        <w:ind w:left="0" w:leftChars="0" w:firstLine="0" w:firstLineChars="0"/>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表4</w:t>
      </w:r>
    </w:p>
    <w:p>
      <w:pPr>
        <w:pStyle w:val="2"/>
        <w:rPr>
          <w:rFonts w:hint="eastAsia" w:ascii="方正仿宋_GBK" w:hAnsi="宋体" w:eastAsia="方正仿宋_GBK" w:cs="Arial"/>
          <w:color w:val="000000"/>
          <w:kern w:val="0"/>
          <w:sz w:val="22"/>
          <w:szCs w:val="22"/>
          <w:lang w:val="en-US" w:eastAsia="zh-CN"/>
        </w:rPr>
      </w:pPr>
    </w:p>
    <w:tbl>
      <w:tblPr>
        <w:tblStyle w:val="6"/>
        <w:tblW w:w="9731" w:type="dxa"/>
        <w:tblInd w:w="108" w:type="dxa"/>
        <w:tblLayout w:type="fixed"/>
        <w:tblCellMar>
          <w:top w:w="0" w:type="dxa"/>
          <w:left w:w="108" w:type="dxa"/>
          <w:bottom w:w="0" w:type="dxa"/>
          <w:right w:w="108" w:type="dxa"/>
        </w:tblCellMar>
      </w:tblPr>
      <w:tblGrid>
        <w:gridCol w:w="1896"/>
        <w:gridCol w:w="3105"/>
        <w:gridCol w:w="1430"/>
        <w:gridCol w:w="1270"/>
        <w:gridCol w:w="2030"/>
      </w:tblGrid>
      <w:tr>
        <w:tblPrEx>
          <w:tblCellMar>
            <w:top w:w="0" w:type="dxa"/>
            <w:left w:w="108" w:type="dxa"/>
            <w:bottom w:w="0" w:type="dxa"/>
            <w:right w:w="108" w:type="dxa"/>
          </w:tblCellMar>
        </w:tblPrEx>
        <w:trPr>
          <w:trHeight w:val="510" w:hRule="atLeast"/>
        </w:trPr>
        <w:tc>
          <w:tcPr>
            <w:tcW w:w="9731" w:type="dxa"/>
            <w:gridSpan w:val="5"/>
            <w:tcBorders>
              <w:top w:val="nil"/>
              <w:left w:val="nil"/>
              <w:bottom w:val="nil"/>
              <w:right w:val="nil"/>
            </w:tcBorders>
            <w:noWrap/>
            <w:vAlign w:val="center"/>
          </w:tcPr>
          <w:p>
            <w:pPr>
              <w:widowControl/>
              <w:jc w:val="center"/>
              <w:rPr>
                <w:rFonts w:ascii="方正仿宋_GBK" w:hAnsi="华文中宋" w:eastAsia="方正仿宋_GBK" w:cs="Arial"/>
                <w:b/>
                <w:bCs/>
                <w:color w:val="000000"/>
                <w:kern w:val="0"/>
                <w:sz w:val="36"/>
                <w:szCs w:val="36"/>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w:t>
            </w:r>
            <w:r>
              <w:rPr>
                <w:rFonts w:hint="eastAsia" w:ascii="宋体" w:hAnsi="宋体" w:eastAsia="宋体" w:cs="宋体"/>
                <w:b/>
                <w:bCs/>
                <w:color w:val="000000"/>
                <w:kern w:val="0"/>
                <w:sz w:val="36"/>
                <w:szCs w:val="36"/>
              </w:rPr>
              <w:t>年政府性基金预算支出表</w:t>
            </w:r>
          </w:p>
        </w:tc>
      </w:tr>
      <w:tr>
        <w:tblPrEx>
          <w:tblCellMar>
            <w:top w:w="0" w:type="dxa"/>
            <w:left w:w="108" w:type="dxa"/>
            <w:bottom w:w="0" w:type="dxa"/>
            <w:right w:w="108" w:type="dxa"/>
          </w:tblCellMar>
        </w:tblPrEx>
        <w:trPr>
          <w:trHeight w:val="375" w:hRule="atLeast"/>
        </w:trPr>
        <w:tc>
          <w:tcPr>
            <w:tcW w:w="6431" w:type="dxa"/>
            <w:gridSpan w:val="3"/>
            <w:tcBorders>
              <w:top w:val="nil"/>
              <w:left w:val="nil"/>
              <w:bottom w:val="nil"/>
              <w:right w:val="nil"/>
            </w:tcBorders>
            <w:noWrap/>
            <w:vAlign w:val="center"/>
          </w:tcPr>
          <w:p>
            <w:pPr>
              <w:widowControl/>
              <w:jc w:val="left"/>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lang w:val="en-US" w:eastAsia="zh-CN"/>
              </w:rPr>
              <w:t>单位名称:066005-宿州市埇桥区社会福利救助中心</w:t>
            </w:r>
          </w:p>
        </w:tc>
        <w:tc>
          <w:tcPr>
            <w:tcW w:w="1270" w:type="dxa"/>
            <w:tcBorders>
              <w:top w:val="nil"/>
              <w:left w:val="nil"/>
              <w:bottom w:val="nil"/>
              <w:right w:val="nil"/>
            </w:tcBorders>
            <w:noWrap/>
            <w:vAlign w:val="bottom"/>
          </w:tcPr>
          <w:p>
            <w:pPr>
              <w:widowControl/>
              <w:jc w:val="center"/>
              <w:rPr>
                <w:rFonts w:hint="eastAsia" w:ascii="宋体" w:hAnsi="宋体" w:eastAsia="宋体" w:cs="宋体"/>
                <w:bCs/>
                <w:color w:val="000000"/>
                <w:kern w:val="0"/>
                <w:sz w:val="20"/>
                <w:szCs w:val="20"/>
              </w:rPr>
            </w:pPr>
          </w:p>
        </w:tc>
        <w:tc>
          <w:tcPr>
            <w:tcW w:w="2030" w:type="dxa"/>
            <w:tcBorders>
              <w:top w:val="nil"/>
              <w:left w:val="nil"/>
              <w:bottom w:val="nil"/>
              <w:right w:val="nil"/>
            </w:tcBorders>
            <w:noWrap/>
            <w:vAlign w:val="bottom"/>
          </w:tcPr>
          <w:p>
            <w:pPr>
              <w:widowControl/>
              <w:jc w:val="right"/>
              <w:rPr>
                <w:rFonts w:hint="eastAsia" w:ascii="宋体" w:hAnsi="宋体" w:eastAsia="宋体" w:cs="宋体"/>
                <w:bCs/>
                <w:color w:val="000000"/>
                <w:kern w:val="0"/>
                <w:sz w:val="20"/>
                <w:szCs w:val="20"/>
              </w:rPr>
            </w:pPr>
            <w:r>
              <w:rPr>
                <w:rFonts w:hint="eastAsia" w:ascii="宋体" w:hAnsi="宋体" w:eastAsia="宋体" w:cs="宋体"/>
                <w:bCs/>
                <w:color w:val="000000"/>
                <w:kern w:val="0"/>
                <w:sz w:val="20"/>
                <w:szCs w:val="20"/>
              </w:rPr>
              <w:t>单位:万元</w:t>
            </w:r>
          </w:p>
        </w:tc>
      </w:tr>
      <w:tr>
        <w:tblPrEx>
          <w:tblCellMar>
            <w:top w:w="0" w:type="dxa"/>
            <w:left w:w="108" w:type="dxa"/>
            <w:bottom w:w="0" w:type="dxa"/>
            <w:right w:w="108" w:type="dxa"/>
          </w:tblCellMar>
        </w:tblPrEx>
        <w:trPr>
          <w:trHeight w:val="1023" w:hRule="atLeast"/>
        </w:trPr>
        <w:tc>
          <w:tcPr>
            <w:tcW w:w="18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科目编码</w:t>
            </w:r>
          </w:p>
        </w:tc>
        <w:tc>
          <w:tcPr>
            <w:tcW w:w="3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科目名称</w:t>
            </w:r>
          </w:p>
        </w:tc>
        <w:tc>
          <w:tcPr>
            <w:tcW w:w="473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本年政府性基金财政拨款支出</w:t>
            </w:r>
          </w:p>
        </w:tc>
      </w:tr>
      <w:tr>
        <w:tblPrEx>
          <w:tblCellMar>
            <w:top w:w="0" w:type="dxa"/>
            <w:left w:w="108" w:type="dxa"/>
            <w:bottom w:w="0" w:type="dxa"/>
            <w:right w:w="108" w:type="dxa"/>
          </w:tblCellMar>
        </w:tblPrEx>
        <w:trPr>
          <w:trHeight w:val="771" w:hRule="atLeast"/>
        </w:trPr>
        <w:tc>
          <w:tcPr>
            <w:tcW w:w="18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p>
        </w:tc>
        <w:tc>
          <w:tcPr>
            <w:tcW w:w="3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p>
        </w:tc>
        <w:tc>
          <w:tcPr>
            <w:tcW w:w="143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合计</w:t>
            </w:r>
          </w:p>
        </w:tc>
        <w:tc>
          <w:tcPr>
            <w:tcW w:w="127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基本支出</w:t>
            </w:r>
          </w:p>
        </w:tc>
        <w:tc>
          <w:tcPr>
            <w:tcW w:w="203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rPr>
              <w:t>项目支出</w:t>
            </w:r>
          </w:p>
        </w:tc>
      </w:tr>
      <w:tr>
        <w:tblPrEx>
          <w:tblCellMar>
            <w:top w:w="0" w:type="dxa"/>
            <w:left w:w="108" w:type="dxa"/>
            <w:bottom w:w="0" w:type="dxa"/>
            <w:right w:w="108" w:type="dxa"/>
          </w:tblCellMar>
        </w:tblPrEx>
        <w:trPr>
          <w:trHeight w:val="405" w:hRule="atLeast"/>
        </w:trPr>
        <w:tc>
          <w:tcPr>
            <w:tcW w:w="1896"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　</w:t>
            </w:r>
          </w:p>
        </w:tc>
        <w:tc>
          <w:tcPr>
            <w:tcW w:w="310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　</w:t>
            </w:r>
          </w:p>
        </w:tc>
        <w:tc>
          <w:tcPr>
            <w:tcW w:w="1430" w:type="dxa"/>
            <w:tcBorders>
              <w:top w:val="nil"/>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　</w:t>
            </w:r>
          </w:p>
        </w:tc>
        <w:tc>
          <w:tcPr>
            <w:tcW w:w="1270" w:type="dxa"/>
            <w:tcBorders>
              <w:top w:val="nil"/>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　</w:t>
            </w:r>
          </w:p>
        </w:tc>
        <w:tc>
          <w:tcPr>
            <w:tcW w:w="2030" w:type="dxa"/>
            <w:tcBorders>
              <w:top w:val="nil"/>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Cs/>
                <w:color w:val="000000"/>
                <w:kern w:val="0"/>
                <w:sz w:val="22"/>
                <w:szCs w:val="22"/>
              </w:rPr>
            </w:pPr>
            <w:r>
              <w:rPr>
                <w:rFonts w:hint="eastAsia" w:ascii="仿宋_GB2312" w:hAnsi="仿宋_GB2312" w:eastAsia="仿宋_GB2312" w:cs="仿宋_GB2312"/>
                <w:bCs/>
                <w:color w:val="000000"/>
                <w:kern w:val="0"/>
                <w:sz w:val="22"/>
                <w:szCs w:val="22"/>
              </w:rPr>
              <w:t>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rPr>
      </w:pPr>
      <w:r>
        <w:rPr>
          <w:rFonts w:hint="eastAsia" w:ascii="宋体" w:hAnsi="宋体" w:eastAsia="宋体" w:cs="宋体"/>
          <w:sz w:val="20"/>
          <w:szCs w:val="20"/>
        </w:rPr>
        <w:t>注:</w:t>
      </w:r>
      <w:r>
        <w:rPr>
          <w:rFonts w:hint="eastAsia" w:ascii="宋体" w:hAnsi="宋体" w:eastAsia="宋体" w:cs="宋体"/>
          <w:sz w:val="20"/>
          <w:szCs w:val="20"/>
          <w:lang w:eastAsia="zh-CN"/>
        </w:rPr>
        <w:t>埇桥区</w:t>
      </w:r>
      <w:r>
        <w:rPr>
          <w:rFonts w:hint="eastAsia" w:ascii="宋体" w:hAnsi="宋体" w:eastAsia="宋体" w:cs="宋体"/>
          <w:sz w:val="20"/>
          <w:szCs w:val="20"/>
          <w:lang w:val="en-US" w:eastAsia="zh-CN"/>
        </w:rPr>
        <w:t>社会福利救助中心</w:t>
      </w:r>
      <w:r>
        <w:rPr>
          <w:rFonts w:hint="eastAsia" w:ascii="宋体" w:hAnsi="宋体" w:eastAsia="宋体" w:cs="宋体"/>
          <w:sz w:val="20"/>
          <w:szCs w:val="20"/>
        </w:rPr>
        <w:t>没有政府性基金预算拨款收入，也没有政府性基金预算拨款安排的支出，故本表无数据。</w:t>
      </w:r>
    </w:p>
    <w:p>
      <w:pPr>
        <w:spacing w:line="600" w:lineRule="exact"/>
        <w:jc w:val="left"/>
        <w:rPr>
          <w:rFonts w:hint="eastAsia" w:ascii="方正仿宋_GBK" w:hAnsi="Times New Roman" w:eastAsia="方正仿宋_GBK" w:cs="方正仿宋_GBK"/>
          <w:sz w:val="28"/>
          <w:szCs w:val="32"/>
          <w:lang w:val="en-US" w:eastAsia="zh-CN"/>
        </w:rPr>
      </w:pPr>
    </w:p>
    <w:p>
      <w:pPr>
        <w:pStyle w:val="2"/>
        <w:ind w:left="0" w:leftChars="0" w:firstLine="0" w:firstLineChars="0"/>
        <w:rPr>
          <w:rFonts w:hint="eastAsia" w:ascii="方正仿宋_GBK" w:hAnsi="Times New Roman" w:eastAsia="方正仿宋_GBK" w:cs="方正仿宋_GBK"/>
          <w:sz w:val="28"/>
          <w:szCs w:val="32"/>
          <w:lang w:val="en-US" w:eastAsia="zh-CN"/>
        </w:rPr>
      </w:pPr>
    </w:p>
    <w:p>
      <w:pPr>
        <w:pStyle w:val="2"/>
        <w:ind w:left="0" w:leftChars="0" w:firstLine="0" w:firstLineChars="0"/>
        <w:rPr>
          <w:rFonts w:hint="eastAsia" w:ascii="方正仿宋_GBK" w:hAnsi="Times New Roman" w:eastAsia="方正仿宋_GBK" w:cs="方正仿宋_GBK"/>
          <w:sz w:val="28"/>
          <w:szCs w:val="32"/>
          <w:lang w:val="en-US" w:eastAsia="zh-CN"/>
        </w:rPr>
      </w:pPr>
    </w:p>
    <w:p>
      <w:pPr>
        <w:pStyle w:val="2"/>
        <w:ind w:left="0" w:leftChars="0" w:firstLine="0" w:firstLineChars="0"/>
        <w:rPr>
          <w:rFonts w:hint="eastAsia" w:ascii="方正仿宋_GBK" w:hAnsi="Times New Roman" w:eastAsia="方正仿宋_GBK" w:cs="方正仿宋_GBK"/>
          <w:sz w:val="28"/>
          <w:szCs w:val="32"/>
          <w:lang w:val="en-US" w:eastAsia="zh-CN"/>
        </w:rPr>
      </w:pPr>
    </w:p>
    <w:p>
      <w:pPr>
        <w:pStyle w:val="9"/>
        <w:ind w:left="0" w:leftChars="0" w:firstLine="0" w:firstLineChars="0"/>
        <w:rPr>
          <w:rFonts w:hint="eastAsia"/>
          <w:lang w:val="en-US" w:eastAsia="zh-CN"/>
        </w:rPr>
      </w:pPr>
    </w:p>
    <w:p>
      <w:pPr>
        <w:pStyle w:val="9"/>
        <w:ind w:left="0" w:leftChars="0" w:firstLine="0" w:firstLineChars="0"/>
        <w:rPr>
          <w:rFonts w:hint="eastAsia"/>
          <w:lang w:val="en-US" w:eastAsia="zh-CN"/>
        </w:rPr>
      </w:pPr>
    </w:p>
    <w:tbl>
      <w:tblPr>
        <w:tblStyle w:val="6"/>
        <w:tblW w:w="974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68"/>
        <w:gridCol w:w="1900"/>
        <w:gridCol w:w="2650"/>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表5</w:t>
            </w:r>
          </w:p>
        </w:tc>
        <w:tc>
          <w:tcPr>
            <w:tcW w:w="190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65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82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7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2024年单位预算收支预算总表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68"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单位名称:066005-宿州市埇桥区社会福利救助中心</w:t>
            </w:r>
          </w:p>
        </w:tc>
        <w:tc>
          <w:tcPr>
            <w:tcW w:w="4475" w:type="dxa"/>
            <w:gridSpan w:val="2"/>
            <w:tcBorders>
              <w:top w:val="nil"/>
              <w:left w:val="nil"/>
              <w:bottom w:val="nil"/>
              <w:right w:val="nil"/>
            </w:tcBorders>
            <w:shd w:val="clear" w:color="auto" w:fill="auto"/>
            <w:noWrap/>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收         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收入项目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预算数</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支出功能分类科目</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一、一般公共预算拨款收入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（一）一般公共服务支出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二、政府性基金预算拨款收入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（二）外交支出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三、财政专户管理资金</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（三）国防支出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其他财政专户管理资金</w:t>
            </w:r>
          </w:p>
        </w:tc>
        <w:tc>
          <w:tcPr>
            <w:tcW w:w="190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（四）公共安全支出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四、其他收入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（五）教育支出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事业收入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（六）科学技术支出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经营收入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（七）文化旅游体育与传媒支出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上级补助收入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（八）社会保障和就业支出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附属单位上缴收入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（九）社会保险基金支出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 xml:space="preserve">     其他</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（十）卫生健康支出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五、上级转移支付（提前下达公共预算）</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（十一）节能环保支出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六、上级转移支付（提前下达政府性基金）</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（十二）城乡社区支出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（十三）农林水支出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（十四）交通运输支出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（十五）资源勘探信息等支出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（十六）商业服务业等支出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（十七）金融支出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（十八）援助其他地区支出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（十九）自然资源海洋气象等支出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（二十）住房保障支出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（二十一）粮油物资储备支出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（二十二）国有资本经营收入安排支出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（二十三）灾害防治及应急管理</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（二十四）预备费</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（二十五）其他支出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（二十六）转移性支出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（二十七）债务还本支出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收         入</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lang w:val="en-US" w:eastAsia="zh-CN"/>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收入项目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预算数</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支出功能分类科目</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（二十八）债务付息支出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（二十九）债务发行费用支出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（三十）抗疫特别国债安排的支出</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结转下年</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hint="eastAsia" w:ascii="宋体" w:hAnsi="宋体" w:eastAsia="宋体" w:cs="宋体"/>
                <w:color w:val="000000"/>
                <w:kern w:val="0"/>
                <w:sz w:val="18"/>
                <w:szCs w:val="18"/>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收   入   总   计</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支　出  总　计</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43" w:type="dxa"/>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20"/>
                <w:szCs w:val="20"/>
                <w:lang w:val="en-US" w:eastAsia="zh-CN"/>
              </w:rPr>
              <w:t>注：本表反映部门各项收入、支出预算安排情况。</w:t>
            </w:r>
          </w:p>
        </w:tc>
      </w:tr>
    </w:tbl>
    <w:p>
      <w:pPr>
        <w:pStyle w:val="2"/>
        <w:ind w:left="0" w:leftChars="0" w:firstLine="0" w:firstLineChars="0"/>
        <w:rPr>
          <w:rFonts w:hint="eastAsia" w:ascii="方正仿宋_GBK" w:hAnsi="宋体" w:eastAsia="方正仿宋_GBK" w:cs="宋体"/>
          <w:kern w:val="0"/>
          <w:sz w:val="22"/>
          <w:szCs w:val="22"/>
          <w:lang w:eastAsia="zh-CN"/>
        </w:rPr>
      </w:pPr>
    </w:p>
    <w:p>
      <w:pPr>
        <w:pStyle w:val="2"/>
        <w:ind w:left="0" w:leftChars="0" w:firstLine="0" w:firstLineChars="0"/>
        <w:rPr>
          <w:rFonts w:hint="eastAsia" w:ascii="方正仿宋_GBK" w:hAnsi="宋体" w:eastAsia="方正仿宋_GBK" w:cs="宋体"/>
          <w:kern w:val="0"/>
          <w:sz w:val="22"/>
          <w:szCs w:val="22"/>
          <w:lang w:eastAsia="zh-CN"/>
        </w:rPr>
      </w:pPr>
    </w:p>
    <w:p>
      <w:pPr>
        <w:widowControl/>
        <w:jc w:val="left"/>
        <w:rPr>
          <w:rFonts w:hint="eastAsia" w:ascii="方正仿宋_GBK" w:hAnsi="宋体" w:eastAsia="方正仿宋_GBK" w:cs="宋体"/>
          <w:kern w:val="0"/>
          <w:sz w:val="22"/>
          <w:szCs w:val="22"/>
          <w:lang w:eastAsia="zh-CN"/>
        </w:rPr>
      </w:pPr>
    </w:p>
    <w:tbl>
      <w:tblPr>
        <w:tblStyle w:val="6"/>
        <w:tblW w:w="9077"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1"/>
        <w:gridCol w:w="249"/>
        <w:gridCol w:w="1179"/>
        <w:gridCol w:w="756"/>
        <w:gridCol w:w="861"/>
        <w:gridCol w:w="492"/>
        <w:gridCol w:w="396"/>
        <w:gridCol w:w="720"/>
        <w:gridCol w:w="672"/>
        <w:gridCol w:w="372"/>
        <w:gridCol w:w="408"/>
        <w:gridCol w:w="337"/>
        <w:gridCol w:w="425"/>
        <w:gridCol w:w="425"/>
        <w:gridCol w:w="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1400"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表6</w:t>
            </w:r>
          </w:p>
        </w:tc>
        <w:tc>
          <w:tcPr>
            <w:tcW w:w="1179"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75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861"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9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9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72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67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7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08"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33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2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42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634"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077"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2024年单位收入预算表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804" w:type="dxa"/>
            <w:gridSpan w:val="8"/>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单位名称:066005-宿州市埇桥区社会福利救助中心</w:t>
            </w:r>
          </w:p>
        </w:tc>
        <w:tc>
          <w:tcPr>
            <w:tcW w:w="672"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372"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408"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1821" w:type="dxa"/>
            <w:gridSpan w:val="4"/>
            <w:tcBorders>
              <w:top w:val="nil"/>
              <w:left w:val="nil"/>
              <w:bottom w:val="nil"/>
              <w:right w:val="nil"/>
            </w:tcBorders>
            <w:shd w:val="clear" w:color="auto" w:fill="auto"/>
            <w:noWrap/>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5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功能分类科目</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合计</w:t>
            </w:r>
          </w:p>
        </w:tc>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一般公共预算拨款收入</w:t>
            </w:r>
          </w:p>
        </w:tc>
        <w:tc>
          <w:tcPr>
            <w:tcW w:w="49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政府性基金预算拨款收入</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财政专户管理资金</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上级转移支付（提前下达一般公共预算）</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上级转移支付（提前下达政府性基金预算）</w:t>
            </w:r>
          </w:p>
        </w:tc>
        <w:tc>
          <w:tcPr>
            <w:tcW w:w="26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7"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科目编码</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科目名称</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492"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小计</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事业收入</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经营收入</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上级补助收入</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附属单位上缴收入</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15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合计</w:t>
            </w:r>
          </w:p>
        </w:tc>
        <w:tc>
          <w:tcPr>
            <w:tcW w:w="1428"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p>
        </w:tc>
        <w:tc>
          <w:tcPr>
            <w:tcW w:w="75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877.51</w:t>
            </w:r>
          </w:p>
        </w:tc>
        <w:tc>
          <w:tcPr>
            <w:tcW w:w="86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877.51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社会保障和就业支出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845.31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845.31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20805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行政事业单位养老支出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25.22</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25.22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2080505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机关事业单位基本养老保险缴费支出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16.82</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16.82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2080506</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机关事业单位职业年金缴费支出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8.41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8.41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社会福利</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496.05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496.05</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25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功能分类科目</w:t>
            </w:r>
          </w:p>
        </w:tc>
        <w:tc>
          <w:tcPr>
            <w:tcW w:w="7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合计</w:t>
            </w:r>
          </w:p>
        </w:tc>
        <w:tc>
          <w:tcPr>
            <w:tcW w:w="86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一般公共预算拨款收入</w:t>
            </w:r>
          </w:p>
        </w:tc>
        <w:tc>
          <w:tcPr>
            <w:tcW w:w="49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政府性基金预算拨款收入</w:t>
            </w:r>
          </w:p>
        </w:tc>
        <w:tc>
          <w:tcPr>
            <w:tcW w:w="3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财政专户管理资金</w:t>
            </w:r>
          </w:p>
        </w:tc>
        <w:tc>
          <w:tcPr>
            <w:tcW w:w="72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上级转移支付（提前下达一般公共预算）</w:t>
            </w:r>
          </w:p>
        </w:tc>
        <w:tc>
          <w:tcPr>
            <w:tcW w:w="67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rPr>
              <w:t>上级转移支付（提前下达政府性基金预算）</w:t>
            </w:r>
          </w:p>
        </w:tc>
        <w:tc>
          <w:tcPr>
            <w:tcW w:w="26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科目编码</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科目名称</w:t>
            </w:r>
          </w:p>
        </w:tc>
        <w:tc>
          <w:tcPr>
            <w:tcW w:w="7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86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49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39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72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67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小计</w:t>
            </w: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事业收入</w:t>
            </w: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经营收入</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上级补助收入</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附属单位上缴收入</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lang w:val="en-US" w:eastAsia="zh-CN"/>
              </w:rPr>
            </w:pPr>
            <w:r>
              <w:rPr>
                <w:rFonts w:hint="eastAsia" w:ascii="宋体" w:hAnsi="宋体" w:eastAsia="宋体" w:cs="宋体"/>
                <w:b/>
                <w:bCs w:val="0"/>
                <w:color w:val="000000"/>
                <w:kern w:val="0"/>
                <w:sz w:val="20"/>
                <w:szCs w:val="20"/>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2081001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儿童福利</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79.21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79.21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2081005</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社会福利事业单位</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416.84</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416.84</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20811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残疾人事业</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2.40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2.40</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2081107</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残疾人生活和护理补贴</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2.40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2.40</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20820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临时救助</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30.00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30.00</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2082002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流浪乞讨人员救助支出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30.00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30.00</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20821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特困人员救助供养</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291.64</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291.64</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2082101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城市特困人员救助供养支出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291.64</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291.64</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卫生健康支出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10.57</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10.57</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21011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行政事业单位医疗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10.57</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10.57</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2101102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事业单位医疗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5.08</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5.08</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2101103</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公务员医疗补助</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5.49</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5.49</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221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住房保障支出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21.62</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21.62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22102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住房改革支出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21.62</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21.62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2210201</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住房公积金</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12.61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12.61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2210202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提租补贴</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9.01</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lang w:val="en-US" w:eastAsia="zh-CN"/>
              </w:rPr>
            </w:pPr>
            <w:r>
              <w:rPr>
                <w:rFonts w:hint="eastAsia" w:ascii="宋体" w:hAnsi="宋体" w:eastAsia="宋体" w:cs="宋体"/>
                <w:bCs/>
                <w:color w:val="000000"/>
                <w:kern w:val="0"/>
                <w:sz w:val="18"/>
                <w:szCs w:val="18"/>
                <w:lang w:val="en-US" w:eastAsia="zh-CN"/>
              </w:rPr>
              <w:t>9.01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18"/>
                <w:szCs w:val="18"/>
                <w:lang w:val="en-US" w:eastAsia="zh-CN"/>
              </w:rPr>
            </w:pPr>
          </w:p>
        </w:tc>
      </w:tr>
    </w:tbl>
    <w:p>
      <w:pPr>
        <w:widowControl/>
        <w:jc w:val="center"/>
        <w:rPr>
          <w:rFonts w:hint="eastAsia" w:ascii="仿宋_GB2312" w:hAnsi="仿宋_GB2312" w:eastAsia="仿宋_GB2312" w:cs="仿宋_GB2312"/>
          <w:bCs/>
          <w:color w:val="000000"/>
          <w:kern w:val="0"/>
          <w:sz w:val="18"/>
          <w:szCs w:val="18"/>
          <w:lang w:val="en-US" w:eastAsia="zh-CN"/>
        </w:rPr>
      </w:pPr>
    </w:p>
    <w:p>
      <w:pPr>
        <w:widowControl/>
        <w:jc w:val="center"/>
        <w:rPr>
          <w:rFonts w:hint="eastAsia" w:ascii="仿宋_GB2312" w:hAnsi="仿宋_GB2312" w:eastAsia="仿宋_GB2312" w:cs="仿宋_GB2312"/>
          <w:bCs/>
          <w:color w:val="000000"/>
          <w:kern w:val="0"/>
          <w:sz w:val="18"/>
          <w:szCs w:val="18"/>
          <w:lang w:val="en-US" w:eastAsia="zh-CN"/>
        </w:rPr>
      </w:pPr>
    </w:p>
    <w:p>
      <w:pPr>
        <w:widowControl/>
        <w:jc w:val="center"/>
        <w:rPr>
          <w:rFonts w:hint="eastAsia" w:ascii="仿宋_GB2312" w:hAnsi="仿宋_GB2312" w:eastAsia="仿宋_GB2312" w:cs="仿宋_GB2312"/>
          <w:bCs/>
          <w:color w:val="000000"/>
          <w:kern w:val="0"/>
          <w:sz w:val="18"/>
          <w:szCs w:val="18"/>
          <w:lang w:val="en-US" w:eastAsia="zh-CN"/>
        </w:rPr>
      </w:pPr>
    </w:p>
    <w:p>
      <w:pPr>
        <w:widowControl/>
        <w:jc w:val="center"/>
        <w:rPr>
          <w:rFonts w:hint="eastAsia" w:ascii="仿宋_GB2312" w:hAnsi="仿宋_GB2312" w:eastAsia="仿宋_GB2312" w:cs="仿宋_GB2312"/>
          <w:bCs/>
          <w:color w:val="000000"/>
          <w:kern w:val="0"/>
          <w:sz w:val="18"/>
          <w:szCs w:val="18"/>
          <w:lang w:val="en-US" w:eastAsia="zh-CN"/>
        </w:rPr>
      </w:pPr>
    </w:p>
    <w:p>
      <w:pPr>
        <w:widowControl/>
        <w:jc w:val="center"/>
        <w:rPr>
          <w:rFonts w:hint="eastAsia" w:ascii="仿宋_GB2312" w:hAnsi="仿宋_GB2312" w:eastAsia="仿宋_GB2312" w:cs="仿宋_GB2312"/>
          <w:bCs/>
          <w:color w:val="000000"/>
          <w:kern w:val="0"/>
          <w:sz w:val="18"/>
          <w:szCs w:val="18"/>
          <w:lang w:val="en-US" w:eastAsia="zh-CN"/>
        </w:rPr>
      </w:pPr>
    </w:p>
    <w:p>
      <w:pPr>
        <w:pStyle w:val="2"/>
        <w:ind w:left="0" w:leftChars="0" w:firstLine="0" w:firstLineChars="0"/>
        <w:rPr>
          <w:rFonts w:hint="eastAsia" w:ascii="方正仿宋_GBK" w:hAnsi="宋体" w:eastAsia="方正仿宋_GBK" w:cs="宋体"/>
          <w:kern w:val="0"/>
          <w:sz w:val="22"/>
          <w:szCs w:val="22"/>
          <w:lang w:eastAsia="zh-CN"/>
        </w:rPr>
      </w:pPr>
    </w:p>
    <w:tbl>
      <w:tblPr>
        <w:tblStyle w:val="6"/>
        <w:tblpPr w:leftFromText="180" w:rightFromText="180" w:vertAnchor="text" w:horzAnchor="page" w:tblpX="1172" w:tblpY="323"/>
        <w:tblOverlap w:val="never"/>
        <w:tblW w:w="98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0"/>
        <w:gridCol w:w="4163"/>
        <w:gridCol w:w="1562"/>
        <w:gridCol w:w="1150"/>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823" w:type="dxa"/>
            <w:gridSpan w:val="5"/>
            <w:tcBorders>
              <w:top w:val="nil"/>
              <w:left w:val="nil"/>
              <w:bottom w:val="nil"/>
              <w:right w:val="nil"/>
            </w:tcBorders>
            <w:shd w:val="clear" w:color="auto" w:fill="auto"/>
            <w:noWrap/>
            <w:vAlign w:val="center"/>
          </w:tcPr>
          <w:p>
            <w:pPr>
              <w:pStyle w:val="2"/>
              <w:ind w:left="0" w:leftChars="0" w:firstLine="0" w:firstLineChars="0"/>
              <w:rPr>
                <w:rFonts w:hint="default" w:ascii="方正仿宋_GBK" w:hAnsi="宋体" w:eastAsia="方正仿宋_GBK" w:cs="宋体"/>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表</w:t>
            </w:r>
            <w:r>
              <w:rPr>
                <w:rFonts w:hint="eastAsia" w:ascii="宋体" w:hAnsi="宋体" w:cs="宋体"/>
                <w:i w:val="0"/>
                <w:iCs w:val="0"/>
                <w:color w:val="000000"/>
                <w:kern w:val="0"/>
                <w:sz w:val="22"/>
                <w:szCs w:val="22"/>
                <w:u w:val="none"/>
                <w:lang w:val="en-US" w:eastAsia="zh-CN" w:bidi="ar"/>
              </w:rPr>
              <w:t>7</w:t>
            </w:r>
          </w:p>
          <w:p>
            <w:pPr>
              <w:keepNext w:val="0"/>
              <w:keepLines w:val="0"/>
              <w:widowControl/>
              <w:suppressLineNumbers w:val="0"/>
              <w:jc w:val="both"/>
              <w:textAlignment w:val="center"/>
              <w:rPr>
                <w:rFonts w:hint="eastAsia" w:ascii="Times New Roman" w:hAnsi="Times New Roman" w:eastAsia="仿宋_GB2312" w:cs="Times New Roman"/>
                <w:b/>
                <w:bCs/>
                <w:color w:val="000000"/>
                <w:kern w:val="0"/>
                <w:sz w:val="32"/>
                <w:szCs w:val="32"/>
                <w:lang w:val="en-US" w:eastAsia="zh-CN"/>
              </w:rPr>
            </w:pPr>
          </w:p>
          <w:p>
            <w:pPr>
              <w:keepNext w:val="0"/>
              <w:keepLines w:val="0"/>
              <w:widowControl/>
              <w:suppressLineNumbers w:val="0"/>
              <w:jc w:val="center"/>
              <w:textAlignment w:val="center"/>
              <w:rPr>
                <w:rFonts w:ascii="华文中宋" w:hAnsi="华文中宋" w:eastAsia="华文中宋" w:cs="华文中宋"/>
                <w:b/>
                <w:bCs/>
                <w:i w:val="0"/>
                <w:iCs w:val="0"/>
                <w:color w:val="000000"/>
                <w:sz w:val="36"/>
                <w:szCs w:val="36"/>
                <w:u w:val="none"/>
              </w:rPr>
            </w:pPr>
            <w:r>
              <w:rPr>
                <w:rFonts w:hint="eastAsia" w:ascii="宋体" w:hAnsi="宋体" w:eastAsia="宋体" w:cs="宋体"/>
                <w:b/>
                <w:bCs/>
                <w:color w:val="000000"/>
                <w:kern w:val="0"/>
                <w:sz w:val="36"/>
                <w:szCs w:val="36"/>
                <w:lang w:val="en-US" w:eastAsia="zh-CN"/>
              </w:rPr>
              <w:t>2024年单位支出预算表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973"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单位名称:066005-宿州市埇桥区社会福利救助中心</w:t>
            </w:r>
          </w:p>
        </w:tc>
        <w:tc>
          <w:tcPr>
            <w:tcW w:w="1562" w:type="dxa"/>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p>
        </w:tc>
        <w:tc>
          <w:tcPr>
            <w:tcW w:w="2288" w:type="dxa"/>
            <w:gridSpan w:val="2"/>
            <w:tcBorders>
              <w:top w:val="nil"/>
              <w:left w:val="nil"/>
              <w:bottom w:val="nil"/>
              <w:right w:val="nil"/>
            </w:tcBorders>
            <w:shd w:val="clear" w:color="auto" w:fill="auto"/>
            <w:noWrap/>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功能分类科目</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合计</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基本支出</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科目编码</w:t>
            </w:r>
          </w:p>
        </w:tc>
        <w:tc>
          <w:tcPr>
            <w:tcW w:w="4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val="0"/>
                <w:color w:val="000000"/>
                <w:kern w:val="0"/>
                <w:sz w:val="20"/>
                <w:szCs w:val="20"/>
              </w:rPr>
            </w:pPr>
            <w:r>
              <w:rPr>
                <w:rFonts w:hint="eastAsia" w:ascii="宋体" w:hAnsi="宋体" w:eastAsia="宋体" w:cs="宋体"/>
                <w:b/>
                <w:bCs w:val="0"/>
                <w:color w:val="000000"/>
                <w:kern w:val="0"/>
                <w:sz w:val="20"/>
                <w:szCs w:val="20"/>
                <w:lang w:val="en-US" w:eastAsia="zh-CN"/>
              </w:rPr>
              <w:t>科目名称</w:t>
            </w:r>
          </w:p>
        </w:tc>
        <w:tc>
          <w:tcPr>
            <w:tcW w:w="15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24"/>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24"/>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877.51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279.86</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597.65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社会保障和就业支出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845.31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247.66</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597.65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20805</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行政事业单位养老支出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25.22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25.22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2080505</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机关事业单位基本养老保险缴费支出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16.82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16.82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2080506</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机关事业单位职业年金缴费支出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8.41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8.41</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20810</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社会福利</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496.05</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222.44</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273.61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2081001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儿童福利</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79.21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79.21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2081005</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社会福利事业单位</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416.84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222.44</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194.40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20811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残疾人事业</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2.40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2081107</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残疾人生活和护理补贴</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2.40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20820</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临时救助</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2082002</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流浪乞讨人员救助支出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30.00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20821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特困人员救助供养</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291.64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291.64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2082101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城市特困人员救助供养支出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291.64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291.64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210</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卫生健康支出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10.57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10.57</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21011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行政事业单位医疗</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10.57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10.57</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2101102</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事业单位医疗</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5.08</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5.08</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2101103</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公务员医疗补助</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5.49</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5.49</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住房保障支出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21.62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21.62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22102</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住房改革支出</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21.62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21.62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2210201</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住房公积金</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12.61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12.61</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2210202</w:t>
            </w:r>
          </w:p>
        </w:tc>
        <w:tc>
          <w:tcPr>
            <w:tcW w:w="4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提租补贴</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9.01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lang w:val="en-US" w:eastAsia="zh-CN"/>
              </w:rPr>
              <w:t>9.01</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Cs/>
                <w:color w:val="000000"/>
                <w:kern w:val="0"/>
                <w:sz w:val="18"/>
                <w:szCs w:val="18"/>
              </w:rPr>
            </w:pPr>
          </w:p>
        </w:tc>
      </w:tr>
    </w:tbl>
    <w:p>
      <w:pPr>
        <w:widowControl/>
        <w:jc w:val="center"/>
        <w:rPr>
          <w:rFonts w:hint="eastAsia" w:ascii="仿宋_GB2312" w:hAnsi="仿宋_GB2312" w:eastAsia="仿宋_GB2312" w:cs="仿宋_GB2312"/>
          <w:bCs/>
          <w:color w:val="000000"/>
          <w:kern w:val="0"/>
          <w:sz w:val="24"/>
          <w:lang w:val="en-US" w:eastAsia="zh-CN"/>
        </w:rPr>
      </w:pPr>
    </w:p>
    <w:p>
      <w:pPr>
        <w:widowControl/>
        <w:jc w:val="center"/>
        <w:rPr>
          <w:rFonts w:hint="eastAsia" w:ascii="仿宋_GB2312" w:hAnsi="仿宋_GB2312" w:eastAsia="仿宋_GB2312" w:cs="仿宋_GB2312"/>
          <w:bCs/>
          <w:color w:val="000000"/>
          <w:kern w:val="0"/>
          <w:sz w:val="24"/>
          <w:lang w:val="en-US" w:eastAsia="zh-CN"/>
        </w:rPr>
      </w:pPr>
    </w:p>
    <w:p>
      <w:pPr>
        <w:pStyle w:val="2"/>
        <w:ind w:left="0" w:leftChars="0" w:firstLine="0" w:firstLineChars="0"/>
        <w:rPr>
          <w:rFonts w:hint="eastAsia" w:ascii="方正仿宋_GBK" w:hAnsi="宋体" w:eastAsia="方正仿宋_GBK" w:cs="宋体"/>
          <w:kern w:val="0"/>
          <w:sz w:val="22"/>
          <w:szCs w:val="22"/>
          <w:lang w:val="en-US" w:eastAsia="zh-CN"/>
        </w:rPr>
      </w:pPr>
    </w:p>
    <w:p>
      <w:pPr>
        <w:pStyle w:val="2"/>
        <w:ind w:left="0" w:leftChars="0" w:firstLine="0" w:firstLineChars="0"/>
        <w:rPr>
          <w:rFonts w:hint="eastAsia" w:ascii="方正仿宋_GBK" w:hAnsi="宋体" w:eastAsia="方正仿宋_GBK" w:cs="宋体"/>
          <w:kern w:val="0"/>
          <w:sz w:val="22"/>
          <w:szCs w:val="22"/>
          <w:lang w:val="en-US" w:eastAsia="zh-CN"/>
        </w:rPr>
      </w:pPr>
    </w:p>
    <w:p>
      <w:pPr>
        <w:widowControl/>
        <w:jc w:val="left"/>
        <w:rPr>
          <w:rFonts w:hint="eastAsia" w:ascii="宋体" w:hAnsi="宋体" w:eastAsia="宋体" w:cs="宋体"/>
          <w:sz w:val="22"/>
          <w:szCs w:val="22"/>
        </w:rPr>
      </w:pPr>
      <w:r>
        <w:rPr>
          <w:rFonts w:hint="eastAsia" w:ascii="宋体" w:hAnsi="宋体" w:eastAsia="宋体" w:cs="宋体"/>
          <w:kern w:val="0"/>
          <w:sz w:val="22"/>
          <w:szCs w:val="22"/>
          <w:lang w:val="en-US" w:eastAsia="zh-CN"/>
        </w:rPr>
        <w:t>表8</w:t>
      </w:r>
    </w:p>
    <w:tbl>
      <w:tblPr>
        <w:tblStyle w:val="6"/>
        <w:tblW w:w="9562" w:type="dxa"/>
        <w:tblInd w:w="93" w:type="dxa"/>
        <w:tblLayout w:type="fixed"/>
        <w:tblCellMar>
          <w:top w:w="0" w:type="dxa"/>
          <w:left w:w="108" w:type="dxa"/>
          <w:bottom w:w="0" w:type="dxa"/>
          <w:right w:w="108" w:type="dxa"/>
        </w:tblCellMar>
      </w:tblPr>
      <w:tblGrid>
        <w:gridCol w:w="2500"/>
        <w:gridCol w:w="2596"/>
        <w:gridCol w:w="1293"/>
        <w:gridCol w:w="1523"/>
        <w:gridCol w:w="1650"/>
      </w:tblGrid>
      <w:tr>
        <w:tblPrEx>
          <w:tblCellMar>
            <w:top w:w="0" w:type="dxa"/>
            <w:left w:w="108" w:type="dxa"/>
            <w:bottom w:w="0" w:type="dxa"/>
            <w:right w:w="108" w:type="dxa"/>
          </w:tblCellMar>
        </w:tblPrEx>
        <w:trPr>
          <w:trHeight w:val="510" w:hRule="atLeast"/>
        </w:trPr>
        <w:tc>
          <w:tcPr>
            <w:tcW w:w="9562" w:type="dxa"/>
            <w:gridSpan w:val="5"/>
            <w:tcBorders>
              <w:top w:val="nil"/>
              <w:left w:val="nil"/>
              <w:bottom w:val="nil"/>
              <w:right w:val="nil"/>
            </w:tcBorders>
            <w:noWrap/>
            <w:vAlign w:val="center"/>
          </w:tcPr>
          <w:p>
            <w:pPr>
              <w:widowControl/>
              <w:jc w:val="center"/>
              <w:rPr>
                <w:rFonts w:ascii="方正仿宋_GBK" w:hAnsi="华文中宋" w:eastAsia="方正仿宋_GBK" w:cs="宋体"/>
                <w:b/>
                <w:bCs/>
                <w:kern w:val="0"/>
                <w:sz w:val="36"/>
                <w:szCs w:val="36"/>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4年</w:t>
            </w:r>
            <w:r>
              <w:rPr>
                <w:rFonts w:hint="eastAsia" w:ascii="宋体" w:hAnsi="宋体" w:eastAsia="宋体" w:cs="宋体"/>
                <w:b/>
                <w:bCs/>
                <w:color w:val="000000"/>
                <w:kern w:val="0"/>
                <w:sz w:val="36"/>
                <w:szCs w:val="36"/>
              </w:rPr>
              <w:t>国有资本经营预算支</w:t>
            </w:r>
            <w:r>
              <w:rPr>
                <w:rFonts w:hint="eastAsia" w:ascii="宋体" w:hAnsi="宋体" w:eastAsia="宋体" w:cs="宋体"/>
                <w:b/>
                <w:bCs/>
                <w:color w:val="000000"/>
                <w:kern w:val="0"/>
                <w:sz w:val="36"/>
                <w:szCs w:val="36"/>
                <w:lang w:val="en-US" w:eastAsia="zh-CN"/>
              </w:rPr>
              <w:t>出</w:t>
            </w:r>
            <w:r>
              <w:rPr>
                <w:rFonts w:hint="eastAsia" w:ascii="宋体" w:hAnsi="宋体" w:eastAsia="宋体" w:cs="宋体"/>
                <w:b/>
                <w:bCs/>
                <w:color w:val="000000"/>
                <w:kern w:val="0"/>
                <w:sz w:val="36"/>
                <w:szCs w:val="36"/>
              </w:rPr>
              <w:t>表</w:t>
            </w:r>
          </w:p>
        </w:tc>
      </w:tr>
      <w:tr>
        <w:tblPrEx>
          <w:tblCellMar>
            <w:top w:w="0" w:type="dxa"/>
            <w:left w:w="108" w:type="dxa"/>
            <w:bottom w:w="0" w:type="dxa"/>
            <w:right w:w="108" w:type="dxa"/>
          </w:tblCellMar>
        </w:tblPrEx>
        <w:trPr>
          <w:trHeight w:val="375" w:hRule="atLeast"/>
        </w:trPr>
        <w:tc>
          <w:tcPr>
            <w:tcW w:w="5096" w:type="dxa"/>
            <w:gridSpan w:val="2"/>
            <w:tcBorders>
              <w:top w:val="nil"/>
              <w:left w:val="nil"/>
              <w:bottom w:val="nil"/>
              <w:right w:val="nil"/>
            </w:tcBorders>
            <w:noWrap/>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单位名称</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066005—宿州市埇桥区社会福利救助中心</w:t>
            </w:r>
          </w:p>
        </w:tc>
        <w:tc>
          <w:tcPr>
            <w:tcW w:w="1293" w:type="dxa"/>
            <w:tcBorders>
              <w:top w:val="nil"/>
              <w:left w:val="nil"/>
              <w:bottom w:val="nil"/>
              <w:right w:val="nil"/>
            </w:tcBorders>
            <w:noWrap/>
            <w:vAlign w:val="center"/>
          </w:tcPr>
          <w:p>
            <w:pPr>
              <w:widowControl/>
              <w:jc w:val="left"/>
              <w:rPr>
                <w:rFonts w:hint="eastAsia" w:ascii="宋体" w:hAnsi="宋体" w:eastAsia="宋体" w:cs="宋体"/>
                <w:kern w:val="0"/>
                <w:sz w:val="20"/>
                <w:szCs w:val="20"/>
              </w:rPr>
            </w:pPr>
          </w:p>
        </w:tc>
        <w:tc>
          <w:tcPr>
            <w:tcW w:w="1523" w:type="dxa"/>
            <w:tcBorders>
              <w:top w:val="nil"/>
              <w:left w:val="nil"/>
              <w:bottom w:val="nil"/>
              <w:right w:val="nil"/>
            </w:tcBorders>
            <w:noWrap/>
            <w:vAlign w:val="center"/>
          </w:tcPr>
          <w:p>
            <w:pPr>
              <w:widowControl/>
              <w:jc w:val="left"/>
              <w:rPr>
                <w:rFonts w:hint="eastAsia" w:ascii="宋体" w:hAnsi="宋体" w:eastAsia="宋体" w:cs="宋体"/>
                <w:kern w:val="0"/>
                <w:sz w:val="20"/>
                <w:szCs w:val="20"/>
              </w:rPr>
            </w:pPr>
          </w:p>
        </w:tc>
        <w:tc>
          <w:tcPr>
            <w:tcW w:w="1650" w:type="dxa"/>
            <w:tcBorders>
              <w:top w:val="nil"/>
              <w:left w:val="nil"/>
              <w:bottom w:val="nil"/>
              <w:right w:val="nil"/>
            </w:tcBorders>
            <w:noWrap/>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695" w:hRule="atLeast"/>
        </w:trPr>
        <w:tc>
          <w:tcPr>
            <w:tcW w:w="2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科目编码</w:t>
            </w:r>
          </w:p>
        </w:tc>
        <w:tc>
          <w:tcPr>
            <w:tcW w:w="25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科目名称</w:t>
            </w:r>
          </w:p>
        </w:tc>
        <w:tc>
          <w:tcPr>
            <w:tcW w:w="446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国有资本经营预算财政拨款支出</w:t>
            </w:r>
          </w:p>
        </w:tc>
      </w:tr>
      <w:tr>
        <w:tblPrEx>
          <w:tblCellMar>
            <w:top w:w="0" w:type="dxa"/>
            <w:left w:w="108" w:type="dxa"/>
            <w:bottom w:w="0" w:type="dxa"/>
            <w:right w:w="108" w:type="dxa"/>
          </w:tblCellMar>
        </w:tblPrEx>
        <w:trPr>
          <w:trHeight w:val="560" w:hRule="atLeast"/>
        </w:trPr>
        <w:tc>
          <w:tcPr>
            <w:tcW w:w="2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val="0"/>
                <w:kern w:val="0"/>
                <w:sz w:val="20"/>
                <w:szCs w:val="20"/>
              </w:rPr>
            </w:pPr>
          </w:p>
        </w:tc>
        <w:tc>
          <w:tcPr>
            <w:tcW w:w="2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val="0"/>
                <w:kern w:val="0"/>
                <w:sz w:val="20"/>
                <w:szCs w:val="20"/>
              </w:rPr>
            </w:pPr>
          </w:p>
        </w:tc>
        <w:tc>
          <w:tcPr>
            <w:tcW w:w="129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合计</w:t>
            </w:r>
          </w:p>
        </w:tc>
        <w:tc>
          <w:tcPr>
            <w:tcW w:w="152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基本支出</w:t>
            </w:r>
          </w:p>
        </w:tc>
        <w:tc>
          <w:tcPr>
            <w:tcW w:w="16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kern w:val="0"/>
                <w:sz w:val="20"/>
                <w:szCs w:val="20"/>
              </w:rPr>
            </w:pPr>
            <w:r>
              <w:rPr>
                <w:rFonts w:hint="eastAsia" w:ascii="宋体" w:hAnsi="宋体" w:eastAsia="宋体" w:cs="宋体"/>
                <w:b/>
                <w:bCs w:val="0"/>
                <w:kern w:val="0"/>
                <w:sz w:val="20"/>
                <w:szCs w:val="20"/>
              </w:rPr>
              <w:t>项目支出</w:t>
            </w:r>
          </w:p>
        </w:tc>
      </w:tr>
      <w:tr>
        <w:tblPrEx>
          <w:tblCellMar>
            <w:top w:w="0" w:type="dxa"/>
            <w:left w:w="108" w:type="dxa"/>
            <w:bottom w:w="0" w:type="dxa"/>
            <w:right w:w="108" w:type="dxa"/>
          </w:tblCellMar>
        </w:tblPrEx>
        <w:trPr>
          <w:trHeight w:val="665" w:hRule="atLeast"/>
        </w:trPr>
        <w:tc>
          <w:tcPr>
            <w:tcW w:w="2500"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596" w:type="dxa"/>
            <w:tcBorders>
              <w:top w:val="nil"/>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1293" w:type="dxa"/>
            <w:tcBorders>
              <w:top w:val="nil"/>
              <w:left w:val="nil"/>
              <w:bottom w:val="single" w:color="auto" w:sz="4" w:space="0"/>
              <w:right w:val="single" w:color="auto" w:sz="4" w:space="0"/>
            </w:tcBorders>
            <w:noWrap w:val="0"/>
            <w:vAlign w:val="center"/>
          </w:tcPr>
          <w:p>
            <w:pPr>
              <w:widowControl/>
              <w:jc w:val="righ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1523" w:type="dxa"/>
            <w:tcBorders>
              <w:top w:val="nil"/>
              <w:left w:val="nil"/>
              <w:bottom w:val="single" w:color="auto" w:sz="4" w:space="0"/>
              <w:right w:val="single" w:color="auto" w:sz="4" w:space="0"/>
            </w:tcBorders>
            <w:noWrap w:val="0"/>
            <w:vAlign w:val="center"/>
          </w:tcPr>
          <w:p>
            <w:pPr>
              <w:widowControl/>
              <w:jc w:val="righ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1650" w:type="dxa"/>
            <w:tcBorders>
              <w:top w:val="nil"/>
              <w:left w:val="nil"/>
              <w:bottom w:val="single" w:color="auto" w:sz="4" w:space="0"/>
              <w:right w:val="single" w:color="auto" w:sz="4" w:space="0"/>
            </w:tcBorders>
            <w:noWrap w:val="0"/>
            <w:vAlign w:val="center"/>
          </w:tcPr>
          <w:p>
            <w:pPr>
              <w:widowControl/>
              <w:jc w:val="righ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宋体" w:eastAsia="方正仿宋_GBK" w:cs="宋体"/>
          <w:kern w:val="0"/>
          <w:sz w:val="22"/>
          <w:szCs w:val="22"/>
          <w:lang w:val="en-US" w:eastAsia="zh-CN"/>
        </w:rPr>
      </w:pPr>
      <w:r>
        <w:rPr>
          <w:rFonts w:hint="eastAsia" w:ascii="宋体" w:hAnsi="宋体" w:eastAsia="宋体" w:cs="宋体"/>
          <w:sz w:val="20"/>
          <w:szCs w:val="20"/>
          <w:lang w:val="en-US" w:eastAsia="zh-CN"/>
        </w:rPr>
        <w:t>注:埇桥区社会福利救助中心没有国有资本经营预算拨款收入，也没有国有资本经营预算拨款安排的支出，故本表无数据。</w:t>
      </w:r>
    </w:p>
    <w:p>
      <w:pPr>
        <w:widowControl/>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表9</w:t>
      </w:r>
    </w:p>
    <w:tbl>
      <w:tblPr>
        <w:tblStyle w:val="6"/>
        <w:tblW w:w="10092" w:type="dxa"/>
        <w:tblInd w:w="96" w:type="dxa"/>
        <w:tblLayout w:type="fixed"/>
        <w:tblCellMar>
          <w:top w:w="0" w:type="dxa"/>
          <w:left w:w="108" w:type="dxa"/>
          <w:bottom w:w="0" w:type="dxa"/>
          <w:right w:w="108" w:type="dxa"/>
        </w:tblCellMar>
      </w:tblPr>
      <w:tblGrid>
        <w:gridCol w:w="1728"/>
        <w:gridCol w:w="1368"/>
        <w:gridCol w:w="912"/>
        <w:gridCol w:w="960"/>
        <w:gridCol w:w="468"/>
        <w:gridCol w:w="588"/>
        <w:gridCol w:w="588"/>
        <w:gridCol w:w="588"/>
        <w:gridCol w:w="552"/>
        <w:gridCol w:w="612"/>
        <w:gridCol w:w="552"/>
        <w:gridCol w:w="564"/>
        <w:gridCol w:w="612"/>
      </w:tblGrid>
      <w:tr>
        <w:tblPrEx>
          <w:tblCellMar>
            <w:top w:w="0" w:type="dxa"/>
            <w:left w:w="108" w:type="dxa"/>
            <w:bottom w:w="0" w:type="dxa"/>
            <w:right w:w="108" w:type="dxa"/>
          </w:tblCellMar>
        </w:tblPrEx>
        <w:trPr>
          <w:trHeight w:val="312" w:hRule="atLeast"/>
        </w:trPr>
        <w:tc>
          <w:tcPr>
            <w:tcW w:w="10092" w:type="dxa"/>
            <w:gridSpan w:val="13"/>
            <w:tcBorders>
              <w:top w:val="nil"/>
              <w:left w:val="nil"/>
              <w:bottom w:val="nil"/>
              <w:right w:val="nil"/>
            </w:tcBorders>
            <w:noWrap w:val="0"/>
            <w:vAlign w:val="center"/>
          </w:tcPr>
          <w:p>
            <w:pPr>
              <w:widowControl/>
              <w:jc w:val="center"/>
              <w:rPr>
                <w:rFonts w:ascii="方正仿宋_GBK" w:hAnsi="宋体" w:eastAsia="方正仿宋_GBK" w:cs="Arial"/>
                <w:b/>
                <w:bCs/>
                <w:color w:val="000000"/>
                <w:kern w:val="0"/>
                <w:sz w:val="40"/>
                <w:szCs w:val="40"/>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w:t>
            </w:r>
            <w:r>
              <w:rPr>
                <w:rFonts w:hint="eastAsia" w:ascii="宋体" w:hAnsi="宋体" w:eastAsia="宋体" w:cs="宋体"/>
                <w:b/>
                <w:bCs/>
                <w:color w:val="000000"/>
                <w:kern w:val="0"/>
                <w:sz w:val="36"/>
                <w:szCs w:val="36"/>
              </w:rPr>
              <w:t>年项目支出表</w:t>
            </w:r>
          </w:p>
        </w:tc>
      </w:tr>
      <w:tr>
        <w:tblPrEx>
          <w:tblCellMar>
            <w:top w:w="0" w:type="dxa"/>
            <w:left w:w="108" w:type="dxa"/>
            <w:bottom w:w="0" w:type="dxa"/>
            <w:right w:w="108" w:type="dxa"/>
          </w:tblCellMar>
        </w:tblPrEx>
        <w:trPr>
          <w:trHeight w:val="338" w:hRule="atLeast"/>
        </w:trPr>
        <w:tc>
          <w:tcPr>
            <w:tcW w:w="10092" w:type="dxa"/>
            <w:gridSpan w:val="13"/>
            <w:tcBorders>
              <w:top w:val="nil"/>
              <w:left w:val="nil"/>
              <w:bottom w:val="nil"/>
              <w:right w:val="nil"/>
            </w:tcBorders>
            <w:noWrap/>
            <w:vAlign w:val="center"/>
          </w:tcPr>
          <w:p>
            <w:pPr>
              <w:widowControl/>
              <w:jc w:val="both"/>
              <w:rPr>
                <w:rFonts w:hint="eastAsia" w:ascii="仿宋_GB2312" w:hAnsi="仿宋_GB2312" w:eastAsia="仿宋_GB2312" w:cs="仿宋_GB2312"/>
                <w:color w:val="000000"/>
                <w:kern w:val="0"/>
                <w:sz w:val="20"/>
                <w:szCs w:val="20"/>
              </w:rPr>
            </w:pPr>
            <w:r>
              <w:rPr>
                <w:rFonts w:hint="eastAsia" w:ascii="宋体" w:hAnsi="宋体" w:eastAsia="宋体" w:cs="宋体"/>
                <w:color w:val="000000"/>
                <w:kern w:val="0"/>
                <w:sz w:val="20"/>
                <w:szCs w:val="20"/>
              </w:rPr>
              <w:t>单位名称:066005-宿州市埇桥区社会福利救助中心</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项目名称</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项目单位</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合计</w:t>
            </w:r>
          </w:p>
        </w:tc>
        <w:tc>
          <w:tcPr>
            <w:tcW w:w="2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本年财政拨款</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财政拨款结转结余</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财政专户管理资金</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单位资金</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上级转移支付（提前下达一般公共预算）</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上级转移支付（提前下达政府性基金）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0"/>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一般公共预算</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政府性基金预算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国有资本经营收入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一般公共预算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政府性基金预算</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国有资本经营收入</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合计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597.65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597.65</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2024_残疾人补贴_重度残疾人护理补贴</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2.40</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2024_困难群众救助_流浪乞讨人员救助</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30.00</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2024_困难群众救助_特困人员救助供养</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291.64</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2024_困难群众救助_特殊儿童群体基本生活保障</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政府购买服务人员工资</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194.40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194.40</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rPr>
            </w:pPr>
          </w:p>
        </w:tc>
      </w:tr>
    </w:tbl>
    <w:p>
      <w:pPr>
        <w:widowControl/>
        <w:jc w:val="left"/>
        <w:rPr>
          <w:rFonts w:hint="eastAsia" w:ascii="方正仿宋_GBK" w:hAnsi="宋体" w:eastAsia="方正仿宋_GBK" w:cs="宋体"/>
          <w:kern w:val="0"/>
          <w:sz w:val="22"/>
          <w:szCs w:val="22"/>
          <w:lang w:val="en-US" w:eastAsia="zh-CN"/>
        </w:rPr>
      </w:pPr>
    </w:p>
    <w:p>
      <w:pPr>
        <w:widowControl/>
        <w:jc w:val="left"/>
        <w:rPr>
          <w:rFonts w:hint="eastAsia" w:ascii="宋体" w:hAnsi="宋体" w:eastAsia="宋体" w:cs="宋体"/>
          <w:sz w:val="22"/>
          <w:szCs w:val="22"/>
        </w:rPr>
      </w:pPr>
      <w:r>
        <w:rPr>
          <w:rFonts w:hint="eastAsia" w:ascii="宋体" w:hAnsi="宋体" w:eastAsia="宋体" w:cs="宋体"/>
          <w:kern w:val="0"/>
          <w:sz w:val="22"/>
          <w:szCs w:val="22"/>
          <w:lang w:val="en-US" w:eastAsia="zh-CN"/>
        </w:rPr>
        <w:t>表10</w:t>
      </w:r>
    </w:p>
    <w:tbl>
      <w:tblPr>
        <w:tblStyle w:val="6"/>
        <w:tblW w:w="9706" w:type="dxa"/>
        <w:tblInd w:w="108" w:type="dxa"/>
        <w:tblLayout w:type="fixed"/>
        <w:tblCellMar>
          <w:top w:w="0" w:type="dxa"/>
          <w:left w:w="108" w:type="dxa"/>
          <w:bottom w:w="0" w:type="dxa"/>
          <w:right w:w="108" w:type="dxa"/>
        </w:tblCellMar>
      </w:tblPr>
      <w:tblGrid>
        <w:gridCol w:w="2206"/>
        <w:gridCol w:w="1009"/>
        <w:gridCol w:w="1059"/>
        <w:gridCol w:w="1073"/>
        <w:gridCol w:w="934"/>
        <w:gridCol w:w="970"/>
        <w:gridCol w:w="1017"/>
        <w:gridCol w:w="1438"/>
      </w:tblGrid>
      <w:tr>
        <w:tblPrEx>
          <w:tblCellMar>
            <w:top w:w="0" w:type="dxa"/>
            <w:left w:w="108" w:type="dxa"/>
            <w:bottom w:w="0" w:type="dxa"/>
            <w:right w:w="108" w:type="dxa"/>
          </w:tblCellMar>
        </w:tblPrEx>
        <w:trPr>
          <w:trHeight w:val="715" w:hRule="atLeast"/>
        </w:trPr>
        <w:tc>
          <w:tcPr>
            <w:tcW w:w="9706" w:type="dxa"/>
            <w:gridSpan w:val="8"/>
            <w:tcBorders>
              <w:top w:val="nil"/>
              <w:left w:val="nil"/>
              <w:bottom w:val="nil"/>
              <w:right w:val="nil"/>
            </w:tcBorders>
            <w:noWrap/>
            <w:vAlign w:val="center"/>
          </w:tcPr>
          <w:p>
            <w:pPr>
              <w:widowControl/>
              <w:jc w:val="center"/>
              <w:rPr>
                <w:rFonts w:ascii="方正仿宋_GBK" w:hAnsi="华文中宋" w:eastAsia="方正仿宋_GBK" w:cs="宋体"/>
                <w:b/>
                <w:bCs/>
                <w:kern w:val="0"/>
                <w:sz w:val="36"/>
                <w:szCs w:val="36"/>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w:t>
            </w:r>
            <w:r>
              <w:rPr>
                <w:rFonts w:hint="eastAsia" w:ascii="宋体" w:hAnsi="宋体" w:eastAsia="宋体" w:cs="宋体"/>
                <w:b/>
                <w:bCs/>
                <w:color w:val="000000"/>
                <w:kern w:val="0"/>
                <w:sz w:val="36"/>
                <w:szCs w:val="36"/>
              </w:rPr>
              <w:t>年政府采购支出表</w:t>
            </w:r>
          </w:p>
        </w:tc>
      </w:tr>
      <w:tr>
        <w:tblPrEx>
          <w:tblCellMar>
            <w:top w:w="0" w:type="dxa"/>
            <w:left w:w="108" w:type="dxa"/>
            <w:bottom w:w="0" w:type="dxa"/>
            <w:right w:w="108" w:type="dxa"/>
          </w:tblCellMar>
        </w:tblPrEx>
        <w:trPr>
          <w:trHeight w:val="490" w:hRule="atLeast"/>
        </w:trPr>
        <w:tc>
          <w:tcPr>
            <w:tcW w:w="5347" w:type="dxa"/>
            <w:gridSpan w:val="4"/>
            <w:tcBorders>
              <w:top w:val="nil"/>
              <w:left w:val="nil"/>
              <w:bottom w:val="nil"/>
              <w:right w:val="nil"/>
            </w:tcBorders>
            <w:noWrap/>
            <w:vAlign w:val="center"/>
          </w:tcPr>
          <w:p>
            <w:pPr>
              <w:widowControl/>
              <w:jc w:val="both"/>
              <w:rPr>
                <w:rFonts w:hint="eastAsia" w:ascii="宋体" w:hAnsi="宋体" w:eastAsia="宋体" w:cs="宋体"/>
                <w:b/>
                <w:bCs/>
                <w:color w:val="000000"/>
                <w:kern w:val="0"/>
                <w:sz w:val="20"/>
                <w:szCs w:val="20"/>
              </w:rPr>
            </w:pPr>
            <w:r>
              <w:rPr>
                <w:rFonts w:hint="eastAsia" w:ascii="宋体" w:hAnsi="宋体" w:eastAsia="宋体" w:cs="宋体"/>
                <w:color w:val="000000"/>
                <w:kern w:val="0"/>
                <w:sz w:val="20"/>
                <w:szCs w:val="20"/>
              </w:rPr>
              <w:t>单位名称</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066005—宿州市埇桥区社会福利救助中心</w:t>
            </w:r>
          </w:p>
        </w:tc>
        <w:tc>
          <w:tcPr>
            <w:tcW w:w="934" w:type="dxa"/>
            <w:tcBorders>
              <w:top w:val="nil"/>
              <w:left w:val="nil"/>
              <w:bottom w:val="nil"/>
              <w:right w:val="nil"/>
            </w:tcBorders>
            <w:noWrap/>
            <w:vAlign w:val="center"/>
          </w:tcPr>
          <w:p>
            <w:pPr>
              <w:widowControl/>
              <w:jc w:val="center"/>
              <w:rPr>
                <w:rFonts w:hint="eastAsia" w:ascii="宋体" w:hAnsi="宋体" w:eastAsia="宋体" w:cs="宋体"/>
                <w:b/>
                <w:bCs/>
                <w:color w:val="000000"/>
                <w:kern w:val="0"/>
                <w:sz w:val="20"/>
                <w:szCs w:val="20"/>
              </w:rPr>
            </w:pPr>
          </w:p>
        </w:tc>
        <w:tc>
          <w:tcPr>
            <w:tcW w:w="970" w:type="dxa"/>
            <w:tcBorders>
              <w:top w:val="nil"/>
              <w:left w:val="nil"/>
              <w:bottom w:val="nil"/>
              <w:right w:val="nil"/>
            </w:tcBorders>
            <w:noWrap/>
            <w:vAlign w:val="center"/>
          </w:tcPr>
          <w:p>
            <w:pPr>
              <w:widowControl/>
              <w:jc w:val="center"/>
              <w:rPr>
                <w:rFonts w:hint="eastAsia" w:ascii="宋体" w:hAnsi="宋体" w:eastAsia="宋体" w:cs="宋体"/>
                <w:b/>
                <w:bCs/>
                <w:color w:val="000000"/>
                <w:kern w:val="0"/>
                <w:sz w:val="20"/>
                <w:szCs w:val="20"/>
              </w:rPr>
            </w:pPr>
          </w:p>
        </w:tc>
        <w:tc>
          <w:tcPr>
            <w:tcW w:w="1017" w:type="dxa"/>
            <w:tcBorders>
              <w:top w:val="nil"/>
              <w:left w:val="nil"/>
              <w:bottom w:val="nil"/>
              <w:right w:val="nil"/>
            </w:tcBorders>
            <w:noWrap/>
            <w:vAlign w:val="center"/>
          </w:tcPr>
          <w:p>
            <w:pPr>
              <w:widowControl/>
              <w:jc w:val="right"/>
              <w:rPr>
                <w:rFonts w:hint="eastAsia" w:ascii="宋体" w:hAnsi="宋体" w:eastAsia="宋体" w:cs="宋体"/>
                <w:color w:val="000000"/>
                <w:kern w:val="0"/>
                <w:sz w:val="20"/>
                <w:szCs w:val="20"/>
              </w:rPr>
            </w:pPr>
          </w:p>
        </w:tc>
        <w:tc>
          <w:tcPr>
            <w:tcW w:w="1438" w:type="dxa"/>
            <w:tcBorders>
              <w:top w:val="nil"/>
              <w:left w:val="nil"/>
              <w:bottom w:val="nil"/>
              <w:right w:val="nil"/>
            </w:tcBorders>
            <w:noWrap/>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1018" w:hRule="atLeast"/>
        </w:trPr>
        <w:tc>
          <w:tcPr>
            <w:tcW w:w="2206" w:type="dxa"/>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单位名称/支出项目/政府采购品目</w:t>
            </w:r>
          </w:p>
        </w:tc>
        <w:tc>
          <w:tcPr>
            <w:tcW w:w="10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一般公共预算</w:t>
            </w:r>
          </w:p>
        </w:tc>
        <w:tc>
          <w:tcPr>
            <w:tcW w:w="1073"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政府性基金预算</w:t>
            </w:r>
          </w:p>
        </w:tc>
        <w:tc>
          <w:tcPr>
            <w:tcW w:w="934"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国有资本经营预算</w:t>
            </w:r>
          </w:p>
        </w:tc>
        <w:tc>
          <w:tcPr>
            <w:tcW w:w="97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社会保险基金预算</w:t>
            </w:r>
          </w:p>
        </w:tc>
        <w:tc>
          <w:tcPr>
            <w:tcW w:w="101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财政专户管理资金</w:t>
            </w:r>
          </w:p>
        </w:tc>
        <w:tc>
          <w:tcPr>
            <w:tcW w:w="143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单位资金</w:t>
            </w:r>
          </w:p>
        </w:tc>
      </w:tr>
      <w:tr>
        <w:tblPrEx>
          <w:tblCellMar>
            <w:top w:w="0" w:type="dxa"/>
            <w:left w:w="108" w:type="dxa"/>
            <w:bottom w:w="0" w:type="dxa"/>
            <w:right w:w="108" w:type="dxa"/>
          </w:tblCellMar>
        </w:tblPrEx>
        <w:trPr>
          <w:trHeight w:val="634" w:hRule="atLeast"/>
        </w:trPr>
        <w:tc>
          <w:tcPr>
            <w:tcW w:w="22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09"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59"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73"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34"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970"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017" w:type="dxa"/>
            <w:tcBorders>
              <w:top w:val="nil"/>
              <w:left w:val="nil"/>
              <w:bottom w:val="single" w:color="000000" w:sz="4" w:space="0"/>
              <w:right w:val="single" w:color="000000" w:sz="4" w:space="0"/>
            </w:tcBorders>
            <w:noWrap w:val="0"/>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1438" w:type="dxa"/>
            <w:tcBorders>
              <w:top w:val="nil"/>
              <w:left w:val="nil"/>
              <w:bottom w:val="single" w:color="000000" w:sz="4" w:space="0"/>
              <w:right w:val="single" w:color="000000" w:sz="4" w:space="0"/>
            </w:tcBorders>
            <w:noWrap/>
            <w:vAlign w:val="center"/>
          </w:tcPr>
          <w:p>
            <w:pPr>
              <w:widowControl/>
              <w:jc w:val="righ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宋体" w:cs="仿宋_GB2312"/>
          <w:sz w:val="28"/>
          <w:szCs w:val="32"/>
          <w:lang w:eastAsia="zh-CN"/>
        </w:rPr>
      </w:pPr>
      <w:r>
        <w:rPr>
          <w:rFonts w:hint="eastAsia" w:ascii="宋体" w:hAnsi="宋体" w:eastAsia="宋体" w:cs="宋体"/>
          <w:sz w:val="20"/>
          <w:szCs w:val="20"/>
        </w:rPr>
        <w:t>注:</w:t>
      </w:r>
      <w:r>
        <w:rPr>
          <w:rFonts w:hint="eastAsia" w:ascii="宋体" w:hAnsi="宋体" w:eastAsia="宋体" w:cs="宋体"/>
          <w:sz w:val="20"/>
          <w:szCs w:val="20"/>
          <w:lang w:eastAsia="zh-CN"/>
        </w:rPr>
        <w:t>埇桥区</w:t>
      </w:r>
      <w:r>
        <w:rPr>
          <w:rFonts w:hint="eastAsia" w:ascii="宋体" w:hAnsi="宋体" w:eastAsia="宋体" w:cs="宋体"/>
          <w:sz w:val="20"/>
          <w:szCs w:val="20"/>
          <w:lang w:val="en-US" w:eastAsia="zh-CN"/>
        </w:rPr>
        <w:t>社会福利救助中心</w:t>
      </w:r>
      <w:r>
        <w:rPr>
          <w:rFonts w:hint="eastAsia" w:ascii="宋体" w:hAnsi="宋体" w:eastAsia="宋体" w:cs="宋体"/>
          <w:sz w:val="20"/>
          <w:szCs w:val="20"/>
        </w:rPr>
        <w:t>没有使用一般公共预算拨款、政府性基金预算拨款、国有资本经营预算拨款、财政专户管理资金和单位资金安排的政府采购支出，故本表无数据</w:t>
      </w:r>
      <w:r>
        <w:rPr>
          <w:rFonts w:hint="eastAsia" w:ascii="宋体" w:hAnsi="宋体" w:eastAsia="宋体" w:cs="宋体"/>
          <w:sz w:val="20"/>
          <w:szCs w:val="20"/>
          <w:lang w:eastAsia="zh-CN"/>
        </w:rPr>
        <w:t>。</w:t>
      </w:r>
    </w:p>
    <w:p>
      <w:pPr>
        <w:widowControl/>
        <w:jc w:val="left"/>
        <w:rPr>
          <w:rFonts w:hint="eastAsia" w:ascii="方正仿宋_GBK" w:hAnsi="宋体" w:eastAsia="方正仿宋_GBK" w:cs="宋体"/>
          <w:kern w:val="0"/>
          <w:sz w:val="22"/>
          <w:szCs w:val="22"/>
          <w:lang w:val="en-US" w:eastAsia="zh-CN"/>
        </w:rPr>
      </w:pPr>
    </w:p>
    <w:p>
      <w:pPr>
        <w:widowControl/>
        <w:jc w:val="left"/>
        <w:rPr>
          <w:rFonts w:hint="eastAsia" w:ascii="宋体" w:hAnsi="宋体" w:eastAsia="宋体" w:cs="宋体"/>
          <w:sz w:val="22"/>
          <w:szCs w:val="22"/>
        </w:rPr>
      </w:pPr>
      <w:r>
        <w:rPr>
          <w:rFonts w:hint="eastAsia" w:ascii="宋体" w:hAnsi="宋体" w:eastAsia="宋体" w:cs="宋体"/>
          <w:kern w:val="0"/>
          <w:sz w:val="22"/>
          <w:szCs w:val="22"/>
          <w:lang w:val="en-US" w:eastAsia="zh-CN"/>
        </w:rPr>
        <w:t>表11</w:t>
      </w:r>
    </w:p>
    <w:tbl>
      <w:tblPr>
        <w:tblStyle w:val="6"/>
        <w:tblW w:w="9850" w:type="dxa"/>
        <w:tblInd w:w="64" w:type="dxa"/>
        <w:tblLayout w:type="fixed"/>
        <w:tblCellMar>
          <w:top w:w="0" w:type="dxa"/>
          <w:left w:w="108" w:type="dxa"/>
          <w:bottom w:w="0" w:type="dxa"/>
          <w:right w:w="108" w:type="dxa"/>
        </w:tblCellMar>
      </w:tblPr>
      <w:tblGrid>
        <w:gridCol w:w="640"/>
        <w:gridCol w:w="672"/>
        <w:gridCol w:w="688"/>
        <w:gridCol w:w="650"/>
        <w:gridCol w:w="725"/>
        <w:gridCol w:w="1037"/>
        <w:gridCol w:w="996"/>
        <w:gridCol w:w="1217"/>
        <w:gridCol w:w="1112"/>
        <w:gridCol w:w="1063"/>
        <w:gridCol w:w="1050"/>
      </w:tblGrid>
      <w:tr>
        <w:tblPrEx>
          <w:tblCellMar>
            <w:top w:w="0" w:type="dxa"/>
            <w:left w:w="108" w:type="dxa"/>
            <w:bottom w:w="0" w:type="dxa"/>
            <w:right w:w="108" w:type="dxa"/>
          </w:tblCellMar>
        </w:tblPrEx>
        <w:trPr>
          <w:trHeight w:val="600" w:hRule="atLeast"/>
        </w:trPr>
        <w:tc>
          <w:tcPr>
            <w:tcW w:w="9850" w:type="dxa"/>
            <w:gridSpan w:val="11"/>
            <w:tcBorders>
              <w:top w:val="nil"/>
              <w:left w:val="nil"/>
              <w:bottom w:val="nil"/>
              <w:right w:val="nil"/>
            </w:tcBorders>
            <w:noWrap/>
            <w:vAlign w:val="center"/>
          </w:tcPr>
          <w:p>
            <w:pPr>
              <w:widowControl/>
              <w:jc w:val="center"/>
              <w:rPr>
                <w:rFonts w:ascii="方正仿宋_GBK" w:hAnsi="宋体" w:eastAsia="方正仿宋_GBK" w:cs="Arial"/>
                <w:b/>
                <w:bCs/>
                <w:color w:val="000000"/>
                <w:kern w:val="0"/>
                <w:sz w:val="36"/>
                <w:szCs w:val="36"/>
              </w:rPr>
            </w:pPr>
            <w:r>
              <w:rPr>
                <w:rFonts w:hint="eastAsia" w:ascii="宋体" w:hAnsi="宋体" w:eastAsia="宋体" w:cs="宋体"/>
                <w:b/>
                <w:bCs/>
                <w:color w:val="000000"/>
                <w:kern w:val="0"/>
                <w:sz w:val="36"/>
                <w:szCs w:val="36"/>
              </w:rPr>
              <w:t>202</w:t>
            </w:r>
            <w:r>
              <w:rPr>
                <w:rFonts w:hint="eastAsia" w:ascii="宋体" w:hAnsi="宋体" w:eastAsia="宋体" w:cs="宋体"/>
                <w:b/>
                <w:bCs/>
                <w:color w:val="000000"/>
                <w:kern w:val="0"/>
                <w:sz w:val="36"/>
                <w:szCs w:val="36"/>
                <w:lang w:val="en-US" w:eastAsia="zh-CN"/>
              </w:rPr>
              <w:t>4</w:t>
            </w:r>
            <w:r>
              <w:rPr>
                <w:rFonts w:hint="eastAsia" w:ascii="宋体" w:hAnsi="宋体" w:eastAsia="宋体" w:cs="宋体"/>
                <w:b/>
                <w:bCs/>
                <w:color w:val="000000"/>
                <w:kern w:val="0"/>
                <w:sz w:val="36"/>
                <w:szCs w:val="36"/>
              </w:rPr>
              <w:t>年政府购买服务支出表</w:t>
            </w:r>
          </w:p>
        </w:tc>
      </w:tr>
      <w:tr>
        <w:tblPrEx>
          <w:tblCellMar>
            <w:top w:w="0" w:type="dxa"/>
            <w:left w:w="108" w:type="dxa"/>
            <w:bottom w:w="0" w:type="dxa"/>
            <w:right w:w="108" w:type="dxa"/>
          </w:tblCellMar>
        </w:tblPrEx>
        <w:trPr>
          <w:trHeight w:val="390" w:hRule="atLeast"/>
        </w:trPr>
        <w:tc>
          <w:tcPr>
            <w:tcW w:w="5408" w:type="dxa"/>
            <w:gridSpan w:val="7"/>
            <w:tcBorders>
              <w:top w:val="nil"/>
              <w:left w:val="nil"/>
              <w:bottom w:val="nil"/>
              <w:right w:val="nil"/>
            </w:tcBorders>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单位名称</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066005—宿州市埇桥区社会福利救助中心</w:t>
            </w:r>
          </w:p>
        </w:tc>
        <w:tc>
          <w:tcPr>
            <w:tcW w:w="1217" w:type="dxa"/>
            <w:tcBorders>
              <w:top w:val="nil"/>
              <w:left w:val="nil"/>
              <w:bottom w:val="nil"/>
              <w:right w:val="nil"/>
            </w:tcBorders>
            <w:noWrap/>
            <w:vAlign w:val="bottom"/>
          </w:tcPr>
          <w:p>
            <w:pPr>
              <w:widowControl/>
              <w:jc w:val="left"/>
              <w:rPr>
                <w:rFonts w:hint="eastAsia" w:ascii="宋体" w:hAnsi="宋体" w:eastAsia="宋体" w:cs="宋体"/>
                <w:color w:val="000000"/>
                <w:kern w:val="0"/>
                <w:sz w:val="20"/>
                <w:szCs w:val="20"/>
              </w:rPr>
            </w:pPr>
          </w:p>
        </w:tc>
        <w:tc>
          <w:tcPr>
            <w:tcW w:w="1112" w:type="dxa"/>
            <w:tcBorders>
              <w:top w:val="nil"/>
              <w:left w:val="nil"/>
              <w:bottom w:val="nil"/>
              <w:right w:val="nil"/>
            </w:tcBorders>
            <w:noWrap/>
            <w:vAlign w:val="bottom"/>
          </w:tcPr>
          <w:p>
            <w:pPr>
              <w:widowControl/>
              <w:jc w:val="left"/>
              <w:rPr>
                <w:rFonts w:hint="eastAsia" w:ascii="宋体" w:hAnsi="宋体" w:eastAsia="宋体" w:cs="宋体"/>
                <w:color w:val="000000"/>
                <w:kern w:val="0"/>
                <w:sz w:val="20"/>
                <w:szCs w:val="20"/>
              </w:rPr>
            </w:pPr>
          </w:p>
        </w:tc>
        <w:tc>
          <w:tcPr>
            <w:tcW w:w="1063" w:type="dxa"/>
            <w:tcBorders>
              <w:top w:val="nil"/>
              <w:left w:val="nil"/>
              <w:bottom w:val="nil"/>
              <w:right w:val="nil"/>
            </w:tcBorders>
            <w:noWrap/>
            <w:vAlign w:val="bottom"/>
          </w:tcPr>
          <w:p>
            <w:pPr>
              <w:widowControl/>
              <w:jc w:val="left"/>
              <w:rPr>
                <w:rFonts w:hint="eastAsia" w:ascii="宋体" w:hAnsi="宋体" w:eastAsia="宋体" w:cs="宋体"/>
                <w:color w:val="000000"/>
                <w:kern w:val="0"/>
                <w:sz w:val="20"/>
                <w:szCs w:val="20"/>
              </w:rPr>
            </w:pPr>
          </w:p>
        </w:tc>
        <w:tc>
          <w:tcPr>
            <w:tcW w:w="1050" w:type="dxa"/>
            <w:tcBorders>
              <w:top w:val="nil"/>
              <w:left w:val="nil"/>
              <w:bottom w:val="nil"/>
              <w:right w:val="nil"/>
            </w:tcBorders>
            <w:noWrap/>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349" w:hRule="atLeast"/>
        </w:trPr>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单位名称</w:t>
            </w:r>
          </w:p>
        </w:tc>
        <w:tc>
          <w:tcPr>
            <w:tcW w:w="672"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68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一级目录代码</w:t>
            </w:r>
          </w:p>
        </w:tc>
        <w:tc>
          <w:tcPr>
            <w:tcW w:w="6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一级目录名称</w:t>
            </w:r>
          </w:p>
        </w:tc>
        <w:tc>
          <w:tcPr>
            <w:tcW w:w="72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二级目录代码</w:t>
            </w:r>
          </w:p>
        </w:tc>
        <w:tc>
          <w:tcPr>
            <w:tcW w:w="103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二级目录名称</w:t>
            </w:r>
          </w:p>
        </w:tc>
        <w:tc>
          <w:tcPr>
            <w:tcW w:w="99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三级目录代码</w:t>
            </w:r>
          </w:p>
        </w:tc>
        <w:tc>
          <w:tcPr>
            <w:tcW w:w="121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三级目录名称</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政府购买服务内容</w:t>
            </w: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购买数量</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购买金额</w:t>
            </w:r>
          </w:p>
        </w:tc>
      </w:tr>
      <w:tr>
        <w:tblPrEx>
          <w:tblCellMar>
            <w:top w:w="0" w:type="dxa"/>
            <w:left w:w="108" w:type="dxa"/>
            <w:bottom w:w="0" w:type="dxa"/>
            <w:right w:w="108" w:type="dxa"/>
          </w:tblCellMar>
        </w:tblPrEx>
        <w:trPr>
          <w:trHeight w:val="900" w:hRule="atLeast"/>
        </w:trPr>
        <w:tc>
          <w:tcPr>
            <w:tcW w:w="640" w:type="dxa"/>
            <w:tcBorders>
              <w:top w:val="nil"/>
              <w:left w:val="single" w:color="000000" w:sz="4" w:space="0"/>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672"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688"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650"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725"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1037"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996"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1217" w:type="dxa"/>
            <w:tcBorders>
              <w:top w:val="single" w:color="000000" w:sz="4" w:space="0"/>
              <w:left w:val="nil"/>
              <w:bottom w:val="single" w:color="000000" w:sz="4" w:space="0"/>
              <w:right w:val="single" w:color="000000" w:sz="4" w:space="0"/>
            </w:tcBorders>
            <w:noWrap w:val="0"/>
            <w:vAlign w:val="center"/>
          </w:tcPr>
          <w:p>
            <w:pPr>
              <w:widowControl/>
              <w:jc w:val="center"/>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1112" w:type="dxa"/>
            <w:tcBorders>
              <w:top w:val="nil"/>
              <w:left w:val="nil"/>
              <w:bottom w:val="single" w:color="000000" w:sz="4" w:space="0"/>
              <w:right w:val="single" w:color="000000" w:sz="4" w:space="0"/>
            </w:tcBorders>
            <w:noWrap w:val="0"/>
            <w:vAlign w:val="center"/>
          </w:tcPr>
          <w:p>
            <w:pPr>
              <w:widowControl/>
              <w:jc w:val="lef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1063" w:type="dxa"/>
            <w:tcBorders>
              <w:top w:val="nil"/>
              <w:left w:val="nil"/>
              <w:bottom w:val="single" w:color="000000" w:sz="4" w:space="0"/>
              <w:right w:val="single" w:color="000000" w:sz="4" w:space="0"/>
            </w:tcBorders>
            <w:noWrap/>
            <w:vAlign w:val="center"/>
          </w:tcPr>
          <w:p>
            <w:pPr>
              <w:widowControl/>
              <w:jc w:val="center"/>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c>
          <w:tcPr>
            <w:tcW w:w="1050" w:type="dxa"/>
            <w:tcBorders>
              <w:top w:val="nil"/>
              <w:left w:val="nil"/>
              <w:bottom w:val="single" w:color="000000" w:sz="4" w:space="0"/>
              <w:right w:val="single" w:color="000000" w:sz="4" w:space="0"/>
            </w:tcBorders>
            <w:noWrap/>
            <w:vAlign w:val="center"/>
          </w:tcPr>
          <w:p>
            <w:pPr>
              <w:widowControl/>
              <w:jc w:val="right"/>
              <w:rPr>
                <w:rFonts w:ascii="方正仿宋_GBK" w:hAnsi="宋体" w:eastAsia="方正仿宋_GBK" w:cs="Arial"/>
                <w:color w:val="000000"/>
                <w:kern w:val="0"/>
                <w:sz w:val="20"/>
                <w:szCs w:val="20"/>
              </w:rPr>
            </w:pPr>
            <w:r>
              <w:rPr>
                <w:rFonts w:hint="eastAsia" w:ascii="方正仿宋_GBK" w:hAnsi="宋体" w:eastAsia="方正仿宋_GBK" w:cs="Arial"/>
                <w:color w:val="00000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rPr>
      </w:pPr>
      <w:r>
        <w:rPr>
          <w:rFonts w:hint="eastAsia" w:ascii="宋体" w:hAnsi="宋体" w:eastAsia="宋体" w:cs="宋体"/>
          <w:sz w:val="20"/>
          <w:szCs w:val="20"/>
        </w:rPr>
        <w:t>注:</w:t>
      </w:r>
      <w:r>
        <w:rPr>
          <w:rFonts w:hint="eastAsia" w:ascii="宋体" w:hAnsi="宋体" w:eastAsia="宋体" w:cs="宋体"/>
          <w:sz w:val="20"/>
          <w:szCs w:val="20"/>
          <w:lang w:eastAsia="zh-CN"/>
        </w:rPr>
        <w:t>埇桥区</w:t>
      </w:r>
      <w:r>
        <w:rPr>
          <w:rFonts w:hint="eastAsia" w:ascii="宋体" w:hAnsi="宋体" w:eastAsia="宋体" w:cs="宋体"/>
          <w:sz w:val="20"/>
          <w:szCs w:val="20"/>
          <w:lang w:val="en-US" w:eastAsia="zh-CN"/>
        </w:rPr>
        <w:t>社会福利救助中心</w:t>
      </w:r>
      <w:r>
        <w:rPr>
          <w:rFonts w:hint="eastAsia" w:ascii="宋体" w:hAnsi="宋体" w:eastAsia="宋体" w:cs="宋体"/>
          <w:sz w:val="20"/>
          <w:szCs w:val="20"/>
        </w:rPr>
        <w:t>没有安排政府购买服务支出，故本表无数据。</w:t>
      </w:r>
    </w:p>
    <w:p>
      <w:pPr>
        <w:pStyle w:val="2"/>
        <w:ind w:left="0" w:leftChars="0" w:firstLine="0" w:firstLineChars="0"/>
        <w:rPr>
          <w:rFonts w:hint="eastAsia"/>
        </w:rPr>
      </w:pPr>
    </w:p>
    <w:p>
      <w:pPr>
        <w:spacing w:line="600" w:lineRule="exact"/>
        <w:jc w:val="center"/>
        <w:rPr>
          <w:rFonts w:hint="eastAsia" w:ascii="方正大标宋_GBK" w:hAnsi="Times New Roman" w:eastAsia="方正大标宋_GBK" w:cs="方正仿宋_GBK"/>
          <w:sz w:val="36"/>
          <w:szCs w:val="36"/>
        </w:rPr>
      </w:pPr>
      <w:r>
        <w:rPr>
          <w:rFonts w:hint="eastAsia" w:ascii="黑体" w:hAnsi="黑体" w:eastAsia="黑体" w:cs="黑体"/>
          <w:sz w:val="32"/>
          <w:szCs w:val="32"/>
        </w:rPr>
        <w:t>第三部分</w:t>
      </w:r>
      <w:r>
        <w:rPr>
          <w:rFonts w:hint="eastAsia" w:ascii="黑体" w:hAnsi="黑体" w:eastAsia="黑体" w:cs="黑体"/>
          <w:sz w:val="32"/>
          <w:szCs w:val="32"/>
          <w:lang w:val="en-US" w:eastAsia="zh-CN"/>
        </w:rPr>
        <w:t xml:space="preserve"> </w:t>
      </w: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eastAsia" w:ascii="黑体" w:hAnsi="黑体" w:eastAsia="黑体" w:cs="黑体"/>
          <w:sz w:val="32"/>
          <w:szCs w:val="32"/>
        </w:rPr>
        <w:t>年单位预算情况说明</w:t>
      </w:r>
    </w:p>
    <w:p>
      <w:pPr>
        <w:spacing w:line="600" w:lineRule="exact"/>
        <w:ind w:firstLine="640" w:firstLineChars="200"/>
        <w:jc w:val="both"/>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一、关于</w:t>
      </w:r>
      <w:r>
        <w:rPr>
          <w:rFonts w:hint="default" w:ascii="方正小标宋_GBK" w:hAnsi="Times New Roman" w:eastAsia="方正小标宋_GBK" w:cs="方正仿宋_GBK"/>
          <w:sz w:val="32"/>
          <w:szCs w:val="32"/>
        </w:rPr>
        <w:t>202</w:t>
      </w:r>
      <w:r>
        <w:rPr>
          <w:rFonts w:hint="default" w:ascii="方正小标宋_GBK" w:hAnsi="Times New Roman" w:eastAsia="方正小标宋_GBK" w:cs="方正仿宋_GBK"/>
          <w:sz w:val="32"/>
          <w:szCs w:val="32"/>
          <w:lang w:val="en-US" w:eastAsia="zh-CN"/>
        </w:rPr>
        <w:t>4</w:t>
      </w:r>
      <w:r>
        <w:rPr>
          <w:rFonts w:hint="eastAsia" w:ascii="方正小标宋_GBK" w:hAnsi="Times New Roman" w:eastAsia="方正小标宋_GBK" w:cs="方正仿宋_GBK"/>
          <w:sz w:val="32"/>
          <w:szCs w:val="32"/>
        </w:rPr>
        <w:t>年财政拨款收支总表的说明</w:t>
      </w:r>
    </w:p>
    <w:p>
      <w:pPr>
        <w:spacing w:line="600" w:lineRule="exact"/>
        <w:ind w:firstLine="640" w:firstLineChars="200"/>
        <w:jc w:val="both"/>
        <w:rPr>
          <w:rFonts w:hint="eastAsia" w:ascii="宋体" w:hAnsi="宋体" w:eastAsia="宋体" w:cs="宋体"/>
          <w:color w:val="FF0000"/>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年财政拨款收支预算</w:t>
      </w:r>
      <w:r>
        <w:rPr>
          <w:rFonts w:hint="eastAsia" w:ascii="仿宋" w:hAnsi="仿宋" w:eastAsia="仿宋" w:cs="仿宋"/>
          <w:sz w:val="32"/>
          <w:szCs w:val="32"/>
          <w:lang w:val="en-US" w:eastAsia="zh-CN"/>
        </w:rPr>
        <w:t>877.51</w:t>
      </w:r>
      <w:r>
        <w:rPr>
          <w:rFonts w:hint="eastAsia" w:ascii="仿宋" w:hAnsi="仿宋" w:eastAsia="仿宋" w:cs="仿宋"/>
          <w:sz w:val="32"/>
          <w:szCs w:val="32"/>
        </w:rPr>
        <w:t>万元。</w:t>
      </w:r>
      <w:r>
        <w:rPr>
          <w:rFonts w:hint="eastAsia" w:ascii="仿宋" w:hAnsi="仿宋" w:eastAsia="仿宋" w:cs="仿宋"/>
          <w:sz w:val="32"/>
          <w:szCs w:val="32"/>
          <w:lang w:val="en-US" w:eastAsia="zh-CN"/>
        </w:rPr>
        <w:t>收入按资金来源分全部为一般公共预算拨款877.51</w:t>
      </w:r>
      <w:r>
        <w:rPr>
          <w:rFonts w:hint="eastAsia" w:ascii="仿宋" w:hAnsi="仿宋" w:eastAsia="仿宋" w:cs="仿宋"/>
          <w:sz w:val="32"/>
          <w:szCs w:val="32"/>
        </w:rPr>
        <w:t>万元；</w:t>
      </w:r>
      <w:r>
        <w:rPr>
          <w:rFonts w:hint="eastAsia" w:ascii="仿宋" w:hAnsi="仿宋" w:eastAsia="仿宋" w:cs="仿宋"/>
          <w:color w:val="auto"/>
          <w:sz w:val="32"/>
          <w:szCs w:val="32"/>
        </w:rPr>
        <w:t>按资金年度分全部为当年财政拨款收入</w:t>
      </w:r>
      <w:r>
        <w:rPr>
          <w:rFonts w:hint="eastAsia" w:ascii="仿宋" w:hAnsi="仿宋" w:eastAsia="仿宋" w:cs="仿宋"/>
          <w:color w:val="auto"/>
          <w:sz w:val="32"/>
          <w:szCs w:val="32"/>
          <w:lang w:val="en-US" w:eastAsia="zh-CN"/>
        </w:rPr>
        <w:t>877.51</w:t>
      </w:r>
      <w:r>
        <w:rPr>
          <w:rFonts w:hint="eastAsia" w:ascii="仿宋" w:hAnsi="仿宋" w:eastAsia="仿宋" w:cs="仿宋"/>
          <w:color w:val="auto"/>
          <w:sz w:val="32"/>
          <w:szCs w:val="32"/>
        </w:rPr>
        <w:t>万元</w:t>
      </w:r>
      <w:r>
        <w:rPr>
          <w:rFonts w:hint="eastAsia" w:ascii="仿宋" w:hAnsi="仿宋" w:eastAsia="仿宋" w:cs="仿宋"/>
          <w:sz w:val="32"/>
          <w:szCs w:val="32"/>
        </w:rPr>
        <w:t>。支出按功能分</w:t>
      </w:r>
      <w:bookmarkStart w:id="1" w:name="_GoBack"/>
      <w:bookmarkEnd w:id="1"/>
      <w:r>
        <w:rPr>
          <w:rFonts w:hint="eastAsia" w:ascii="仿宋" w:hAnsi="仿宋" w:eastAsia="仿宋" w:cs="仿宋"/>
          <w:sz w:val="32"/>
          <w:szCs w:val="32"/>
        </w:rPr>
        <w:t>类分为:社会保障和就业支出</w:t>
      </w:r>
      <w:r>
        <w:rPr>
          <w:rFonts w:hint="eastAsia" w:ascii="仿宋" w:hAnsi="仿宋" w:eastAsia="仿宋" w:cs="仿宋"/>
          <w:sz w:val="32"/>
          <w:szCs w:val="32"/>
          <w:lang w:val="en-US" w:eastAsia="zh-CN"/>
        </w:rPr>
        <w:t>845.31</w:t>
      </w:r>
      <w:r>
        <w:rPr>
          <w:rFonts w:hint="eastAsia" w:ascii="仿宋" w:hAnsi="仿宋" w:eastAsia="仿宋" w:cs="仿宋"/>
          <w:sz w:val="32"/>
          <w:szCs w:val="32"/>
        </w:rPr>
        <w:t>万元，占</w:t>
      </w:r>
      <w:r>
        <w:rPr>
          <w:rFonts w:hint="eastAsia" w:ascii="仿宋" w:hAnsi="仿宋" w:eastAsia="仿宋" w:cs="仿宋"/>
          <w:sz w:val="32"/>
          <w:szCs w:val="32"/>
          <w:lang w:val="en-US" w:eastAsia="zh-CN"/>
        </w:rPr>
        <w:t>96.33</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10.57</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1.21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21.62</w:t>
      </w:r>
      <w:r>
        <w:rPr>
          <w:rFonts w:hint="eastAsia" w:ascii="仿宋" w:hAnsi="仿宋" w:eastAsia="仿宋" w:cs="仿宋"/>
          <w:sz w:val="32"/>
          <w:szCs w:val="32"/>
        </w:rPr>
        <w:t>万元，占</w:t>
      </w:r>
      <w:r>
        <w:rPr>
          <w:rFonts w:hint="eastAsia" w:ascii="仿宋" w:hAnsi="仿宋" w:eastAsia="仿宋" w:cs="仿宋"/>
          <w:sz w:val="32"/>
          <w:szCs w:val="32"/>
          <w:lang w:val="en-US" w:eastAsia="zh-CN"/>
        </w:rPr>
        <w:t>2.46</w:t>
      </w:r>
      <w:r>
        <w:rPr>
          <w:rFonts w:hint="eastAsia" w:ascii="仿宋" w:hAnsi="仿宋" w:eastAsia="仿宋" w:cs="仿宋"/>
          <w:sz w:val="32"/>
          <w:szCs w:val="32"/>
        </w:rPr>
        <w:t>%。</w:t>
      </w:r>
    </w:p>
    <w:p>
      <w:pPr>
        <w:spacing w:line="600" w:lineRule="exact"/>
        <w:ind w:firstLine="640" w:firstLineChars="200"/>
        <w:jc w:val="both"/>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 xml:space="preserve">二、关于 </w:t>
      </w:r>
      <w:r>
        <w:rPr>
          <w:rFonts w:hint="default" w:ascii="方正小标宋_GBK" w:hAnsi="Times New Roman" w:eastAsia="方正小标宋_GBK" w:cs="方正仿宋_GBK"/>
          <w:sz w:val="32"/>
          <w:szCs w:val="32"/>
        </w:rPr>
        <w:t>202</w:t>
      </w:r>
      <w:r>
        <w:rPr>
          <w:rFonts w:hint="default" w:ascii="方正小标宋_GBK" w:hAnsi="Times New Roman" w:eastAsia="方正小标宋_GBK" w:cs="方正仿宋_GBK"/>
          <w:sz w:val="32"/>
          <w:szCs w:val="32"/>
          <w:lang w:val="en-US" w:eastAsia="zh-CN"/>
        </w:rPr>
        <w:t>4</w:t>
      </w:r>
      <w:r>
        <w:rPr>
          <w:rFonts w:hint="eastAsia" w:ascii="方正小标宋_GBK" w:hAnsi="Times New Roman" w:eastAsia="方正小标宋_GBK" w:cs="方正仿宋_GBK"/>
          <w:sz w:val="32"/>
          <w:szCs w:val="32"/>
        </w:rPr>
        <w:t>年一般公共预算支出</w:t>
      </w:r>
      <w:r>
        <w:rPr>
          <w:rFonts w:hint="eastAsia" w:ascii="方正小标宋_GBK" w:hAnsi="Times New Roman" w:eastAsia="方正小标宋_GBK" w:cs="方正仿宋_GBK"/>
          <w:sz w:val="32"/>
          <w:szCs w:val="32"/>
          <w:lang w:val="en-US" w:eastAsia="zh-CN"/>
        </w:rPr>
        <w:t>预算</w:t>
      </w:r>
      <w:r>
        <w:rPr>
          <w:rFonts w:hint="eastAsia" w:ascii="方正小标宋_GBK" w:hAnsi="Times New Roman" w:eastAsia="方正小标宋_GBK" w:cs="方正仿宋_GBK"/>
          <w:sz w:val="32"/>
          <w:szCs w:val="32"/>
        </w:rPr>
        <w:t>表的说明</w:t>
      </w:r>
    </w:p>
    <w:p>
      <w:pPr>
        <w:spacing w:line="600" w:lineRule="exact"/>
        <w:jc w:val="both"/>
        <w:rPr>
          <w:rFonts w:hint="eastAsia" w:ascii="仿宋" w:hAnsi="仿宋" w:eastAsia="仿宋" w:cs="仿宋"/>
          <w:sz w:val="32"/>
          <w:szCs w:val="32"/>
        </w:rPr>
      </w:pPr>
      <w:r>
        <w:rPr>
          <w:rFonts w:hint="eastAsia" w:ascii="方正仿宋_GBK" w:hAnsi="Times New Roman" w:eastAsia="方正仿宋_GBK" w:cs="方正仿宋_GBK"/>
          <w:sz w:val="32"/>
          <w:szCs w:val="32"/>
        </w:rPr>
        <w:t xml:space="preserve"> </w:t>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(一)一般公共预算支出规模变化情况。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年一般公共预算支出</w:t>
      </w:r>
      <w:r>
        <w:rPr>
          <w:rFonts w:hint="eastAsia" w:ascii="仿宋" w:hAnsi="仿宋" w:eastAsia="仿宋" w:cs="仿宋"/>
          <w:sz w:val="32"/>
          <w:szCs w:val="32"/>
          <w:lang w:val="en-US" w:eastAsia="zh-CN"/>
        </w:rPr>
        <w:t>877.51</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62.22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7.63</w:t>
      </w:r>
      <w:r>
        <w:rPr>
          <w:rFonts w:hint="eastAsia" w:ascii="仿宋" w:hAnsi="仿宋" w:eastAsia="仿宋" w:cs="仿宋"/>
          <w:sz w:val="32"/>
          <w:szCs w:val="32"/>
        </w:rPr>
        <w:t>%， 主要原因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是按照上级文件规定城市特困人员集中供养生活费提标，失能失智护理补贴标准有较大幅度的提高；二是根据皖政办秘〔2023〕2号《安徽省人民政府办公厅关于调整全省最低工资标准的通知》，政府购买服务人员工资标准提高，同时社保基数按照上级文件规定缴纳标准提高，预算支出相应增加；三是单位每年按照流浪乞讨救助实际需要资金情况申报，财政2024年按照实际申报资金下达预算30万元。</w:t>
      </w:r>
    </w:p>
    <w:p>
      <w:pPr>
        <w:spacing w:line="600" w:lineRule="exact"/>
        <w:jc w:val="both"/>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(二)一般公共预算支出结构情况。</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845.31</w:t>
      </w:r>
      <w:r>
        <w:rPr>
          <w:rFonts w:hint="eastAsia" w:ascii="仿宋" w:hAnsi="仿宋" w:eastAsia="仿宋" w:cs="仿宋"/>
          <w:sz w:val="32"/>
          <w:szCs w:val="32"/>
        </w:rPr>
        <w:t>万元，占</w:t>
      </w:r>
      <w:r>
        <w:rPr>
          <w:rFonts w:hint="eastAsia" w:ascii="仿宋" w:hAnsi="仿宋" w:eastAsia="仿宋" w:cs="仿宋"/>
          <w:sz w:val="32"/>
          <w:szCs w:val="32"/>
          <w:lang w:val="en-US" w:eastAsia="zh-CN"/>
        </w:rPr>
        <w:t>96.33</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10.57</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1.21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21.62</w:t>
      </w:r>
      <w:r>
        <w:rPr>
          <w:rFonts w:hint="eastAsia" w:ascii="仿宋" w:hAnsi="仿宋" w:eastAsia="仿宋" w:cs="仿宋"/>
          <w:sz w:val="32"/>
          <w:szCs w:val="32"/>
        </w:rPr>
        <w:t>万元，占</w:t>
      </w:r>
      <w:r>
        <w:rPr>
          <w:rFonts w:hint="eastAsia" w:ascii="仿宋" w:hAnsi="仿宋" w:eastAsia="仿宋" w:cs="仿宋"/>
          <w:sz w:val="32"/>
          <w:szCs w:val="32"/>
          <w:lang w:val="en-US" w:eastAsia="zh-CN"/>
        </w:rPr>
        <w:t>2.46</w:t>
      </w:r>
      <w:r>
        <w:rPr>
          <w:rFonts w:hint="eastAsia" w:ascii="仿宋" w:hAnsi="仿宋" w:eastAsia="仿宋" w:cs="仿宋"/>
          <w:sz w:val="32"/>
          <w:szCs w:val="32"/>
        </w:rPr>
        <w:t>%。</w:t>
      </w:r>
    </w:p>
    <w:p>
      <w:pPr>
        <w:spacing w:line="600" w:lineRule="exact"/>
        <w:jc w:val="both"/>
        <w:rPr>
          <w:rFonts w:hint="eastAsia" w:ascii="仿宋" w:hAnsi="仿宋" w:eastAsia="仿宋" w:cs="仿宋"/>
          <w:sz w:val="32"/>
          <w:szCs w:val="32"/>
        </w:rPr>
      </w:pPr>
      <w:r>
        <w:rPr>
          <w:rFonts w:hint="eastAsia" w:ascii="仿宋" w:hAnsi="仿宋" w:eastAsia="仿宋" w:cs="仿宋"/>
          <w:sz w:val="32"/>
          <w:szCs w:val="32"/>
        </w:rPr>
        <w:t xml:space="preserve">     (三)一般公共预算支出具体使用情况。</w:t>
      </w:r>
    </w:p>
    <w:p>
      <w:pPr>
        <w:spacing w:line="60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1.社会保障和就业支出（类）行政事业单位养老支出（款） 机关事业单位基本养老保险缴费支出（项）</w:t>
      </w:r>
      <w:r>
        <w:rPr>
          <w:rFonts w:hint="eastAsia" w:ascii="仿宋" w:hAnsi="仿宋" w:eastAsia="仿宋" w:cs="仿宋"/>
          <w:sz w:val="32"/>
          <w:szCs w:val="32"/>
          <w:lang w:val="en-US" w:eastAsia="zh-CN"/>
        </w:rPr>
        <w:t>2024年预算16.82万元，比2023年预算减少3.66万元，下降17.87 %，下降原因主要是工作人员调走1人，由在职转退休2人所致。</w:t>
      </w:r>
    </w:p>
    <w:p>
      <w:pPr>
        <w:spacing w:line="60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2.社会保障和就业支出（类）行政事业单位养老支出（款）机关事业单位职业年金缴费支出（项）</w:t>
      </w:r>
      <w:r>
        <w:rPr>
          <w:rFonts w:hint="eastAsia" w:ascii="仿宋" w:hAnsi="仿宋" w:eastAsia="仿宋" w:cs="仿宋"/>
          <w:sz w:val="32"/>
          <w:szCs w:val="32"/>
          <w:lang w:val="en-US" w:eastAsia="zh-CN"/>
        </w:rPr>
        <w:t>2024年预算8.41万元，比2023年预算减少1.83万元，下降17.87%，下降原因主要是工作人员调走1人，由在职转退休2人所致。</w:t>
      </w:r>
    </w:p>
    <w:p>
      <w:pPr>
        <w:spacing w:line="60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3.社会保障和就业支出（类）社会福利（款）儿童福利（项）</w:t>
      </w:r>
      <w:r>
        <w:rPr>
          <w:rFonts w:hint="eastAsia" w:ascii="仿宋" w:hAnsi="仿宋" w:eastAsia="仿宋" w:cs="仿宋"/>
          <w:sz w:val="32"/>
          <w:szCs w:val="32"/>
          <w:lang w:val="en-US" w:eastAsia="zh-CN"/>
        </w:rPr>
        <w:t>2024年预算79.212万元，比2023年预算增加1.292万元，增长1.66%，增长原因主要是儿童集中供养生活费标准提高所致。</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4.社会保障和就业支出（类）社会福利（款）社会福利事业单位（项）</w:t>
      </w:r>
      <w:r>
        <w:rPr>
          <w:rFonts w:hint="eastAsia" w:ascii="仿宋" w:hAnsi="仿宋" w:eastAsia="仿宋" w:cs="仿宋"/>
          <w:sz w:val="32"/>
          <w:szCs w:val="32"/>
          <w:lang w:val="en-US" w:eastAsia="zh-CN"/>
        </w:rPr>
        <w:t>2024年预算416.84万元，比2023年预算增加2.86万元，增长0.69%，增长原因主要是：根据皖政办秘〔2023〕2号《安徽省人民政府办公厅关于调整全省最低工资标准的通知》，政府购买服务人员工资标准提高，同时社保基数按照上级文件规定缴纳标准提高，预算支出相应增加。</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000000" w:themeColor="text1"/>
          <w:sz w:val="32"/>
          <w:szCs w:val="32"/>
          <w:lang w:val="en-US" w:eastAsia="zh-CN"/>
          <w14:textFill>
            <w14:solidFill>
              <w14:schemeClr w14:val="tx1"/>
            </w14:solidFill>
          </w14:textFill>
        </w:rPr>
        <w:t>5.社会保障和就业支出（类）残疾人事业（款）残疾人生活和护理补贴（项）</w:t>
      </w:r>
      <w:r>
        <w:rPr>
          <w:rFonts w:hint="eastAsia" w:ascii="仿宋" w:hAnsi="仿宋" w:eastAsia="仿宋" w:cs="仿宋"/>
          <w:sz w:val="32"/>
          <w:szCs w:val="32"/>
          <w:lang w:val="en-US" w:eastAsia="zh-CN"/>
        </w:rPr>
        <w:t>2024年预算2.40万元，比2023年预算增加0.37万元，增长18.23%，增长原因主要是：根据宿民发〔2023〕1号《关于提高残疾人两项补贴标准的通知》，重度残疾人护理补贴标准有较大幅度提高。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color w:val="000000"/>
          <w:kern w:val="0"/>
          <w:sz w:val="32"/>
          <w:szCs w:val="32"/>
          <w:lang w:val="en-US" w:eastAsia="zh-CN" w:bidi="ar-SA"/>
        </w:rPr>
        <w:t>6.社会保障和就业支出（类）临时救助（款）流浪乞讨人员救助支出（项）</w:t>
      </w:r>
      <w:r>
        <w:rPr>
          <w:rFonts w:hint="eastAsia" w:ascii="仿宋" w:hAnsi="仿宋" w:eastAsia="仿宋" w:cs="仿宋"/>
          <w:sz w:val="32"/>
          <w:szCs w:val="32"/>
          <w:lang w:val="en-US" w:eastAsia="zh-CN"/>
        </w:rPr>
        <w:t>2024</w:t>
      </w:r>
      <w:r>
        <w:rPr>
          <w:rFonts w:hint="eastAsia" w:ascii="仿宋" w:hAnsi="仿宋" w:eastAsia="仿宋" w:cs="仿宋"/>
          <w:color w:val="000000"/>
          <w:kern w:val="0"/>
          <w:sz w:val="32"/>
          <w:szCs w:val="32"/>
          <w:lang w:val="en-US" w:eastAsia="zh-CN" w:bidi="ar-SA"/>
        </w:rPr>
        <w:t>年预算</w:t>
      </w:r>
      <w:r>
        <w:rPr>
          <w:rFonts w:hint="eastAsia" w:ascii="仿宋" w:hAnsi="仿宋" w:eastAsia="仿宋" w:cs="仿宋"/>
          <w:sz w:val="32"/>
          <w:szCs w:val="32"/>
          <w:lang w:val="en-US" w:eastAsia="zh-CN"/>
        </w:rPr>
        <w:t>30</w:t>
      </w:r>
      <w:r>
        <w:rPr>
          <w:rFonts w:hint="eastAsia" w:ascii="仿宋" w:hAnsi="仿宋" w:eastAsia="仿宋" w:cs="仿宋"/>
          <w:color w:val="000000"/>
          <w:kern w:val="0"/>
          <w:sz w:val="32"/>
          <w:szCs w:val="32"/>
          <w:lang w:val="en-US" w:eastAsia="zh-CN" w:bidi="ar-SA"/>
        </w:rPr>
        <w:t>万元，比</w:t>
      </w:r>
      <w:r>
        <w:rPr>
          <w:rFonts w:hint="eastAsia" w:ascii="仿宋" w:hAnsi="仿宋" w:eastAsia="仿宋" w:cs="仿宋"/>
          <w:sz w:val="32"/>
          <w:szCs w:val="32"/>
          <w:lang w:val="en-US" w:eastAsia="zh-CN"/>
        </w:rPr>
        <w:t>2023</w:t>
      </w:r>
      <w:r>
        <w:rPr>
          <w:rFonts w:hint="eastAsia" w:ascii="仿宋" w:hAnsi="仿宋" w:eastAsia="仿宋" w:cs="仿宋"/>
          <w:color w:val="000000"/>
          <w:kern w:val="0"/>
          <w:sz w:val="32"/>
          <w:szCs w:val="32"/>
          <w:lang w:val="en-US" w:eastAsia="zh-CN" w:bidi="ar-SA"/>
        </w:rPr>
        <w:t>年下达的预算增加</w:t>
      </w:r>
      <w:r>
        <w:rPr>
          <w:rFonts w:hint="eastAsia" w:ascii="仿宋" w:hAnsi="仿宋" w:eastAsia="仿宋" w:cs="仿宋"/>
          <w:sz w:val="32"/>
          <w:szCs w:val="32"/>
          <w:lang w:val="en-US" w:eastAsia="zh-CN"/>
        </w:rPr>
        <w:t>15</w:t>
      </w:r>
      <w:r>
        <w:rPr>
          <w:rFonts w:hint="eastAsia" w:ascii="仿宋" w:hAnsi="仿宋" w:eastAsia="仿宋" w:cs="仿宋"/>
          <w:color w:val="000000"/>
          <w:kern w:val="0"/>
          <w:sz w:val="32"/>
          <w:szCs w:val="32"/>
          <w:lang w:val="en-US" w:eastAsia="zh-CN" w:bidi="ar-SA"/>
        </w:rPr>
        <w:t>万元，增长</w:t>
      </w:r>
      <w:r>
        <w:rPr>
          <w:rFonts w:hint="eastAsia" w:ascii="仿宋" w:hAnsi="仿宋" w:eastAsia="仿宋" w:cs="仿宋"/>
          <w:sz w:val="32"/>
          <w:szCs w:val="32"/>
          <w:lang w:val="en-US" w:eastAsia="zh-CN"/>
        </w:rPr>
        <w:t>15</w:t>
      </w:r>
      <w:r>
        <w:rPr>
          <w:rFonts w:hint="eastAsia" w:ascii="仿宋" w:hAnsi="仿宋" w:eastAsia="仿宋" w:cs="仿宋"/>
          <w:color w:val="000000"/>
          <w:kern w:val="0"/>
          <w:sz w:val="32"/>
          <w:szCs w:val="32"/>
          <w:lang w:val="en-US" w:eastAsia="zh-CN" w:bidi="ar-SA"/>
        </w:rPr>
        <w:t>万元，增长</w:t>
      </w:r>
      <w:r>
        <w:rPr>
          <w:rFonts w:hint="eastAsia" w:ascii="仿宋" w:hAnsi="仿宋" w:eastAsia="仿宋" w:cs="仿宋"/>
          <w:sz w:val="32"/>
          <w:szCs w:val="32"/>
          <w:lang w:val="en-US" w:eastAsia="zh-CN"/>
        </w:rPr>
        <w:t>100%</w:t>
      </w:r>
      <w:r>
        <w:rPr>
          <w:rFonts w:hint="eastAsia" w:ascii="仿宋" w:hAnsi="仿宋" w:eastAsia="仿宋" w:cs="仿宋"/>
          <w:color w:val="000000"/>
          <w:kern w:val="0"/>
          <w:sz w:val="32"/>
          <w:szCs w:val="32"/>
          <w:lang w:val="en-US" w:eastAsia="zh-CN" w:bidi="ar-SA"/>
        </w:rPr>
        <w:t>，增长原因主要是</w:t>
      </w:r>
      <w:r>
        <w:rPr>
          <w:rFonts w:hint="eastAsia" w:ascii="仿宋" w:hAnsi="仿宋" w:eastAsia="仿宋" w:cs="仿宋"/>
          <w:sz w:val="32"/>
          <w:szCs w:val="32"/>
          <w:lang w:val="en-US" w:eastAsia="zh-CN"/>
        </w:rPr>
        <w:t>单位每年按照流浪乞讨救助实际需要资金情况申报，2023年申报36万元，下达预算15万元，而2024年财政按照实际申报资金下达预算30万元。</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sz w:val="32"/>
          <w:szCs w:val="32"/>
          <w:lang w:val="en-US" w:eastAsia="zh-CN"/>
        </w:rPr>
        <w:t>7.社会保障和就业支出（类）特困人员救助供养（款）城市特困人员救助供养支出（项）</w:t>
      </w:r>
      <w:r>
        <w:rPr>
          <w:rFonts w:hint="eastAsia" w:ascii="仿宋" w:hAnsi="仿宋" w:eastAsia="仿宋" w:cs="仿宋"/>
          <w:sz w:val="32"/>
          <w:szCs w:val="32"/>
          <w:lang w:val="en-US" w:eastAsia="zh-CN"/>
        </w:rPr>
        <w:t>2024年预算291.636万元，比2023年预算增加52.296万元，增长21.85%，增长原因主要是按照上级文件规定城市特困人员集中供养生活费提标，失能失智护理补贴标准有较大幅度的提高所致</w:t>
      </w:r>
      <w:r>
        <w:rPr>
          <w:rFonts w:hint="eastAsia" w:ascii="仿宋" w:hAnsi="仿宋" w:eastAsia="仿宋" w:cs="仿宋"/>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8.卫生健康支出（类）行政事业单位医疗（款）事业单位医疗（项）</w:t>
      </w:r>
      <w:r>
        <w:rPr>
          <w:rFonts w:hint="eastAsia" w:ascii="仿宋" w:hAnsi="仿宋" w:eastAsia="仿宋" w:cs="仿宋"/>
          <w:sz w:val="32"/>
          <w:szCs w:val="32"/>
          <w:lang w:val="en-US" w:eastAsia="zh-CN"/>
        </w:rPr>
        <w:t>2024年预算5.08万元，比2023年预算减少1.09万元，下降17.67%，下降原因主要是工作人员调走1人，由在职转退休2人所致。</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9.卫生健康支出（类）行政事业单位医疗（款）公务员医疗补助（项）</w:t>
      </w:r>
      <w:r>
        <w:rPr>
          <w:rFonts w:hint="eastAsia" w:ascii="仿宋" w:hAnsi="仿宋" w:eastAsia="仿宋" w:cs="仿宋"/>
          <w:sz w:val="32"/>
          <w:szCs w:val="32"/>
          <w:lang w:val="en-US" w:eastAsia="zh-CN"/>
        </w:rPr>
        <w:t>2024年预算5.49万元，比2023年预算减少0.04万元，下降0.72%</w:t>
      </w:r>
      <w:r>
        <w:rPr>
          <w:rFonts w:hint="eastAsia" w:ascii="仿宋" w:hAnsi="仿宋" w:eastAsia="仿宋" w:cs="仿宋"/>
          <w:color w:val="000000"/>
          <w:kern w:val="0"/>
          <w:sz w:val="32"/>
          <w:szCs w:val="32"/>
          <w:lang w:val="en-US" w:eastAsia="zh-CN" w:bidi="ar-SA"/>
        </w:rPr>
        <w:t>，</w:t>
      </w:r>
      <w:r>
        <w:rPr>
          <w:rFonts w:hint="eastAsia" w:ascii="仿宋" w:hAnsi="仿宋" w:eastAsia="仿宋" w:cs="仿宋"/>
          <w:sz w:val="32"/>
          <w:szCs w:val="32"/>
          <w:lang w:val="en-US" w:eastAsia="zh-CN"/>
        </w:rPr>
        <w:t>下降原因主要是工作人员调走1人，由在职转退休2人所致。</w:t>
      </w: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10.住房保障支出（类）住房改革支出（款）住房公积金（项）</w:t>
      </w:r>
      <w:r>
        <w:rPr>
          <w:rFonts w:hint="eastAsia" w:ascii="仿宋" w:hAnsi="仿宋" w:eastAsia="仿宋" w:cs="仿宋"/>
          <w:sz w:val="32"/>
          <w:szCs w:val="32"/>
          <w:lang w:val="en-US" w:eastAsia="zh-CN"/>
        </w:rPr>
        <w:t>2024年预算12.61万元，比2023年预算减少2.75万元，下降17.90%，下降原因主要是工作人员调走1人，由在职转退休2人所致</w:t>
      </w:r>
      <w:r>
        <w:rPr>
          <w:rFonts w:hint="eastAsia" w:ascii="仿宋" w:hAnsi="仿宋" w:eastAsia="仿宋" w:cs="仿宋"/>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eastAsia" w:ascii="方正小标宋_GBK" w:hAnsi="Times New Roman" w:eastAsia="方正小标宋_GBK" w:cs="方正仿宋_GBK"/>
          <w:sz w:val="32"/>
          <w:szCs w:val="32"/>
        </w:rPr>
      </w:pPr>
      <w:r>
        <w:rPr>
          <w:rFonts w:hint="eastAsia" w:ascii="仿宋" w:hAnsi="仿宋" w:eastAsia="仿宋" w:cs="仿宋"/>
          <w:b/>
          <w:bCs/>
          <w:sz w:val="32"/>
          <w:szCs w:val="32"/>
          <w:lang w:val="en-US" w:eastAsia="zh-CN"/>
        </w:rPr>
        <w:t>11.住房保障支出（类）住房改革支出（款）提租补贴（项）</w:t>
      </w:r>
      <w:r>
        <w:rPr>
          <w:rFonts w:hint="eastAsia" w:ascii="仿宋" w:hAnsi="仿宋" w:eastAsia="仿宋" w:cs="仿宋"/>
          <w:sz w:val="32"/>
          <w:szCs w:val="32"/>
          <w:lang w:val="en-US" w:eastAsia="zh-CN"/>
        </w:rPr>
        <w:t>2024年预算9.01万元，比2023年预算减少0.23万元，下降2.49%，下降原因主要是工作人员调走1人，由在职转退休2人所致</w:t>
      </w:r>
      <w:r>
        <w:rPr>
          <w:rFonts w:hint="eastAsia" w:ascii="仿宋" w:hAnsi="仿宋" w:eastAsia="仿宋" w:cs="仿宋"/>
          <w:color w:val="000000"/>
          <w:kern w:val="0"/>
          <w:sz w:val="32"/>
          <w:szCs w:val="32"/>
          <w:lang w:val="en-US" w:eastAsia="zh-CN" w:bidi="ar-SA"/>
        </w:rPr>
        <w:t>。</w:t>
      </w:r>
    </w:p>
    <w:p>
      <w:pPr>
        <w:spacing w:line="600" w:lineRule="exact"/>
        <w:ind w:firstLine="640" w:firstLineChars="200"/>
        <w:jc w:val="both"/>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三、关于</w:t>
      </w:r>
      <w:r>
        <w:rPr>
          <w:rFonts w:hint="default" w:ascii="方正小标宋_GBK" w:hAnsi="Times New Roman" w:eastAsia="方正小标宋_GBK" w:cs="方正仿宋_GBK"/>
          <w:sz w:val="32"/>
          <w:szCs w:val="32"/>
        </w:rPr>
        <w:t>202</w:t>
      </w:r>
      <w:r>
        <w:rPr>
          <w:rFonts w:hint="default" w:ascii="方正小标宋_GBK" w:hAnsi="Times New Roman" w:eastAsia="方正小标宋_GBK" w:cs="方正仿宋_GBK"/>
          <w:sz w:val="32"/>
          <w:szCs w:val="32"/>
          <w:lang w:val="en-US" w:eastAsia="zh-CN"/>
        </w:rPr>
        <w:t>4</w:t>
      </w:r>
      <w:r>
        <w:rPr>
          <w:rFonts w:hint="eastAsia" w:ascii="方正小标宋_GBK" w:hAnsi="Times New Roman" w:eastAsia="方正小标宋_GBK" w:cs="方正仿宋_GBK"/>
          <w:sz w:val="32"/>
          <w:szCs w:val="32"/>
        </w:rPr>
        <w:t>年一般公共预算基本支出</w:t>
      </w:r>
      <w:r>
        <w:rPr>
          <w:rFonts w:hint="eastAsia" w:ascii="方正小标宋_GBK" w:hAnsi="Times New Roman" w:eastAsia="方正小标宋_GBK" w:cs="方正仿宋_GBK"/>
          <w:sz w:val="32"/>
          <w:szCs w:val="32"/>
          <w:lang w:val="en-US" w:eastAsia="zh-CN"/>
        </w:rPr>
        <w:t>预算</w:t>
      </w:r>
      <w:r>
        <w:rPr>
          <w:rFonts w:hint="eastAsia" w:ascii="方正小标宋_GBK" w:hAnsi="Times New Roman" w:eastAsia="方正小标宋_GBK" w:cs="方正仿宋_GBK"/>
          <w:sz w:val="32"/>
          <w:szCs w:val="32"/>
        </w:rPr>
        <w:t>表的说明</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279.86</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237.77</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42.09</w:t>
      </w:r>
      <w:r>
        <w:rPr>
          <w:rFonts w:hint="eastAsia" w:ascii="仿宋" w:hAnsi="仿宋" w:eastAsia="仿宋" w:cs="仿宋"/>
          <w:sz w:val="32"/>
          <w:szCs w:val="32"/>
        </w:rPr>
        <w:t>万元。</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(一)人员经费 </w:t>
      </w:r>
      <w:r>
        <w:rPr>
          <w:rFonts w:hint="eastAsia" w:ascii="仿宋" w:hAnsi="仿宋" w:eastAsia="仿宋" w:cs="仿宋"/>
          <w:sz w:val="32"/>
          <w:szCs w:val="32"/>
          <w:lang w:val="en-US" w:eastAsia="zh-CN"/>
        </w:rPr>
        <w:t>237.77</w:t>
      </w:r>
      <w:r>
        <w:rPr>
          <w:rFonts w:hint="eastAsia" w:ascii="仿宋" w:hAnsi="仿宋" w:eastAsia="仿宋" w:cs="仿宋"/>
          <w:sz w:val="32"/>
          <w:szCs w:val="32"/>
        </w:rPr>
        <w:t>万元，主要包括:基本工资、津贴补贴、奖金、绩效工资、机关事业单位基本养老保险费、职业年金缴费、职工基本医疗保险缴费、公务员医疗补助缴费、其他社会保障缴费、住房公积金、其他工资福利支出、退休费、、生活补助、救济费、医疗费补助、奖励金、对其他个人和家庭的补助支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(二)公用经费</w:t>
      </w:r>
      <w:r>
        <w:rPr>
          <w:rFonts w:hint="eastAsia" w:ascii="仿宋" w:hAnsi="仿宋" w:eastAsia="仿宋" w:cs="仿宋"/>
          <w:sz w:val="32"/>
          <w:szCs w:val="32"/>
          <w:lang w:val="en-US" w:eastAsia="zh-CN"/>
        </w:rPr>
        <w:t>42.09</w:t>
      </w:r>
      <w:r>
        <w:rPr>
          <w:rFonts w:hint="eastAsia" w:ascii="仿宋" w:hAnsi="仿宋" w:eastAsia="仿宋" w:cs="仿宋"/>
          <w:sz w:val="32"/>
          <w:szCs w:val="32"/>
        </w:rPr>
        <w:t>万元，主要包括:</w:t>
      </w:r>
      <w:r>
        <w:rPr>
          <w:rFonts w:hint="eastAsia" w:ascii="仿宋" w:hAnsi="仿宋" w:eastAsia="仿宋" w:cs="仿宋"/>
          <w:sz w:val="32"/>
          <w:szCs w:val="32"/>
          <w:lang w:val="en-US" w:eastAsia="zh-CN"/>
        </w:rPr>
        <w:t>办公费、印刷费、手续费、水费、电费、邮电费、差旅费、维修(护)费、租赁费、会议费、培训费、公务接待费、劳务费、委托业务费、工会经费、公务用车运行维护费、其他交通费用、其他商品服务支出、办公设备购置、专用设备购置、其他资本性支出、其他支出。</w:t>
      </w:r>
    </w:p>
    <w:p>
      <w:pPr>
        <w:spacing w:line="600" w:lineRule="exact"/>
        <w:ind w:firstLine="640" w:firstLineChars="200"/>
        <w:jc w:val="both"/>
        <w:rPr>
          <w:rFonts w:hint="eastAsia" w:ascii="方正小标宋_GBK" w:hAnsi="Times New Roman" w:eastAsia="方正小标宋_GBK" w:cs="方正仿宋_GBK"/>
          <w:sz w:val="32"/>
          <w:szCs w:val="32"/>
        </w:rPr>
      </w:pPr>
      <w:r>
        <w:rPr>
          <w:rFonts w:hint="eastAsia" w:ascii="方正小标宋_GBK" w:hAnsi="Times New Roman" w:eastAsia="方正小标宋_GBK" w:cs="方正仿宋_GBK"/>
          <w:sz w:val="32"/>
          <w:szCs w:val="32"/>
        </w:rPr>
        <w:t>四、关于</w:t>
      </w:r>
      <w:r>
        <w:rPr>
          <w:rFonts w:hint="default" w:ascii="方正小标宋_GBK" w:hAnsi="Times New Roman" w:eastAsia="方正小标宋_GBK" w:cs="方正仿宋_GBK"/>
          <w:sz w:val="32"/>
          <w:szCs w:val="32"/>
        </w:rPr>
        <w:t>202</w:t>
      </w:r>
      <w:r>
        <w:rPr>
          <w:rFonts w:hint="default" w:ascii="方正小标宋_GBK" w:hAnsi="Times New Roman" w:eastAsia="方正小标宋_GBK" w:cs="方正仿宋_GBK"/>
          <w:sz w:val="32"/>
          <w:szCs w:val="32"/>
          <w:lang w:val="en-US" w:eastAsia="zh-CN"/>
        </w:rPr>
        <w:t>4</w:t>
      </w:r>
      <w:r>
        <w:rPr>
          <w:rFonts w:hint="eastAsia" w:ascii="方正小标宋_GBK" w:hAnsi="Times New Roman" w:eastAsia="方正小标宋_GBK" w:cs="方正仿宋_GBK"/>
          <w:sz w:val="32"/>
          <w:szCs w:val="32"/>
        </w:rPr>
        <w:t>年政府性基金预算支出表的说明</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年没有政府性基金预算拨款收入，也没有使用政府性基金预算拨款安排的支出。</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五、关于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年单位预算收支预算总表的说明</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按照综合预算的原则，埇桥区社会福利救助中心所有收入和支出均纳入单位预算管理。埇桥区社会福利救助中心2024年收支总预算877.51万元，收入全部是一般公共预算拨款收入，支出包括: 社会保障和就业支出、卫生健康支出、住房保障支出。</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六、关于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年单位收入预算表的说明</w:t>
      </w:r>
    </w:p>
    <w:p>
      <w:pPr>
        <w:spacing w:line="600" w:lineRule="exact"/>
        <w:jc w:val="both"/>
        <w:rPr>
          <w:rFonts w:hint="eastAsia" w:ascii="仿宋" w:hAnsi="仿宋" w:eastAsia="仿宋" w:cs="仿宋"/>
          <w:sz w:val="32"/>
          <w:szCs w:val="32"/>
        </w:rPr>
      </w:pPr>
      <w:r>
        <w:rPr>
          <w:rFonts w:hint="eastAsia" w:ascii="方正仿宋_GBK" w:hAnsi="Times New Roman" w:eastAsia="方正仿宋_GBK" w:cs="方正仿宋_GBK"/>
          <w:sz w:val="32"/>
          <w:szCs w:val="32"/>
        </w:rPr>
        <w:t xml:space="preserve">   </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877.51</w:t>
      </w:r>
      <w:r>
        <w:rPr>
          <w:rFonts w:hint="eastAsia" w:ascii="仿宋" w:hAnsi="仿宋" w:eastAsia="仿宋" w:cs="仿宋"/>
          <w:sz w:val="32"/>
          <w:szCs w:val="32"/>
        </w:rPr>
        <w:t>万元，其中，本年收入</w:t>
      </w:r>
      <w:r>
        <w:rPr>
          <w:rFonts w:hint="eastAsia" w:ascii="仿宋" w:hAnsi="仿宋" w:eastAsia="仿宋" w:cs="仿宋"/>
          <w:sz w:val="32"/>
          <w:szCs w:val="32"/>
          <w:lang w:val="en-US" w:eastAsia="zh-CN"/>
        </w:rPr>
        <w:t>877.51</w:t>
      </w:r>
      <w:r>
        <w:rPr>
          <w:rFonts w:hint="eastAsia" w:ascii="仿宋" w:hAnsi="仿宋" w:eastAsia="仿宋" w:cs="仿宋"/>
          <w:sz w:val="32"/>
          <w:szCs w:val="32"/>
        </w:rPr>
        <w:t>万元，上年结转结余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本年收入</w:t>
      </w:r>
      <w:r>
        <w:rPr>
          <w:rFonts w:hint="eastAsia" w:ascii="仿宋" w:hAnsi="仿宋" w:eastAsia="仿宋" w:cs="仿宋"/>
          <w:sz w:val="32"/>
          <w:szCs w:val="32"/>
          <w:lang w:val="en-US" w:eastAsia="zh-CN"/>
        </w:rPr>
        <w:t>877.51</w:t>
      </w:r>
      <w:r>
        <w:rPr>
          <w:rFonts w:hint="eastAsia" w:ascii="仿宋" w:hAnsi="仿宋" w:eastAsia="仿宋" w:cs="仿宋"/>
          <w:sz w:val="32"/>
          <w:szCs w:val="32"/>
        </w:rPr>
        <w:t>万元，收入全部为一般公共预算拨款收入</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100%</w:t>
      </w:r>
      <w:r>
        <w:rPr>
          <w:rFonts w:hint="eastAsia" w:ascii="仿宋" w:hAnsi="仿宋" w:eastAsia="仿宋" w:cs="仿宋"/>
          <w:sz w:val="32"/>
          <w:szCs w:val="32"/>
        </w:rPr>
        <w:t>，比202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62.22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7.63%</w:t>
      </w:r>
      <w:r>
        <w:rPr>
          <w:rFonts w:hint="eastAsia" w:ascii="仿宋" w:hAnsi="仿宋" w:eastAsia="仿宋" w:cs="仿宋"/>
          <w:sz w:val="32"/>
          <w:szCs w:val="32"/>
        </w:rPr>
        <w:t>，增长原因主要是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是按照上级文件规定城市特困人员集中供养生活费提标，失能失智护理补贴标准有较大幅度的提高；二是根据皖政办秘〔2023〕2号《安徽省人民政府办公厅关于调整全省最低工资标准的通知》，政府购买服务人员工资标准提高，同时社保基数按照上级文件规定缴纳标准提高，预算支出相应增加；三是单位每年按照流浪乞讨救助实际需要资金情况申报，2023年申报36万元，下达预算15万元，2024年财政按照实际申报资金下达预算30万元。</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七、关于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年单位支出预算表的说明</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eastAsia="仿宋_GB2312" w:cs="Times New Roman"/>
          <w:sz w:val="32"/>
          <w:szCs w:val="32"/>
          <w:lang w:val="en-US" w:eastAsia="zh-CN"/>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877.51</w:t>
      </w:r>
      <w:r>
        <w:rPr>
          <w:rFonts w:hint="eastAsia" w:ascii="仿宋" w:hAnsi="仿宋" w:eastAsia="仿宋" w:cs="仿宋"/>
          <w:sz w:val="32"/>
          <w:szCs w:val="32"/>
        </w:rPr>
        <w:t>万元，比 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62.22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7.63%</w:t>
      </w:r>
      <w:r>
        <w:rPr>
          <w:rFonts w:hint="eastAsia" w:ascii="仿宋" w:hAnsi="仿宋" w:eastAsia="仿宋" w:cs="仿宋"/>
          <w:sz w:val="32"/>
          <w:szCs w:val="32"/>
        </w:rPr>
        <w:t>，增长原因主要是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是按照上级文件规定城市特困人员集中供养生活费提标，失能失智护理补贴标准有较大幅度的提高；二是根据皖政办秘〔2023〕2号《安徽省人民政府办公厅关于调整全省最低工资标准的通知》，政府购买服务人员工资标准提高，同时社保基数按照上级文件规定缴纳标准提高，预算支出相应增加；三是单位每年按照流浪乞讨救助实际需要资金情况申报，2023年申报36万元，下达预算15万元，2024年财政按照实际申报资金下达预算30万元。</w:t>
      </w:r>
    </w:p>
    <w:p>
      <w:pPr>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其中，基本支出</w:t>
      </w:r>
      <w:r>
        <w:rPr>
          <w:rFonts w:hint="eastAsia" w:ascii="仿宋" w:hAnsi="仿宋" w:eastAsia="仿宋" w:cs="仿宋"/>
          <w:sz w:val="32"/>
          <w:szCs w:val="32"/>
          <w:lang w:val="en-US" w:eastAsia="zh-CN"/>
        </w:rPr>
        <w:t>279.86</w:t>
      </w:r>
      <w:r>
        <w:rPr>
          <w:rFonts w:hint="eastAsia" w:ascii="仿宋" w:hAnsi="仿宋" w:eastAsia="仿宋" w:cs="仿宋"/>
          <w:sz w:val="32"/>
          <w:szCs w:val="32"/>
        </w:rPr>
        <w:t>万元，占</w:t>
      </w:r>
      <w:r>
        <w:rPr>
          <w:rFonts w:hint="eastAsia" w:ascii="仿宋" w:hAnsi="仿宋" w:eastAsia="仿宋" w:cs="仿宋"/>
          <w:sz w:val="32"/>
          <w:szCs w:val="32"/>
          <w:lang w:val="en-US" w:eastAsia="zh-CN"/>
        </w:rPr>
        <w:t>31.89%</w:t>
      </w:r>
      <w:r>
        <w:rPr>
          <w:rFonts w:hint="eastAsia" w:ascii="仿宋" w:hAnsi="仿宋" w:eastAsia="仿宋" w:cs="仿宋"/>
          <w:sz w:val="32"/>
          <w:szCs w:val="32"/>
        </w:rPr>
        <w:t>，主要用于保障机构日常运转、完成日常工作任务;项目支出</w:t>
      </w:r>
      <w:r>
        <w:rPr>
          <w:rFonts w:hint="eastAsia" w:ascii="仿宋" w:hAnsi="仿宋" w:eastAsia="仿宋" w:cs="仿宋"/>
          <w:sz w:val="32"/>
          <w:szCs w:val="32"/>
          <w:lang w:val="en-US" w:eastAsia="zh-CN"/>
        </w:rPr>
        <w:t>597.65</w:t>
      </w:r>
      <w:r>
        <w:rPr>
          <w:rFonts w:hint="eastAsia" w:ascii="仿宋" w:hAnsi="仿宋" w:eastAsia="仿宋" w:cs="仿宋"/>
          <w:sz w:val="32"/>
          <w:szCs w:val="32"/>
        </w:rPr>
        <w:t>万元，占</w:t>
      </w:r>
      <w:r>
        <w:rPr>
          <w:rFonts w:hint="eastAsia" w:ascii="仿宋" w:hAnsi="仿宋" w:eastAsia="仿宋" w:cs="仿宋"/>
          <w:sz w:val="32"/>
          <w:szCs w:val="32"/>
          <w:lang w:val="en-US" w:eastAsia="zh-CN"/>
        </w:rPr>
        <w:t>68.11%</w:t>
      </w:r>
      <w:r>
        <w:rPr>
          <w:rFonts w:hint="eastAsia" w:ascii="仿宋" w:hAnsi="仿宋" w:eastAsia="仿宋" w:cs="仿宋"/>
          <w:sz w:val="32"/>
          <w:szCs w:val="32"/>
        </w:rPr>
        <w:t>，主要用于</w:t>
      </w:r>
      <w:r>
        <w:rPr>
          <w:rFonts w:hint="eastAsia" w:ascii="仿宋" w:hAnsi="仿宋" w:eastAsia="仿宋" w:cs="仿宋"/>
          <w:sz w:val="32"/>
          <w:szCs w:val="32"/>
          <w:lang w:val="en-US" w:eastAsia="zh-CN"/>
        </w:rPr>
        <w:t>特殊儿童群体基本生活费、城市特困人员救助供养支出、流浪乞讨人员救助支出、重度残疾人护理补贴，以及为保障护理上述困难群体的政府购买服务人员工资及社保支出。</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 xml:space="preserve"> 八、关于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年国有资本经营预算支出表的说明</w:t>
      </w:r>
    </w:p>
    <w:p>
      <w:pPr>
        <w:spacing w:line="600" w:lineRule="exact"/>
        <w:ind w:firstLine="640" w:firstLineChars="200"/>
        <w:jc w:val="both"/>
        <w:rPr>
          <w:rFonts w:hint="eastAsia" w:ascii="仿宋" w:hAnsi="仿宋" w:eastAsia="仿宋" w:cs="仿宋"/>
          <w:color w:val="FF0000"/>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年没有国有资本经营预算拨款收入，也没有使用国有资本经营预算拨款安排的支出。 </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九、关于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年项目支出表的说明</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年预算共安排项目支出 </w:t>
      </w:r>
      <w:r>
        <w:rPr>
          <w:rFonts w:hint="eastAsia" w:ascii="仿宋" w:hAnsi="仿宋" w:eastAsia="仿宋" w:cs="仿宋"/>
          <w:sz w:val="32"/>
          <w:szCs w:val="32"/>
          <w:lang w:val="en-US" w:eastAsia="zh-CN"/>
        </w:rPr>
        <w:t>597.65</w:t>
      </w:r>
      <w:r>
        <w:rPr>
          <w:rFonts w:hint="eastAsia" w:ascii="仿宋" w:hAnsi="仿宋" w:eastAsia="仿宋" w:cs="仿宋"/>
          <w:sz w:val="32"/>
          <w:szCs w:val="32"/>
        </w:rPr>
        <w:t>万元，比202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100.51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20.22</w:t>
      </w:r>
      <w:r>
        <w:rPr>
          <w:rFonts w:hint="eastAsia" w:ascii="仿宋" w:hAnsi="仿宋" w:eastAsia="仿宋" w:cs="仿宋"/>
          <w:sz w:val="32"/>
          <w:szCs w:val="32"/>
        </w:rPr>
        <w:t>%，增长原因主要是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是按照上级文件规定城市特困人员集中供养生活费提标，失能失智护理补贴标准有较大幅度的提高；二是根据皖政办秘〔2023〕2号《安徽省人民政府办公厅关于调整全省最低工资标准的通知》，政府购买服务人员工资标准提高，同时社保基数按照上级文件规定缴纳标准提高，预算支出相应增加；三是单位每年按照流浪乞讨救助实际需要资金情况申报，2023年申报36万元，下达预算15万元，而2024年财政按照实际申报资金下达预算30万元。</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主要包括:本年财政拨款安排</w:t>
      </w:r>
      <w:r>
        <w:rPr>
          <w:rFonts w:hint="eastAsia" w:ascii="仿宋" w:hAnsi="仿宋" w:eastAsia="仿宋" w:cs="仿宋"/>
          <w:sz w:val="32"/>
          <w:szCs w:val="32"/>
          <w:lang w:val="en-US" w:eastAsia="zh-CN"/>
        </w:rPr>
        <w:t>597.65</w:t>
      </w:r>
      <w:r>
        <w:rPr>
          <w:rFonts w:hint="eastAsia" w:ascii="仿宋" w:hAnsi="仿宋" w:eastAsia="仿宋" w:cs="仿宋"/>
          <w:sz w:val="32"/>
          <w:szCs w:val="32"/>
        </w:rPr>
        <w:t>万元</w:t>
      </w:r>
      <w:r>
        <w:rPr>
          <w:rFonts w:hint="eastAsia" w:ascii="仿宋" w:hAnsi="仿宋" w:eastAsia="仿宋" w:cs="仿宋"/>
          <w:sz w:val="32"/>
          <w:szCs w:val="32"/>
          <w:lang w:val="en-US" w:eastAsia="zh-CN"/>
        </w:rPr>
        <w:t>，全部为一般公共预算拨款安排。</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十、关于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 xml:space="preserve"> 年政府采购支出表的说明</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年没有使用一般公共预算拨款、政府性基金预算拨款、国有资本经营预算拨款、财政专户管理资金和单位资金安排的政府采购支出。</w:t>
      </w:r>
    </w:p>
    <w:p>
      <w:pPr>
        <w:spacing w:line="600" w:lineRule="exact"/>
        <w:ind w:firstLine="640" w:firstLineChars="200"/>
        <w:jc w:val="both"/>
        <w:rPr>
          <w:rFonts w:hint="eastAsia" w:ascii="方正小标宋_GBK" w:hAnsi="Times New Roman" w:eastAsia="方正小标宋_GBK" w:cs="方正仿宋_GBK"/>
          <w:sz w:val="32"/>
          <w:szCs w:val="32"/>
          <w:lang w:val="en-US" w:eastAsia="zh-CN"/>
        </w:rPr>
      </w:pPr>
      <w:r>
        <w:rPr>
          <w:rFonts w:hint="eastAsia" w:ascii="方正小标宋_GBK" w:hAnsi="Times New Roman" w:eastAsia="方正小标宋_GBK" w:cs="方正仿宋_GBK"/>
          <w:sz w:val="32"/>
          <w:szCs w:val="32"/>
          <w:lang w:val="en-US" w:eastAsia="zh-CN"/>
        </w:rPr>
        <w:t>十一、关于</w:t>
      </w:r>
      <w:r>
        <w:rPr>
          <w:rFonts w:hint="default" w:ascii="方正小标宋_GBK" w:hAnsi="Times New Roman" w:eastAsia="方正小标宋_GBK" w:cs="方正仿宋_GBK"/>
          <w:sz w:val="32"/>
          <w:szCs w:val="32"/>
          <w:lang w:val="en-US" w:eastAsia="zh-CN"/>
        </w:rPr>
        <w:t>2024</w:t>
      </w:r>
      <w:r>
        <w:rPr>
          <w:rFonts w:hint="eastAsia" w:ascii="方正小标宋_GBK" w:hAnsi="Times New Roman" w:eastAsia="方正小标宋_GBK" w:cs="方正仿宋_GBK"/>
          <w:sz w:val="32"/>
          <w:szCs w:val="32"/>
          <w:lang w:val="en-US" w:eastAsia="zh-CN"/>
        </w:rPr>
        <w:t>年政府购买服务支出表的说明</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年没有安排政府购买服务支出。</w:t>
      </w:r>
    </w:p>
    <w:p>
      <w:pPr>
        <w:spacing w:line="600" w:lineRule="exact"/>
        <w:jc w:val="both"/>
        <w:rPr>
          <w:rFonts w:hint="eastAsia" w:ascii="方正小标宋_GBK" w:hAnsi="Times New Roman" w:eastAsia="方正小标宋_GBK" w:cs="方正仿宋_GBK"/>
          <w:sz w:val="32"/>
          <w:szCs w:val="32"/>
          <w:lang w:val="en-US" w:eastAsia="zh-CN"/>
        </w:rPr>
      </w:pPr>
      <w:r>
        <w:rPr>
          <w:rFonts w:hint="eastAsia" w:ascii="方正仿宋_GBK" w:hAnsi="Times New Roman" w:eastAsia="方正仿宋_GBK" w:cs="方正仿宋_GBK"/>
          <w:sz w:val="32"/>
          <w:szCs w:val="32"/>
        </w:rPr>
        <w:t xml:space="preserve"> </w:t>
      </w:r>
      <w:r>
        <w:rPr>
          <w:rFonts w:hint="eastAsia" w:ascii="方正小标宋_GBK" w:hAnsi="Times New Roman" w:eastAsia="方正小标宋_GBK" w:cs="方正仿宋_GBK"/>
          <w:sz w:val="32"/>
          <w:szCs w:val="32"/>
        </w:rPr>
        <w:t xml:space="preserve">  </w:t>
      </w:r>
      <w:r>
        <w:rPr>
          <w:rFonts w:hint="eastAsia" w:ascii="方正小标宋_GBK" w:eastAsia="方正小标宋_GBK" w:cs="方正仿宋_GBK"/>
          <w:sz w:val="32"/>
          <w:szCs w:val="32"/>
          <w:lang w:val="en-US" w:eastAsia="zh-CN"/>
        </w:rPr>
        <w:t xml:space="preserve"> </w:t>
      </w:r>
      <w:r>
        <w:rPr>
          <w:rFonts w:hint="eastAsia" w:ascii="方正小标宋_GBK" w:hAnsi="Times New Roman" w:eastAsia="方正小标宋_GBK" w:cs="方正仿宋_GBK"/>
          <w:sz w:val="32"/>
          <w:szCs w:val="32"/>
          <w:lang w:val="en-US" w:eastAsia="zh-CN"/>
        </w:rPr>
        <w:t>十二、其他重要事项情况说明</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(一)项目及绩效目标情况。 </w:t>
      </w:r>
    </w:p>
    <w:p>
      <w:pPr>
        <w:spacing w:line="60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1.“2024_困难群众救助_特殊儿童群体基本生活保障”项目。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项目概述。我中心现救助孤儿及事实无人抚养儿童41人，根据宿州市埇桥区人民政府《关于调整孤儿基本生活费保障标准的通知》，福利机构集中供养孤儿和事实无人抚养儿童标准为每人每月1610元，2024年需申请财政资金79.212万元，以切实保障孤儿和事实无人抚养儿童的基本生活、教育、康复、发展等各项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(2)立项依据。宿州市埇桥区人民政府《关于调整孤儿基本生活费保障标准的通知》</w:t>
      </w:r>
      <w:r>
        <w:rPr>
          <w:rFonts w:hint="eastAsia" w:ascii="仿宋" w:hAnsi="仿宋" w:eastAsia="仿宋" w:cs="仿宋"/>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(3)实施主体。</w:t>
      </w:r>
      <w:r>
        <w:rPr>
          <w:rFonts w:hint="eastAsia" w:ascii="仿宋" w:hAnsi="仿宋" w:eastAsia="仿宋" w:cs="仿宋"/>
          <w:sz w:val="32"/>
          <w:szCs w:val="32"/>
          <w:lang w:val="en-US" w:eastAsia="zh-CN"/>
        </w:rPr>
        <w:t>宿州市埇桥区社会福利救助中心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(4)起止时间。</w:t>
      </w:r>
      <w:r>
        <w:rPr>
          <w:rFonts w:hint="eastAsia" w:ascii="仿宋" w:hAnsi="仿宋" w:eastAsia="仿宋" w:cs="仿宋"/>
          <w:sz w:val="32"/>
          <w:szCs w:val="32"/>
          <w:lang w:val="en-US" w:eastAsia="zh-CN"/>
        </w:rPr>
        <w:t>2024年1月1日至2024年12月31日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(5)项目内容。</w:t>
      </w:r>
      <w:r>
        <w:rPr>
          <w:rFonts w:hint="eastAsia" w:ascii="仿宋" w:hAnsi="仿宋" w:eastAsia="仿宋" w:cs="仿宋"/>
          <w:sz w:val="32"/>
          <w:szCs w:val="32"/>
          <w:lang w:val="en-US" w:eastAsia="zh-CN"/>
        </w:rPr>
        <w:t>根据</w:t>
      </w:r>
      <w:r>
        <w:rPr>
          <w:rFonts w:hint="eastAsia" w:ascii="仿宋" w:hAnsi="仿宋" w:eastAsia="仿宋" w:cs="仿宋"/>
          <w:sz w:val="32"/>
          <w:szCs w:val="32"/>
        </w:rPr>
        <w:t>宿州市埇桥区人民政府《关于调整孤儿基本生活费保障标准的通知》</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color w:val="000000"/>
          <w:sz w:val="32"/>
          <w:szCs w:val="32"/>
          <w:lang w:eastAsia="zh-CN"/>
        </w:rPr>
        <w:t>年救助中心需救助儿童4</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人，福利机构集中供养孤儿和事实无人抚养儿童标准为每人每月</w:t>
      </w:r>
      <w:r>
        <w:rPr>
          <w:rFonts w:hint="eastAsia" w:ascii="仿宋" w:hAnsi="仿宋" w:eastAsia="仿宋" w:cs="仿宋"/>
          <w:color w:val="000000"/>
          <w:sz w:val="32"/>
          <w:szCs w:val="32"/>
          <w:lang w:val="en-US" w:eastAsia="zh-CN"/>
        </w:rPr>
        <w:t>1610</w:t>
      </w:r>
      <w:r>
        <w:rPr>
          <w:rFonts w:hint="eastAsia" w:ascii="仿宋" w:hAnsi="仿宋" w:eastAsia="仿宋" w:cs="仿宋"/>
          <w:color w:val="000000"/>
          <w:sz w:val="32"/>
          <w:szCs w:val="32"/>
          <w:lang w:eastAsia="zh-CN"/>
        </w:rPr>
        <w:t>元，</w:t>
      </w:r>
      <w:r>
        <w:rPr>
          <w:rFonts w:hint="eastAsia" w:ascii="仿宋" w:hAnsi="仿宋" w:eastAsia="仿宋" w:cs="仿宋"/>
          <w:sz w:val="32"/>
          <w:szCs w:val="32"/>
          <w:lang w:val="en-US" w:eastAsia="zh-CN"/>
        </w:rPr>
        <w:t>2024</w:t>
      </w:r>
      <w:r>
        <w:rPr>
          <w:rFonts w:hint="eastAsia" w:ascii="仿宋" w:hAnsi="仿宋" w:eastAsia="仿宋" w:cs="仿宋"/>
          <w:color w:val="000000"/>
          <w:sz w:val="32"/>
          <w:szCs w:val="32"/>
          <w:lang w:eastAsia="zh-CN"/>
        </w:rPr>
        <w:t>年孤儿救助保障预算资金共计</w:t>
      </w:r>
      <w:r>
        <w:rPr>
          <w:rFonts w:hint="eastAsia" w:ascii="仿宋" w:hAnsi="仿宋" w:eastAsia="仿宋" w:cs="仿宋"/>
          <w:sz w:val="32"/>
          <w:szCs w:val="32"/>
        </w:rPr>
        <w:t>79.212</w:t>
      </w:r>
      <w:r>
        <w:rPr>
          <w:rFonts w:hint="eastAsia" w:ascii="仿宋" w:hAnsi="仿宋" w:eastAsia="仿宋" w:cs="仿宋"/>
          <w:color w:val="000000"/>
          <w:sz w:val="32"/>
          <w:szCs w:val="32"/>
          <w:lang w:val="en-US" w:eastAsia="zh-CN"/>
        </w:rPr>
        <w:t>万</w:t>
      </w:r>
      <w:r>
        <w:rPr>
          <w:rFonts w:hint="eastAsia" w:ascii="仿宋" w:hAnsi="仿宋" w:eastAsia="仿宋" w:cs="仿宋"/>
          <w:color w:val="000000"/>
          <w:sz w:val="32"/>
          <w:szCs w:val="32"/>
          <w:lang w:eastAsia="zh-CN"/>
        </w:rPr>
        <w:t>元。通过科学合理测算儿童保障资金总额，提升资金使用效率，切实保障孤儿和事实无人抚养儿童的基本生活、教育、康复、发展等各项权益。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(6)年度预算安排。</w:t>
      </w:r>
      <w:r>
        <w:rPr>
          <w:rFonts w:hint="eastAsia" w:ascii="仿宋" w:hAnsi="仿宋" w:eastAsia="仿宋" w:cs="仿宋"/>
          <w:sz w:val="32"/>
          <w:szCs w:val="32"/>
          <w:lang w:val="en-US" w:eastAsia="zh-CN"/>
        </w:rPr>
        <w:t>2024</w:t>
      </w:r>
      <w:r>
        <w:rPr>
          <w:rFonts w:hint="eastAsia" w:ascii="仿宋" w:hAnsi="仿宋" w:eastAsia="仿宋" w:cs="仿宋"/>
          <w:color w:val="000000"/>
          <w:kern w:val="0"/>
          <w:sz w:val="32"/>
          <w:szCs w:val="32"/>
          <w:lang w:val="en-US" w:eastAsia="zh-CN" w:bidi="ar-SA"/>
        </w:rPr>
        <w:t>年财政预算拨款</w:t>
      </w:r>
      <w:r>
        <w:rPr>
          <w:rFonts w:hint="eastAsia" w:ascii="仿宋" w:hAnsi="仿宋" w:eastAsia="仿宋" w:cs="仿宋"/>
          <w:sz w:val="32"/>
          <w:szCs w:val="32"/>
          <w:lang w:val="en-US" w:eastAsia="zh-CN"/>
        </w:rPr>
        <w:t>79.212万元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(7)绩效目标。</w:t>
      </w:r>
    </w:p>
    <w:tbl>
      <w:tblPr>
        <w:tblStyle w:val="6"/>
        <w:tblW w:w="94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903"/>
        <w:gridCol w:w="972"/>
        <w:gridCol w:w="1620"/>
        <w:gridCol w:w="1188"/>
        <w:gridCol w:w="972"/>
        <w:gridCol w:w="1188"/>
        <w:gridCol w:w="727"/>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42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b/>
                <w:bCs/>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9"/>
            <w:tcBorders>
              <w:top w:val="nil"/>
              <w:left w:val="nil"/>
              <w:bottom w:val="nil"/>
              <w:right w:val="nil"/>
            </w:tcBorders>
            <w:shd w:val="clear" w:color="auto" w:fill="auto"/>
            <w:noWrap/>
            <w:vAlign w:val="bottom"/>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项目名称</w:t>
            </w: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2024_困难群众救助_特殊儿童群体基本生活保障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实施单位</w:t>
            </w: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宿州市埇桥区社会福利救助中心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存续类型</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rPr>
              <w:t>延续项目</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项目负责人</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于立新</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联系电话：</w:t>
            </w:r>
          </w:p>
        </w:tc>
        <w:tc>
          <w:tcPr>
            <w:tcW w:w="18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18555079969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项目起止时间</w:t>
            </w: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2024年01月01日——2024年12月31日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6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项目概况</w:t>
            </w: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我中心现救助孤儿及事实无人抚养儿童41人，宿州市埇桥区人民政府《关于调整孤儿基本生活费保障标准的通知》，福利机构集中供养孤儿和事实无人抚养儿童标准为每人每月1610元，2024年需申请财政资金 79.212万元，以切实保障孤儿和事实无人抚养儿童的基本生活、教育、康复、发展等各项权益。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项目资金 （万元）</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中期资金总额：</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年度资金总额：</w:t>
            </w:r>
          </w:p>
        </w:tc>
        <w:tc>
          <w:tcPr>
            <w:tcW w:w="18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其中：财政拨款</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79.212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其中：财政拨款</w:t>
            </w:r>
          </w:p>
        </w:tc>
        <w:tc>
          <w:tcPr>
            <w:tcW w:w="18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79.212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63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其他资金</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kern w:val="0"/>
                <w:sz w:val="18"/>
                <w:szCs w:val="18"/>
                <w:lang w:val="en-US" w:eastAsia="zh-CN" w:bidi="ar-SA"/>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其他资金</w:t>
            </w:r>
          </w:p>
        </w:tc>
        <w:tc>
          <w:tcPr>
            <w:tcW w:w="18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56"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总</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体</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目</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标</w:t>
            </w:r>
          </w:p>
        </w:tc>
        <w:tc>
          <w:tcPr>
            <w:tcW w:w="46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中期目标（2024年一2026年）</w:t>
            </w:r>
          </w:p>
        </w:tc>
        <w:tc>
          <w:tcPr>
            <w:tcW w:w="39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756"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46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按照“儿童优先”和“儿童利益最大化”的原则，对孤儿、父母因重大困难无法履行抚养和监护责任的事实无人抚养儿童，采取政府补助的方式增强儿童家庭养育能力，以最大限度地维系儿童原有家庭环境，保障其生存、保护和发展权益。让孤残儿童健康成长、入学和就业。</w:t>
            </w:r>
          </w:p>
        </w:tc>
        <w:tc>
          <w:tcPr>
            <w:tcW w:w="39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通过科学合理测算儿童保障资金总额，及时有效救助孤儿及事实无人抚养儿童，提升资金使用效率，切实保障孤儿及事实无人抚养儿童的生活、医疗、教育、康复、发展等各项权益。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绩</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效</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指</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标</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 xml:space="preserve">一级指标 </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三级指标</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指标值</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二级指标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三级指标</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产出指标</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救助儿童供养对象人数</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41人</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数量指标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救助儿童供养对象人数</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救助儿童生活费保障标准</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1610元/人/月</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质量指标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救助儿童生活费保障标准</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1610元/人/月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kern w:val="0"/>
                <w:sz w:val="18"/>
                <w:szCs w:val="18"/>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救助儿童生活质量</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逐步提高</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救助儿童生活质量</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资金在规定时间内下达率</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时效指标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资金在规定时间内下达率</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≥95%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000000"/>
                <w:kern w:val="0"/>
                <w:sz w:val="18"/>
                <w:szCs w:val="18"/>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救助资金在规定时间内支付到位</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救助资金在规定时间内支付到位</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color w:val="000000"/>
                <w:kern w:val="0"/>
                <w:sz w:val="18"/>
                <w:szCs w:val="18"/>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儿童救助保障金额</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救助资金标准1610元/人/月，41人共计79.212万元</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成本指标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儿童救助保障金额</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救助资金标准1610元/人/月，41人共计79.212万元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效益指标</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社会效益 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孤儿生活水平、教育、残疾儿童康复提升情况</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稳步提升</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社会效益 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指标1:孤儿生活水平提升情况</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可持续影响 指标</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孤儿基本生活保障制度</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不断完善</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可持续影响 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孤儿基本生活保障制度</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kern w:val="0"/>
                <w:sz w:val="18"/>
                <w:szCs w:val="18"/>
                <w:lang w:val="en-US" w:eastAsia="zh-CN" w:bidi="ar-SA"/>
              </w:rPr>
            </w:pP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满意度</w:t>
            </w:r>
            <w:r>
              <w:rPr>
                <w:rFonts w:hint="eastAsia" w:ascii="宋体" w:hAnsi="宋体" w:eastAsia="宋体" w:cs="宋体"/>
                <w:color w:val="000000"/>
                <w:kern w:val="0"/>
                <w:sz w:val="18"/>
                <w:szCs w:val="18"/>
                <w:lang w:val="en-US" w:eastAsia="zh-CN" w:bidi="ar-SA"/>
              </w:rPr>
              <w:br w:type="textWrapping"/>
            </w:r>
            <w:r>
              <w:rPr>
                <w:rFonts w:hint="eastAsia" w:ascii="宋体" w:hAnsi="宋体" w:eastAsia="宋体" w:cs="宋体"/>
                <w:color w:val="000000"/>
                <w:kern w:val="0"/>
                <w:sz w:val="18"/>
                <w:szCs w:val="18"/>
                <w:lang w:val="en-US" w:eastAsia="zh-CN" w:bidi="ar-SA"/>
              </w:rPr>
              <w:t>指标</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服务对象 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服务对象 满意度指标</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救助儿童满意度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r>
    </w:tbl>
    <w:p>
      <w:pPr>
        <w:spacing w:line="600" w:lineRule="exact"/>
        <w:ind w:firstLine="640" w:firstLineChars="200"/>
        <w:jc w:val="both"/>
        <w:rPr>
          <w:rFonts w:hint="default" w:ascii="Times New Roman" w:hAnsi="Times New Roman" w:eastAsia="仿宋_GB2312" w:cs="Times New Roman"/>
          <w:sz w:val="32"/>
          <w:szCs w:val="32"/>
        </w:rPr>
      </w:pPr>
    </w:p>
    <w:p>
      <w:pPr>
        <w:spacing w:line="60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2.“2024_困难群众救助_特困人员救助供养”项目。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rPr>
        <w:t>(1)项目概述。</w:t>
      </w:r>
      <w:r>
        <w:rPr>
          <w:rFonts w:hint="eastAsia" w:ascii="仿宋" w:hAnsi="仿宋" w:eastAsia="仿宋" w:cs="仿宋"/>
          <w:sz w:val="32"/>
          <w:szCs w:val="32"/>
          <w:lang w:val="en-US" w:eastAsia="zh-CN"/>
        </w:rPr>
        <w:t>城市特困人员是指城镇居民中无劳动能力、无生活来源、无法定赡养人和扶养人，或者其赡养人和扶养人确无赡养或者扶养能力的老年人、残疾人。根据相关文件精神，福利救助中心应为特困人员提供基本生活保障，切实维护他们的基本生活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(2)立项依据。根据宿政办秘〔</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号《关于调整我市</w:t>
      </w:r>
      <w:r>
        <w:rPr>
          <w:rFonts w:hint="eastAsia" w:ascii="仿宋" w:hAnsi="仿宋" w:eastAsia="仿宋" w:cs="仿宋"/>
          <w:sz w:val="32"/>
          <w:szCs w:val="32"/>
          <w:lang w:val="en-US" w:eastAsia="zh-CN"/>
        </w:rPr>
        <w:t>2023</w:t>
      </w:r>
      <w:r>
        <w:rPr>
          <w:rFonts w:hint="eastAsia" w:ascii="仿宋" w:hAnsi="仿宋" w:eastAsia="仿宋" w:cs="仿宋"/>
          <w:sz w:val="32"/>
          <w:szCs w:val="32"/>
        </w:rPr>
        <w:t xml:space="preserve">年最低生活保障标准和特困人员供养标准的通知》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(3)实施主体。</w:t>
      </w:r>
      <w:r>
        <w:rPr>
          <w:rFonts w:hint="eastAsia" w:ascii="仿宋" w:hAnsi="仿宋" w:eastAsia="仿宋" w:cs="仿宋"/>
          <w:sz w:val="32"/>
          <w:szCs w:val="32"/>
          <w:lang w:val="en-US" w:eastAsia="zh-CN"/>
        </w:rPr>
        <w:t>宿州市埇桥区社会福利救助中心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(4)起止时间。</w:t>
      </w:r>
      <w:r>
        <w:rPr>
          <w:rFonts w:hint="eastAsia" w:ascii="仿宋" w:hAnsi="仿宋" w:eastAsia="仿宋" w:cs="仿宋"/>
          <w:sz w:val="32"/>
          <w:szCs w:val="32"/>
          <w:lang w:val="en-US" w:eastAsia="zh-CN"/>
        </w:rPr>
        <w:t>2024年1月1日至2024年12月31日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(5)项目内容。我中心现有集中供养城市特困人员139人，动态人员10人，共计149人。为充分保障特困人员基本生活，根据宿政办秘〔</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号《关于调整我市</w:t>
      </w:r>
      <w:r>
        <w:rPr>
          <w:rFonts w:hint="eastAsia" w:ascii="仿宋" w:hAnsi="仿宋" w:eastAsia="仿宋" w:cs="仿宋"/>
          <w:sz w:val="32"/>
          <w:szCs w:val="32"/>
          <w:lang w:val="en-US" w:eastAsia="zh-CN"/>
        </w:rPr>
        <w:t>2023</w:t>
      </w:r>
      <w:r>
        <w:rPr>
          <w:rFonts w:hint="eastAsia" w:ascii="仿宋" w:hAnsi="仿宋" w:eastAsia="仿宋" w:cs="仿宋"/>
          <w:sz w:val="32"/>
          <w:szCs w:val="32"/>
        </w:rPr>
        <w:t>年最低生活保障标准和特困人员供养标准的通知》，城市特困人员集中供养生活费标准为每人每月900元,需申请</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年财政资金160.92万元；失能失智护理补贴按照全护理、半护理、全自理标准分别为每人每月965元、579元、78元,需申请</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年财政资金130.716万元，总计</w:t>
      </w:r>
      <w:r>
        <w:rPr>
          <w:rFonts w:hint="eastAsia" w:ascii="仿宋" w:hAnsi="仿宋" w:eastAsia="仿宋" w:cs="仿宋"/>
          <w:sz w:val="32"/>
          <w:szCs w:val="32"/>
          <w:lang w:val="en-US" w:eastAsia="zh-CN"/>
        </w:rPr>
        <w:t>2024</w:t>
      </w:r>
      <w:r>
        <w:rPr>
          <w:rFonts w:hint="eastAsia" w:ascii="仿宋" w:hAnsi="仿宋" w:eastAsia="仿宋" w:cs="仿宋"/>
          <w:sz w:val="32"/>
          <w:szCs w:val="32"/>
        </w:rPr>
        <w:t>年需申请特困人员救助供养财政资金291.636万元，用于保障特困人员基本生活，切实维护他们的基本生活权益。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(6)年度预算安排。</w:t>
      </w:r>
      <w:r>
        <w:rPr>
          <w:rFonts w:hint="eastAsia" w:ascii="仿宋" w:hAnsi="仿宋" w:eastAsia="仿宋" w:cs="仿宋"/>
          <w:sz w:val="32"/>
          <w:szCs w:val="32"/>
          <w:lang w:val="en-US" w:eastAsia="zh-CN"/>
        </w:rPr>
        <w:t>2024年财政预算拨款</w:t>
      </w:r>
      <w:r>
        <w:rPr>
          <w:rFonts w:hint="eastAsia" w:ascii="仿宋" w:hAnsi="仿宋" w:eastAsia="仿宋" w:cs="仿宋"/>
          <w:sz w:val="32"/>
          <w:szCs w:val="32"/>
        </w:rPr>
        <w:t>291.6</w:t>
      </w:r>
      <w:r>
        <w:rPr>
          <w:rFonts w:hint="eastAsia" w:ascii="仿宋" w:hAnsi="仿宋" w:eastAsia="仿宋" w:cs="仿宋"/>
          <w:sz w:val="32"/>
          <w:szCs w:val="32"/>
          <w:lang w:val="en-US" w:eastAsia="zh-CN"/>
        </w:rPr>
        <w:t>36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(7)绩效目标。</w:t>
      </w:r>
    </w:p>
    <w:tbl>
      <w:tblPr>
        <w:tblStyle w:val="6"/>
        <w:tblW w:w="986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
        <w:gridCol w:w="424"/>
        <w:gridCol w:w="485"/>
        <w:gridCol w:w="1786"/>
        <w:gridCol w:w="2594"/>
        <w:gridCol w:w="728"/>
        <w:gridCol w:w="724"/>
        <w:gridCol w:w="2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86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b/>
                <w:bCs/>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9866" w:type="dxa"/>
            <w:gridSpan w:val="8"/>
            <w:tcBorders>
              <w:top w:val="nil"/>
              <w:left w:val="nil"/>
              <w:bottom w:val="nil"/>
              <w:right w:val="nil"/>
            </w:tcBorders>
            <w:shd w:val="clear" w:color="auto" w:fill="auto"/>
            <w:noWrap/>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w:t>
            </w:r>
            <w:r>
              <w:rPr>
                <w:rFonts w:hint="eastAsia" w:ascii="Times New Roman" w:hAnsi="Times New Roman" w:eastAsia="仿宋_GB2312" w:cs="Times New Roman"/>
                <w:sz w:val="20"/>
                <w:szCs w:val="20"/>
                <w:lang w:val="en-US" w:eastAsia="zh-CN"/>
              </w:rPr>
              <w:t>2024</w:t>
            </w:r>
            <w:r>
              <w:rPr>
                <w:rFonts w:hint="eastAsia" w:ascii="仿宋_GB2312" w:hAnsi="仿宋_GB2312" w:eastAsia="仿宋_GB2312" w:cs="仿宋_GB2312"/>
                <w:color w:val="000000"/>
                <w:kern w:val="0"/>
                <w:sz w:val="20"/>
                <w:szCs w:val="20"/>
                <w:lang w:val="en-US" w:eastAsia="zh-CN"/>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2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项目名称</w:t>
            </w:r>
          </w:p>
        </w:tc>
        <w:tc>
          <w:tcPr>
            <w:tcW w:w="85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2024_困难群众救助_特困人员救助供养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2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实施单位</w:t>
            </w:r>
          </w:p>
        </w:tc>
        <w:tc>
          <w:tcPr>
            <w:tcW w:w="85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宿州市埇桥区社会福利救助中心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2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存续类型</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延续项目</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项目负责人</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于立新</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联系电话：</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18555079969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2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项目起止时间</w:t>
            </w:r>
          </w:p>
        </w:tc>
        <w:tc>
          <w:tcPr>
            <w:tcW w:w="85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2024年01月01日——2024年12月31日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2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项目概况</w:t>
            </w:r>
          </w:p>
        </w:tc>
        <w:tc>
          <w:tcPr>
            <w:tcW w:w="858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我中心现有集中供养城市特困人员139人，动态人员10人，共计149人。为充分保障特困人员基本生活，根据宿政办秘〔2023〕24号《关于调整我市2023年最低生活保障标准和特困人员供养标准的通知》，城市特困人员集中供养生活费标准为每人每月900元,需申请2024年财政资金160.92万元；失能失智护理补贴按照全护理、半护理、全自理标准分别为每人每月965元、579元、78元,需申请2024年财政资金130.716万元，总计2024年需申请特困人员救助供养财政资金291.636万元，用于保障特困人员基本生活，切实维护他们的基本生活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28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项目资金 （万元）</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中期资金总额：</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c>
          <w:tcPr>
            <w:tcW w:w="1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年度资金总额：</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28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其中：财政拨款</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c>
          <w:tcPr>
            <w:tcW w:w="1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其中：财政拨款</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28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其他资金</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其他资金</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71"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总</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体</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目</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标</w:t>
            </w:r>
          </w:p>
        </w:tc>
        <w:tc>
          <w:tcPr>
            <w:tcW w:w="52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中期目标（2024年一2026年）</w:t>
            </w:r>
          </w:p>
        </w:tc>
        <w:tc>
          <w:tcPr>
            <w:tcW w:w="42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71"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52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按照党中央、国务院决策部署，以解决城乡特困人员突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tc>
        <w:tc>
          <w:tcPr>
            <w:tcW w:w="42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根据宿政办秘〔2023〕24号《关于调整我市2023年最低生活保障标准和特困人员供养标准的通知》，中心应按时保质保量完成城市特困人员救助供养工作，建立特困人员救助供养制度，为特困人员提供基本生活保障，使特困人员得到较好的照料护理，生活质量得到提升，切实兜住兜牢兜好基本民生保障底线。切实维护他们的基本生活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绩</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效</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指</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标</w:t>
            </w:r>
          </w:p>
        </w:tc>
        <w:tc>
          <w:tcPr>
            <w:tcW w:w="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一级指标 </w:t>
            </w:r>
          </w:p>
        </w:tc>
        <w:tc>
          <w:tcPr>
            <w:tcW w:w="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二级指标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三级指标</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指标值</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二级指标</w:t>
            </w:r>
          </w:p>
        </w:tc>
        <w:tc>
          <w:tcPr>
            <w:tcW w:w="724"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三级指标</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1"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产出指标</w:t>
            </w:r>
          </w:p>
        </w:tc>
        <w:tc>
          <w:tcPr>
            <w:tcW w:w="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数量指标</w:t>
            </w:r>
          </w:p>
        </w:tc>
        <w:tc>
          <w:tcPr>
            <w:tcW w:w="1786" w:type="dxa"/>
            <w:tcBorders>
              <w:top w:val="nil"/>
              <w:left w:val="nil"/>
              <w:bottom w:val="nil"/>
              <w:right w:val="nil"/>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集中供养城市特困人员人数</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149人</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数量指标</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集中供养城市特困人员人数</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质量指标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城市特困人员生活保障标准</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900元/人/月，中期会逐步提高</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质量指标</w:t>
            </w:r>
          </w:p>
        </w:tc>
        <w:tc>
          <w:tcPr>
            <w:tcW w:w="724"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城市特困人员生活保障标准</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2"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特困人员失能失智护理补贴标准</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特困人员按照全护理、半护理、全自理护理补贴标准分别为每人每月965元、579元、78元，中期会逐步提高</w:t>
            </w: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24"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特困人员失能失智护理补贴标准</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特困人员按照全护理、半护理、全自理护理补贴标准分别为每人每月965元、579元、78元，中期会逐步提高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城市特困人员生活质量</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逐步改善提高</w:t>
            </w: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城市特困人员生活质量</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时效指标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资金在规定时间内下达率</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时效指标</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资金在规定时间内下达率</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补助资金在规定时间内支付到位</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指标2：补助资金在规定时间内支付到位</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成本指标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城市特困人员救助供养生活费金额</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共计160.92万元，中期救济标准会逐步提高，特困人员的生活会得到切实保障。</w:t>
            </w:r>
          </w:p>
        </w:tc>
        <w:tc>
          <w:tcPr>
            <w:tcW w:w="728"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成本指标</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城市特困人员救助供养生活费金额</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共计160.92万元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失能失智人员护理补贴补助金额</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2024年约需资金130.716万元(965*60+579*88+78*1)*12/10000=130.716，中期护理补贴标准会逐步提高</w:t>
            </w:r>
          </w:p>
        </w:tc>
        <w:tc>
          <w:tcPr>
            <w:tcW w:w="728"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失能失智人员护理补贴补助金额</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2024年约需资金130.716万元(965*60+579*88+78*1)*12/10000=130.716，中期护理补贴标准会逐步提高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效益指标</w:t>
            </w:r>
          </w:p>
        </w:tc>
        <w:tc>
          <w:tcPr>
            <w:tcW w:w="485"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社会效益 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特困供养对象生活水平、护理提升情况</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稳步提升</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社会效益 指标</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特困供养对象生活水平、护理提升情况</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8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1786" w:type="dxa"/>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政策知晓率</w:t>
            </w:r>
          </w:p>
        </w:tc>
        <w:tc>
          <w:tcPr>
            <w:tcW w:w="2594"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政策知晓率</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可持续影响指标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对健全社会救助体系的影响</w:t>
            </w:r>
          </w:p>
        </w:tc>
        <w:tc>
          <w:tcPr>
            <w:tcW w:w="2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不断完善</w:t>
            </w:r>
          </w:p>
        </w:tc>
        <w:tc>
          <w:tcPr>
            <w:tcW w:w="728"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可持续影响 指标</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对健全社会救助体系的影响</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p>
        </w:tc>
        <w:tc>
          <w:tcPr>
            <w:tcW w:w="424"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满意度</w:t>
            </w:r>
            <w:r>
              <w:rPr>
                <w:rFonts w:hint="eastAsia" w:ascii="宋体" w:hAnsi="宋体" w:eastAsia="宋体" w:cs="宋体"/>
                <w:color w:val="000000"/>
                <w:kern w:val="0"/>
                <w:sz w:val="18"/>
                <w:szCs w:val="18"/>
                <w:lang w:val="en-US" w:eastAsia="zh-CN"/>
              </w:rPr>
              <w:br w:type="textWrapping"/>
            </w:r>
            <w:r>
              <w:rPr>
                <w:rFonts w:hint="eastAsia" w:ascii="宋体" w:hAnsi="宋体" w:eastAsia="宋体" w:cs="宋体"/>
                <w:color w:val="000000"/>
                <w:kern w:val="0"/>
                <w:sz w:val="18"/>
                <w:szCs w:val="18"/>
                <w:lang w:val="en-US" w:eastAsia="zh-CN"/>
              </w:rPr>
              <w:t>指标</w:t>
            </w:r>
          </w:p>
        </w:tc>
        <w:tc>
          <w:tcPr>
            <w:tcW w:w="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服务对象 满意度指标</w:t>
            </w:r>
          </w:p>
        </w:tc>
        <w:tc>
          <w:tcPr>
            <w:tcW w:w="1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城市特困供养对象满意度</w:t>
            </w:r>
          </w:p>
        </w:tc>
        <w:tc>
          <w:tcPr>
            <w:tcW w:w="2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728"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服务对象 满意度指标</w:t>
            </w:r>
          </w:p>
        </w:tc>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城市特困供养对象满意度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spacing w:line="600" w:lineRule="exact"/>
        <w:jc w:val="both"/>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(四)国有资产占有使用情况。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w:t>
      </w:r>
      <w:r>
        <w:rPr>
          <w:rFonts w:hint="eastAsia" w:ascii="仿宋" w:hAnsi="仿宋" w:eastAsia="仿宋" w:cs="仿宋"/>
          <w:sz w:val="32"/>
          <w:szCs w:val="32"/>
        </w:rPr>
        <w:t>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辆、离退休干部用车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val="en-US" w:eastAsia="zh-CN"/>
        </w:rPr>
        <w:t>车型为瑞风一家亲商务车</w:t>
      </w:r>
      <w:r>
        <w:rPr>
          <w:rFonts w:hint="eastAsia" w:ascii="仿宋" w:hAnsi="仿宋" w:eastAsia="仿宋" w:cs="仿宋"/>
          <w:sz w:val="32"/>
          <w:szCs w:val="32"/>
        </w:rPr>
        <w:t>)。单位价值 50 万元以上的通用设备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 100 万元以上的专用设备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年单位预算安排购置公务用车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辆、离退休干部用车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辆(只列报车辆不为0的车型);安排购置单位价值 50 万元以上的通用设备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 ;安排购置单位价值100万元以上专用设备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_GB2312" w:hAnsi="仿宋_GB2312" w:eastAsia="仿宋_GB2312" w:cs="仿宋_GB2312"/>
          <w:sz w:val="32"/>
          <w:szCs w:val="32"/>
        </w:rPr>
        <w:t xml:space="preserve"> </w:t>
      </w:r>
    </w:p>
    <w:p>
      <w:pPr>
        <w:spacing w:line="600" w:lineRule="exact"/>
        <w:jc w:val="both"/>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(五)绩效目标设置情况。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埇桥区</w:t>
      </w:r>
      <w:r>
        <w:rPr>
          <w:rFonts w:hint="eastAsia" w:ascii="仿宋" w:hAnsi="仿宋" w:eastAsia="仿宋" w:cs="仿宋"/>
          <w:sz w:val="32"/>
          <w:szCs w:val="32"/>
          <w:lang w:val="en-US" w:eastAsia="zh-CN"/>
        </w:rPr>
        <w:t>社会福利救助中心5</w:t>
      </w:r>
      <w:r>
        <w:rPr>
          <w:rFonts w:hint="eastAsia" w:ascii="仿宋" w:hAnsi="仿宋" w:eastAsia="仿宋" w:cs="仿宋"/>
          <w:sz w:val="32"/>
          <w:szCs w:val="32"/>
        </w:rPr>
        <w:t>个项目实行了绩效目标管理，涉及一般公共预算当年财政拨款</w:t>
      </w:r>
      <w:r>
        <w:rPr>
          <w:rFonts w:hint="eastAsia" w:ascii="仿宋" w:hAnsi="仿宋" w:eastAsia="仿宋" w:cs="仿宋"/>
          <w:sz w:val="32"/>
          <w:szCs w:val="32"/>
          <w:lang w:val="en-US" w:eastAsia="zh-CN"/>
        </w:rPr>
        <w:t>597.65</w:t>
      </w:r>
      <w:r>
        <w:rPr>
          <w:rFonts w:hint="eastAsia" w:ascii="仿宋" w:hAnsi="仿宋" w:eastAsia="仿宋" w:cs="仿宋"/>
          <w:sz w:val="32"/>
          <w:szCs w:val="32"/>
        </w:rPr>
        <w:t>万元、政府性基金预算当年财政拨款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万元、国有资本经营预算当年财政拨款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万元、财政专户管理资金当年安排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万元和单位资金安排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_GBK" w:hAnsi="Times New Roman" w:eastAsia="方正大标宋_GBK" w:cs="方正仿宋_GBK"/>
          <w:sz w:val="36"/>
          <w:szCs w:val="36"/>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一、财政拨款收入:指部门或单位从同级财政部门取得的财政预算资金。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二、上年结转:指以前年度安排、结转到本年仍按原用途继续使用的资金。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、结转下年:指以前年度预算安排、因客观条件发生变化无法按原计划实施，需以后年度按原用途继续使用的资金。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、基本支出:指为保障机构正常运转、完成日常工作任而发生的人员支出和公用支出。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
          <w:lang w:val="en-US"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、项目支出:指在除基本支出之外的支出，主要用于完成特定的工作任务和事业发展目标</w:t>
      </w:r>
      <w:r>
        <w:rPr>
          <w:rFonts w:hint="eastAsia" w:ascii="仿宋" w:hAnsi="仿宋" w:eastAsia="仿宋" w:cs="仿宋"/>
          <w:sz w:val="32"/>
          <w:szCs w:val="32"/>
          <w:lang w:eastAsia="zh-CN"/>
        </w:rPr>
        <w:t>。</w:t>
      </w:r>
    </w:p>
    <w:sectPr>
      <w:footerReference r:id="rId3" w:type="default"/>
      <w:footerReference r:id="rId4" w:type="even"/>
      <w:pgSz w:w="11906" w:h="16838"/>
      <w:pgMar w:top="1440" w:right="1080" w:bottom="1440" w:left="1080" w:header="851" w:footer="964"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方正小标宋_GBK">
    <w:panose1 w:val="02000000000000000000"/>
    <w:charset w:val="86"/>
    <w:family w:val="script"/>
    <w:pitch w:val="default"/>
    <w:sig w:usb0="A00002BF" w:usb1="38CF7CFA" w:usb2="00082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N2JhNmNhMjdhYTgyNTcwZDJkYTJlNzhhN2MzODMifQ=="/>
  </w:docVars>
  <w:rsids>
    <w:rsidRoot w:val="61F33727"/>
    <w:rsid w:val="000A002F"/>
    <w:rsid w:val="001A64C4"/>
    <w:rsid w:val="00A87F74"/>
    <w:rsid w:val="010F7FF3"/>
    <w:rsid w:val="014A2DD9"/>
    <w:rsid w:val="021D146B"/>
    <w:rsid w:val="0466236F"/>
    <w:rsid w:val="04EE7F1F"/>
    <w:rsid w:val="07227327"/>
    <w:rsid w:val="0A3463D4"/>
    <w:rsid w:val="0BB93035"/>
    <w:rsid w:val="0BDE421E"/>
    <w:rsid w:val="0C6A2581"/>
    <w:rsid w:val="0CD65E68"/>
    <w:rsid w:val="0E7D63D0"/>
    <w:rsid w:val="12A33A4C"/>
    <w:rsid w:val="14535FF1"/>
    <w:rsid w:val="17D76115"/>
    <w:rsid w:val="19267565"/>
    <w:rsid w:val="19342AA2"/>
    <w:rsid w:val="1A4B6A9E"/>
    <w:rsid w:val="1F022AED"/>
    <w:rsid w:val="1F3A5DE3"/>
    <w:rsid w:val="1F8B663F"/>
    <w:rsid w:val="22066450"/>
    <w:rsid w:val="22DD3655"/>
    <w:rsid w:val="230970EB"/>
    <w:rsid w:val="23B95E70"/>
    <w:rsid w:val="28C52BC1"/>
    <w:rsid w:val="2A187669"/>
    <w:rsid w:val="2A392506"/>
    <w:rsid w:val="2C5A7AC4"/>
    <w:rsid w:val="2E695DDB"/>
    <w:rsid w:val="2EBD1B9A"/>
    <w:rsid w:val="2F5363BF"/>
    <w:rsid w:val="30507EA7"/>
    <w:rsid w:val="30520671"/>
    <w:rsid w:val="31DB79D8"/>
    <w:rsid w:val="31F664E1"/>
    <w:rsid w:val="33D91C17"/>
    <w:rsid w:val="34513D87"/>
    <w:rsid w:val="39975BA6"/>
    <w:rsid w:val="3AED5FA8"/>
    <w:rsid w:val="3B920E0E"/>
    <w:rsid w:val="3E111FAD"/>
    <w:rsid w:val="3EF25FA6"/>
    <w:rsid w:val="43996573"/>
    <w:rsid w:val="43A538C3"/>
    <w:rsid w:val="440019E3"/>
    <w:rsid w:val="444E3F5B"/>
    <w:rsid w:val="458D213C"/>
    <w:rsid w:val="46001285"/>
    <w:rsid w:val="48653621"/>
    <w:rsid w:val="49667651"/>
    <w:rsid w:val="49AD5280"/>
    <w:rsid w:val="49F04A75"/>
    <w:rsid w:val="4A2007B4"/>
    <w:rsid w:val="4B86222C"/>
    <w:rsid w:val="4C4A063D"/>
    <w:rsid w:val="4E6014DC"/>
    <w:rsid w:val="4ECF5C98"/>
    <w:rsid w:val="4FFD25DC"/>
    <w:rsid w:val="510D6018"/>
    <w:rsid w:val="515818C2"/>
    <w:rsid w:val="51D320A3"/>
    <w:rsid w:val="52EF069A"/>
    <w:rsid w:val="53503344"/>
    <w:rsid w:val="58C54B31"/>
    <w:rsid w:val="5A8400EB"/>
    <w:rsid w:val="5B1213E7"/>
    <w:rsid w:val="5B423ECD"/>
    <w:rsid w:val="5C537F09"/>
    <w:rsid w:val="5C797243"/>
    <w:rsid w:val="5ECF75EF"/>
    <w:rsid w:val="607B17DC"/>
    <w:rsid w:val="612273AC"/>
    <w:rsid w:val="61A954E6"/>
    <w:rsid w:val="61F33727"/>
    <w:rsid w:val="634467FD"/>
    <w:rsid w:val="643152EC"/>
    <w:rsid w:val="6ABC7372"/>
    <w:rsid w:val="6C264CF2"/>
    <w:rsid w:val="6E0830F2"/>
    <w:rsid w:val="6E1F1998"/>
    <w:rsid w:val="6ED57CA3"/>
    <w:rsid w:val="70337182"/>
    <w:rsid w:val="708E6BD5"/>
    <w:rsid w:val="7158306D"/>
    <w:rsid w:val="71B0555E"/>
    <w:rsid w:val="7209659F"/>
    <w:rsid w:val="72E90827"/>
    <w:rsid w:val="74750913"/>
    <w:rsid w:val="76454210"/>
    <w:rsid w:val="7731580E"/>
    <w:rsid w:val="78CF04BF"/>
    <w:rsid w:val="7A811C8D"/>
    <w:rsid w:val="7B0408F4"/>
    <w:rsid w:val="7B364826"/>
    <w:rsid w:val="7B3B62E0"/>
    <w:rsid w:val="7CDB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_Style 2"/>
    <w:basedOn w:val="1"/>
    <w:autoRedefine/>
    <w:qFormat/>
    <w:uiPriority w:val="99"/>
    <w:pPr>
      <w:spacing w:line="351" w:lineRule="atLeast"/>
      <w:ind w:firstLine="623"/>
      <w:textAlignment w:val="baseline"/>
    </w:pPr>
    <w:rPr>
      <w:color w:val="000000"/>
      <w:sz w:val="31"/>
      <w:szCs w:val="31"/>
    </w:rPr>
  </w:style>
  <w:style w:type="paragraph" w:styleId="3">
    <w:name w:val="Normal Indent"/>
    <w:basedOn w:val="1"/>
    <w:autoRedefine/>
    <w:qFormat/>
    <w:uiPriority w:val="0"/>
    <w:pPr>
      <w:ind w:firstLine="420" w:firstLineChars="200"/>
    </w:pPr>
  </w:style>
  <w:style w:type="paragraph" w:styleId="4">
    <w:name w:val="Body Text"/>
    <w:basedOn w:val="1"/>
    <w:autoRedefine/>
    <w:qFormat/>
    <w:uiPriority w:val="0"/>
    <w:pPr>
      <w:spacing w:after="120"/>
    </w:pPr>
  </w:style>
  <w:style w:type="paragraph" w:styleId="5">
    <w:name w:val="footer"/>
    <w:basedOn w:val="1"/>
    <w:autoRedefine/>
    <w:qFormat/>
    <w:uiPriority w:val="0"/>
    <w:pPr>
      <w:tabs>
        <w:tab w:val="center" w:pos="4153"/>
        <w:tab w:val="right" w:pos="8306"/>
      </w:tabs>
      <w:snapToGrid w:val="0"/>
      <w:jc w:val="left"/>
    </w:pPr>
    <w:rPr>
      <w:sz w:val="18"/>
      <w:szCs w:val="18"/>
    </w:rPr>
  </w:style>
  <w:style w:type="character" w:styleId="8">
    <w:name w:val="Strong"/>
    <w:basedOn w:val="7"/>
    <w:autoRedefine/>
    <w:qFormat/>
    <w:uiPriority w:val="0"/>
    <w:rPr>
      <w:b/>
      <w:bCs/>
    </w:rPr>
  </w:style>
  <w:style w:type="paragraph" w:customStyle="1" w:styleId="9">
    <w:name w:val="仿宋正文"/>
    <w:basedOn w:val="1"/>
    <w:autoRedefine/>
    <w:qFormat/>
    <w:uiPriority w:val="0"/>
    <w:pPr>
      <w:spacing w:line="600" w:lineRule="exact"/>
      <w:ind w:firstLine="420" w:firstLineChars="200"/>
    </w:pPr>
    <w:rPr>
      <w:rFonts w:ascii="Times New Roman" w:hAnsi="Times New Roman" w:eastAsia="仿宋_GB2312"/>
      <w:sz w:val="32"/>
      <w:szCs w:val="32"/>
    </w:rPr>
  </w:style>
  <w:style w:type="paragraph" w:customStyle="1" w:styleId="10">
    <w:name w:val=" Char"/>
    <w:basedOn w:val="1"/>
    <w:autoRedefine/>
    <w:qFormat/>
    <w:uiPriority w:val="0"/>
    <w:pPr>
      <w:widowControl/>
      <w:adjustRightInd w:val="0"/>
      <w:spacing w:line="400" w:lineRule="exact"/>
      <w:jc w:val="center"/>
      <w:textAlignment w:val="baseline"/>
    </w:pPr>
    <w:rPr>
      <w:rFonts w:ascii="Verdana" w:hAnsi="Verdana"/>
      <w:kern w:val="0"/>
      <w:sz w:val="24"/>
      <w:szCs w:val="20"/>
      <w:lang w:eastAsia="en-US"/>
    </w:rPr>
  </w:style>
  <w:style w:type="character" w:customStyle="1" w:styleId="11">
    <w:name w:val="font13"/>
    <w:basedOn w:val="7"/>
    <w:autoRedefine/>
    <w:qFormat/>
    <w:uiPriority w:val="0"/>
    <w:rPr>
      <w:rFonts w:hint="eastAsia" w:ascii="宋体" w:hAnsi="宋体" w:eastAsia="宋体" w:cs="宋体"/>
      <w:color w:val="000000"/>
      <w:sz w:val="20"/>
      <w:szCs w:val="20"/>
      <w:u w:val="none"/>
    </w:rPr>
  </w:style>
  <w:style w:type="character" w:customStyle="1" w:styleId="12">
    <w:name w:val="font101"/>
    <w:basedOn w:val="7"/>
    <w:autoRedefine/>
    <w:qFormat/>
    <w:uiPriority w:val="0"/>
    <w:rPr>
      <w:rFonts w:hint="eastAsia" w:ascii="宋体" w:hAnsi="宋体" w:eastAsia="宋体" w:cs="宋体"/>
      <w:b/>
      <w:bCs/>
      <w:color w:val="000000"/>
      <w:sz w:val="20"/>
      <w:szCs w:val="20"/>
      <w:u w:val="none"/>
    </w:rPr>
  </w:style>
  <w:style w:type="character" w:customStyle="1" w:styleId="13">
    <w:name w:val="font21"/>
    <w:basedOn w:val="7"/>
    <w:autoRedefine/>
    <w:qFormat/>
    <w:uiPriority w:val="0"/>
    <w:rPr>
      <w:rFonts w:hint="eastAsia" w:ascii="宋体" w:hAnsi="宋体" w:eastAsia="宋体" w:cs="宋体"/>
      <w:b/>
      <w:bCs/>
      <w:color w:val="000000"/>
      <w:sz w:val="28"/>
      <w:szCs w:val="28"/>
      <w:u w:val="none"/>
    </w:rPr>
  </w:style>
  <w:style w:type="character" w:customStyle="1" w:styleId="14">
    <w:name w:val="font41"/>
    <w:basedOn w:val="7"/>
    <w:autoRedefine/>
    <w:qFormat/>
    <w:uiPriority w:val="0"/>
    <w:rPr>
      <w:rFonts w:hint="eastAsia" w:ascii="宋体" w:hAnsi="宋体" w:eastAsia="宋体" w:cs="宋体"/>
      <w:color w:val="000000"/>
      <w:sz w:val="20"/>
      <w:szCs w:val="20"/>
      <w:u w:val="none"/>
    </w:rPr>
  </w:style>
  <w:style w:type="character" w:customStyle="1" w:styleId="15">
    <w:name w:val="font111"/>
    <w:basedOn w:val="7"/>
    <w:autoRedefine/>
    <w:qFormat/>
    <w:uiPriority w:val="0"/>
    <w:rPr>
      <w:rFonts w:ascii="Wingdings 2" w:hAnsi="Wingdings 2" w:eastAsia="Wingdings 2" w:cs="Wingdings 2"/>
      <w:color w:val="000000"/>
      <w:sz w:val="20"/>
      <w:szCs w:val="20"/>
      <w:u w:val="none"/>
    </w:rPr>
  </w:style>
  <w:style w:type="character" w:customStyle="1" w:styleId="16">
    <w:name w:val="font121"/>
    <w:basedOn w:val="7"/>
    <w:autoRedefine/>
    <w:qFormat/>
    <w:uiPriority w:val="0"/>
    <w:rPr>
      <w:rFonts w:ascii="Arial" w:hAnsi="Arial" w:cs="Arial"/>
      <w:color w:val="000000"/>
      <w:sz w:val="20"/>
      <w:szCs w:val="20"/>
      <w:u w:val="none"/>
    </w:rPr>
  </w:style>
  <w:style w:type="character" w:customStyle="1" w:styleId="17">
    <w:name w:val="font51"/>
    <w:basedOn w:val="7"/>
    <w:autoRedefine/>
    <w:qFormat/>
    <w:uiPriority w:val="0"/>
    <w:rPr>
      <w:rFonts w:hint="default" w:ascii="Times New Roman" w:hAnsi="Times New Roman" w:cs="Times New Roman"/>
      <w:color w:val="000000"/>
      <w:sz w:val="20"/>
      <w:szCs w:val="20"/>
      <w:u w:val="none"/>
    </w:rPr>
  </w:style>
  <w:style w:type="character" w:customStyle="1" w:styleId="18">
    <w:name w:val="font71"/>
    <w:basedOn w:val="7"/>
    <w:autoRedefine/>
    <w:qFormat/>
    <w:uiPriority w:val="0"/>
    <w:rPr>
      <w:rFonts w:hint="default" w:ascii="Times New Roman" w:hAnsi="Times New Roman" w:cs="Times New Roman"/>
      <w:color w:val="000000"/>
      <w:sz w:val="18"/>
      <w:szCs w:val="18"/>
      <w:u w:val="none"/>
    </w:rPr>
  </w:style>
  <w:style w:type="character" w:customStyle="1" w:styleId="19">
    <w:name w:val="font61"/>
    <w:basedOn w:val="7"/>
    <w:autoRedefine/>
    <w:qFormat/>
    <w:uiPriority w:val="0"/>
    <w:rPr>
      <w:rFonts w:hint="eastAsia" w:ascii="宋体" w:hAnsi="宋体" w:eastAsia="宋体" w:cs="宋体"/>
      <w:color w:val="000000"/>
      <w:sz w:val="18"/>
      <w:szCs w:val="18"/>
      <w:u w:val="none"/>
    </w:rPr>
  </w:style>
  <w:style w:type="character" w:customStyle="1" w:styleId="20">
    <w:name w:val="font132"/>
    <w:basedOn w:val="7"/>
    <w:autoRedefine/>
    <w:uiPriority w:val="0"/>
    <w:rPr>
      <w:rFonts w:hint="default" w:ascii="Times New Roman" w:hAnsi="Times New Roman" w:cs="Times New Roman"/>
      <w:color w:val="000000"/>
      <w:sz w:val="20"/>
      <w:szCs w:val="20"/>
      <w:u w:val="none"/>
    </w:rPr>
  </w:style>
  <w:style w:type="character" w:customStyle="1" w:styleId="21">
    <w:name w:val="font91"/>
    <w:basedOn w:val="7"/>
    <w:autoRedefine/>
    <w:qFormat/>
    <w:uiPriority w:val="0"/>
    <w:rPr>
      <w:rFonts w:hint="eastAsia" w:ascii="宋体" w:hAnsi="宋体" w:eastAsia="宋体" w:cs="宋体"/>
      <w:color w:val="000000"/>
      <w:sz w:val="16"/>
      <w:szCs w:val="16"/>
      <w:u w:val="none"/>
    </w:rPr>
  </w:style>
  <w:style w:type="character" w:customStyle="1" w:styleId="22">
    <w:name w:val="font141"/>
    <w:basedOn w:val="7"/>
    <w:autoRedefine/>
    <w:qFormat/>
    <w:uiPriority w:val="0"/>
    <w:rPr>
      <w:rFonts w:hint="default" w:ascii="Times New Roman" w:hAnsi="Times New Roman" w:cs="Times New Roman"/>
      <w:color w:val="000000"/>
      <w:sz w:val="16"/>
      <w:szCs w:val="16"/>
      <w:u w:val="none"/>
    </w:rPr>
  </w:style>
  <w:style w:type="character" w:customStyle="1" w:styleId="23">
    <w:name w:val="font11"/>
    <w:basedOn w:val="7"/>
    <w:autoRedefine/>
    <w:qFormat/>
    <w:uiPriority w:val="0"/>
    <w:rPr>
      <w:rFonts w:hint="eastAsia" w:ascii="宋体" w:hAnsi="宋体" w:eastAsia="宋体" w:cs="宋体"/>
      <w:color w:val="000000"/>
      <w:sz w:val="20"/>
      <w:szCs w:val="20"/>
      <w:u w:val="none"/>
    </w:rPr>
  </w:style>
  <w:style w:type="character" w:customStyle="1" w:styleId="24">
    <w:name w:val="font112"/>
    <w:basedOn w:val="7"/>
    <w:autoRedefine/>
    <w:qFormat/>
    <w:uiPriority w:val="0"/>
    <w:rPr>
      <w:rFonts w:ascii="Wingdings 2" w:hAnsi="Wingdings 2" w:eastAsia="Wingdings 2" w:cs="Wingdings 2"/>
      <w:color w:val="000000"/>
      <w:sz w:val="20"/>
      <w:szCs w:val="20"/>
      <w:u w:val="none"/>
    </w:rPr>
  </w:style>
  <w:style w:type="character" w:customStyle="1" w:styleId="25">
    <w:name w:val="font131"/>
    <w:basedOn w:val="7"/>
    <w:autoRedefine/>
    <w:qFormat/>
    <w:uiPriority w:val="0"/>
    <w:rPr>
      <w:rFonts w:hint="default" w:ascii="Times New Roman" w:hAnsi="Times New Roman" w:cs="Times New Roman"/>
      <w:color w:val="000000"/>
      <w:sz w:val="20"/>
      <w:szCs w:val="20"/>
      <w:u w:val="none"/>
    </w:rPr>
  </w:style>
  <w:style w:type="paragraph" w:customStyle="1" w:styleId="26">
    <w:name w:val="Heading #2|1"/>
    <w:basedOn w:val="1"/>
    <w:autoRedefine/>
    <w:qFormat/>
    <w:uiPriority w:val="0"/>
    <w:pPr>
      <w:spacing w:after="580" w:line="610" w:lineRule="exact"/>
      <w:jc w:val="center"/>
      <w:outlineLvl w:val="1"/>
    </w:pPr>
    <w:rPr>
      <w:rFonts w:ascii="宋体" w:hAnsi="宋体" w:eastAsia="宋体" w:cs="宋体"/>
      <w:sz w:val="44"/>
      <w:szCs w:val="4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2024-02-18T01:13:00Z</dcterms:created>
  <dc:creator>蕙</dc:creator>
  <cp:lastModifiedBy>夏青</cp:lastModifiedBy>
  <dcterms:modified xsi:type="dcterms:W3CDTF">2024-03-05T03:34:14Z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A1578505B9D14521AC16B0C3B17BDBB8_11</vt:lpwstr>
  </property>
</Properties>
</file>