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pStyle w:val="5"/>
      </w:pPr>
    </w:p>
    <w:p>
      <w:pPr>
        <w:pStyle w:val="2"/>
        <w:rPr>
          <w:rFonts w:ascii="仿宋_GB2312" w:eastAsia="仿宋_GB2312"/>
          <w:b/>
          <w:sz w:val="32"/>
          <w:szCs w:val="32"/>
        </w:rPr>
      </w:pPr>
    </w:p>
    <w:p>
      <w:pPr>
        <w:pStyle w:val="2"/>
        <w:rPr>
          <w:rFonts w:ascii="仿宋_GB2312" w:eastAsia="仿宋_GB2312"/>
          <w:b/>
          <w:sz w:val="32"/>
          <w:szCs w:val="32"/>
        </w:rPr>
      </w:pPr>
    </w:p>
    <w:p>
      <w:pPr>
        <w:pStyle w:val="5"/>
        <w:ind w:left="0" w:leftChars="0" w:firstLine="0" w:firstLineChars="0"/>
      </w:pPr>
    </w:p>
    <w:p>
      <w:pPr>
        <w:pStyle w:val="5"/>
      </w:pPr>
    </w:p>
    <w:p>
      <w:pPr>
        <w:ind w:firstLine="2720" w:firstLineChars="850"/>
        <w:rPr>
          <w:rFonts w:ascii="仿宋_GB2312" w:eastAsia="仿宋_GB2312"/>
          <w:b/>
          <w:sz w:val="32"/>
          <w:szCs w:val="32"/>
        </w:rPr>
      </w:pPr>
      <w:r>
        <w:rPr>
          <w:rFonts w:hint="eastAsia" w:ascii="仿宋" w:hAnsi="仿宋" w:eastAsia="仿宋"/>
          <w:sz w:val="32"/>
          <w:szCs w:val="32"/>
        </w:rPr>
        <w:t xml:space="preserve"> </w:t>
      </w:r>
      <w:r>
        <w:rPr>
          <w:rFonts w:hint="default" w:ascii="Times New Roman" w:hAnsi="Times New Roman" w:eastAsia="仿宋" w:cs="Times New Roman"/>
          <w:sz w:val="32"/>
          <w:szCs w:val="32"/>
        </w:rPr>
        <w:t>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bookmarkStart w:id="0" w:name="_GoBack"/>
      <w:bookmarkEnd w:id="0"/>
      <w:r>
        <w:rPr>
          <w:rFonts w:hint="default" w:ascii="Times New Roman" w:hAnsi="Times New Roman" w:eastAsia="仿宋" w:cs="Times New Roman"/>
          <w:sz w:val="32"/>
          <w:szCs w:val="32"/>
        </w:rPr>
        <w:t>〕</w:t>
      </w:r>
      <w:r>
        <w:rPr>
          <w:rFonts w:hint="eastAsia" w:eastAsia="仿宋" w:cs="Times New Roman"/>
          <w:sz w:val="32"/>
          <w:szCs w:val="32"/>
          <w:lang w:val="en-US" w:eastAsia="zh-CN"/>
        </w:rPr>
        <w:t>2</w:t>
      </w:r>
      <w:r>
        <w:rPr>
          <w:rFonts w:hint="default" w:ascii="Times New Roman" w:hAnsi="Times New Roman" w:eastAsia="仿宋" w:cs="Times New Roman"/>
          <w:sz w:val="32"/>
          <w:szCs w:val="32"/>
        </w:rPr>
        <w:t>号</w:t>
      </w:r>
      <w:r>
        <w:rPr>
          <w:rFonts w:hint="eastAsia" w:ascii="仿宋" w:hAnsi="仿宋" w:eastAsia="仿宋"/>
          <w:sz w:val="32"/>
          <w:szCs w:val="32"/>
        </w:rPr>
        <w:t>　　　　　　　　　　</w:t>
      </w:r>
    </w:p>
    <w:p>
      <w:pPr>
        <w:jc w:val="center"/>
        <w:rPr>
          <w:rFonts w:hint="eastAsia" w:ascii="方正小标宋_GBK" w:hAnsi="方正小标宋_GBK" w:eastAsia="方正小标宋_GBK" w:cs="方正小标宋_GBK"/>
          <w:b w:val="0"/>
          <w:bCs/>
          <w:color w:val="000000"/>
          <w:sz w:val="44"/>
          <w:szCs w:val="44"/>
          <w:shd w:val="clear" w:color="auto" w:fill="FFFFFF"/>
          <w:lang w:val="en-US" w:eastAsia="zh-CN"/>
        </w:rPr>
      </w:pPr>
    </w:p>
    <w:p>
      <w:pPr>
        <w:pStyle w:val="5"/>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汴河街道关于印发开展2024年春季开学学校</w:t>
      </w:r>
    </w:p>
    <w:p>
      <w:pPr>
        <w:pStyle w:val="5"/>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食品安全整治工作方案的通知</w:t>
      </w:r>
    </w:p>
    <w:p>
      <w:pPr>
        <w:pStyle w:val="5"/>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2024年春季开学在即，为保障2024年春季开学期间广大师 生饮食安全，按照埇市监字【2024】8号文件要求，汴河街道决定在辖区范围内开展春季开学（含托幼机构，以下统称学校）食品安全工作，实施方案如下：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做到思想认识再强化</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校园食品安全事关广大师生身体健康和生命安全，各级各部门要深刻认识做好春季开学学校食品安全工作的极端重要性，将其与正在开展的校园食品安全排查整治专项行动和学校食堂大宗食品质量安全排查工作有机结合起来，做到一盘棋统筹、一体化推进。要严格落实“四个最严”要求，坚持问题导向，严防严管严控2024年春季开学学校食品安全风险隐患，进一步压实校园食品安全属地管理责任、教体部门的行业管理责任、市场监管部门的监管责任和学校主体责任，持续强化校园食品安全工作，确保不发生校园食品安全事件。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二、做到自查自纠全覆盖</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心校、市场监管所督促辖区内所有食堂供餐的学校、食堂承包经营企业和校外供餐单位在春季开学供餐前，要从食品原料采购验收、食品加工贮存至成品供应等各环节逐一排查食品安全风险隐患，做到应查尽查、无死角、无遗漏；学校食品安全校长（园长）负责制是否落实等为主要内容，开展全覆盖自查自纠。并在开学供餐前，学校及校外供餐单位要将本单位负责人签字确认的自查清单及问题整改相关佐证材料报送辖区教育、市场监管部门备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三、加大监督检查工作力度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食安办、市场监管所、中心校要组织成立联合检查组，按照“集中时间、集中力量、集中检查”要求，完成辖区内所有学校食堂、校外供餐单位、学校及周边食品经营者全覆盖监督检查。要将学校食堂承包企业是否与学校依法签订合同并依法依规经营，学校食堂档口是否存在转包、分包行为；“日管控、周排查、月调度”工作机制是否落实；食品原料采购贮存、食品加工制作及配送等是否符合规范要求；是否严格落实大宗食品质量安全排查整治、复用餐饮具清洗消毒、防鼠措施等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四、强化包保督导工作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食安办要结合每季度至少开展一次包保督导的要求，推动包保干部对所包保的学校食堂、校外供餐单位开展督导，对督导发现问题的，市场监管部门要督促整改，形成闭环管控。同时，食安办要将大宗食品质量安全排查整治、寒假期间校园食品安全排查整治、防鼠措施落实等工作纳入包保督导重要内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五、做到部门协作再加强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食安办、市场监管、中心校等部门要加强沟通协调，强化部门协作配合，建立部门间联查联动、联合执法和信息通报等机制，推动各方责任落实。食安办要发挥牵头抓总作用，督促包保干部按时完成包保任务；市场监管部门要切实履行学校食品安全监督管理责任，依法查处食品安全违法行为；中心校要落实行业主管部门责任，督促中小学、幼儿园严格落实相关负责人陪餐制度，推进学校食堂“互联网+明厨亮灶”等智慧管理模式提质扩面，提高覆盖率；卫生健康部门要指导学校开展食源性疾病预防知识教育。</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六、做到社会共治再提升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有关部门要充分利用广播、电视、报刊、互联网等新闻媒体等形式，广泛开展食品安全知识科普宣传教育，引导食品生产经营从业人员和广大师生树立食品安全意识，提升食品安全素养，共同营造校园食品安全社会共治氛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附件：2024年春季开学学校食品安全工作开展情况统计表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120" w:firstLineChars="16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汴河街道办事处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2024年2月29日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20" w:firstLineChars="200"/>
        <w:jc w:val="both"/>
        <w:textAlignment w:val="auto"/>
        <w:outlineLvl w:val="9"/>
        <w:sectPr>
          <w:footerReference r:id="rId3" w:type="default"/>
          <w:pgSz w:w="11906" w:h="16839"/>
          <w:pgMar w:top="1431" w:right="1526" w:bottom="1426" w:left="1581" w:header="0" w:footer="1148" w:gutter="0"/>
          <w:pgNumType w:fmt="numberInDash"/>
          <w:cols w:equalWidth="0" w:num="1">
            <w:col w:w="8799"/>
          </w:cols>
        </w:sectPr>
      </w:pPr>
    </w:p>
    <w:p>
      <w:pPr>
        <w:pStyle w:val="2"/>
        <w:rPr>
          <w:rFonts w:hint="eastAsia" w:ascii="仿宋" w:hAnsi="仿宋" w:eastAsia="仿宋" w:cs="仿宋"/>
          <w:kern w:val="2"/>
          <w:sz w:val="32"/>
          <w:szCs w:val="32"/>
          <w:lang w:val="en-US" w:eastAsia="zh-CN" w:bidi="ar-SA"/>
        </w:rPr>
      </w:pPr>
    </w:p>
    <w:p>
      <w:pPr>
        <w:spacing w:before="100" w:line="226"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10"/>
          <w:sz w:val="32"/>
          <w:szCs w:val="32"/>
        </w:rPr>
        <w:t>附件</w:t>
      </w:r>
    </w:p>
    <w:p>
      <w:pPr>
        <w:spacing w:before="77" w:line="184" w:lineRule="auto"/>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4"/>
          <w:sz w:val="32"/>
          <w:szCs w:val="32"/>
        </w:rPr>
        <w:t>2024年春季开学学校食品安全工作</w:t>
      </w:r>
      <w:r>
        <w:rPr>
          <w:rFonts w:hint="eastAsia" w:ascii="方正黑体_GBK" w:hAnsi="方正黑体_GBK" w:eastAsia="方正黑体_GBK" w:cs="方正黑体_GBK"/>
          <w:spacing w:val="6"/>
          <w:sz w:val="32"/>
          <w:szCs w:val="32"/>
        </w:rPr>
        <w:t>开展情况统计表</w:t>
      </w:r>
    </w:p>
    <w:p>
      <w:pPr>
        <w:sectPr>
          <w:footerReference r:id="rId4" w:type="default"/>
          <w:pgSz w:w="11906" w:h="16839"/>
          <w:pgMar w:top="1431" w:right="1526" w:bottom="1426" w:left="1581" w:header="0" w:footer="1148" w:gutter="0"/>
          <w:pgNumType w:fmt="numberInDash"/>
          <w:cols w:equalWidth="0" w:num="1">
            <w:col w:w="8799"/>
          </w:cols>
        </w:sectPr>
      </w:pPr>
    </w:p>
    <w:p>
      <w:pPr>
        <w:spacing w:before="56" w:line="184" w:lineRule="auto"/>
        <w:rPr>
          <w:rFonts w:ascii="仿宋" w:hAnsi="仿宋" w:eastAsia="仿宋" w:cs="仿宋"/>
          <w:sz w:val="28"/>
          <w:szCs w:val="28"/>
        </w:rPr>
      </w:pPr>
      <w:r>
        <w:rPr>
          <w:rFonts w:ascii="仿宋" w:hAnsi="仿宋" w:eastAsia="仿宋" w:cs="仿宋"/>
          <w:spacing w:val="-5"/>
          <w:sz w:val="28"/>
          <w:szCs w:val="28"/>
        </w:rPr>
        <w:t>填报单位：</w:t>
      </w:r>
    </w:p>
    <w:p>
      <w:pPr>
        <w:spacing w:line="14" w:lineRule="auto"/>
        <w:rPr>
          <w:rFonts w:ascii="Arial"/>
          <w:sz w:val="2"/>
        </w:rPr>
      </w:pPr>
      <w:r>
        <w:rPr>
          <w:rFonts w:ascii="Arial" w:hAnsi="Arial" w:eastAsia="Arial" w:cs="Arial"/>
          <w:sz w:val="2"/>
          <w:szCs w:val="2"/>
        </w:rPr>
        <w:br w:type="column"/>
      </w:r>
    </w:p>
    <w:p>
      <w:pPr>
        <w:spacing w:before="55" w:line="184" w:lineRule="auto"/>
        <w:rPr>
          <w:rFonts w:ascii="仿宋" w:hAnsi="仿宋" w:eastAsia="仿宋" w:cs="仿宋"/>
          <w:sz w:val="28"/>
          <w:szCs w:val="28"/>
        </w:rPr>
      </w:pPr>
      <w:r>
        <w:rPr>
          <w:rFonts w:ascii="仿宋" w:hAnsi="仿宋" w:eastAsia="仿宋" w:cs="仿宋"/>
          <w:spacing w:val="-5"/>
          <w:sz w:val="28"/>
          <w:szCs w:val="28"/>
        </w:rPr>
        <w:t>填报人：</w:t>
      </w:r>
    </w:p>
    <w:p>
      <w:pPr>
        <w:spacing w:line="14" w:lineRule="auto"/>
        <w:rPr>
          <w:rFonts w:ascii="Arial"/>
          <w:sz w:val="2"/>
        </w:rPr>
      </w:pPr>
      <w:r>
        <w:rPr>
          <w:rFonts w:ascii="Arial" w:hAnsi="Arial" w:eastAsia="Arial" w:cs="Arial"/>
          <w:sz w:val="2"/>
          <w:szCs w:val="2"/>
        </w:rPr>
        <w:br w:type="column"/>
      </w:r>
    </w:p>
    <w:p>
      <w:pPr>
        <w:spacing w:before="55" w:line="184" w:lineRule="auto"/>
        <w:rPr>
          <w:rFonts w:ascii="仿宋" w:hAnsi="仿宋" w:eastAsia="仿宋" w:cs="仿宋"/>
          <w:sz w:val="28"/>
          <w:szCs w:val="28"/>
        </w:rPr>
      </w:pPr>
      <w:r>
        <w:rPr>
          <w:rFonts w:ascii="仿宋" w:hAnsi="仿宋" w:eastAsia="仿宋" w:cs="仿宋"/>
          <w:spacing w:val="-5"/>
          <w:sz w:val="28"/>
          <w:szCs w:val="28"/>
        </w:rPr>
        <w:t>填报日期：</w:t>
      </w:r>
    </w:p>
    <w:p>
      <w:pPr>
        <w:spacing w:line="184" w:lineRule="auto"/>
        <w:rPr>
          <w:rFonts w:ascii="仿宋" w:hAnsi="仿宋" w:eastAsia="仿宋" w:cs="仿宋"/>
          <w:sz w:val="28"/>
          <w:szCs w:val="28"/>
        </w:rPr>
        <w:sectPr>
          <w:type w:val="continuous"/>
          <w:pgSz w:w="11906" w:h="16839"/>
          <w:pgMar w:top="1431" w:right="1526" w:bottom="1426" w:left="1581" w:header="0" w:footer="1148" w:gutter="0"/>
          <w:pgNumType w:fmt="numberInDash"/>
          <w:cols w:equalWidth="0" w:num="3">
            <w:col w:w="3365" w:space="100"/>
            <w:col w:w="2106" w:space="100"/>
            <w:col w:w="3129"/>
          </w:cols>
        </w:sectPr>
      </w:pPr>
    </w:p>
    <w:p>
      <w:pPr>
        <w:spacing w:line="72" w:lineRule="exact"/>
      </w:pPr>
    </w:p>
    <w:tbl>
      <w:tblPr>
        <w:tblStyle w:val="20"/>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8"/>
        <w:gridCol w:w="23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028" w:type="dxa"/>
            <w:vAlign w:val="top"/>
          </w:tcPr>
          <w:p>
            <w:pPr>
              <w:spacing w:before="153" w:line="219" w:lineRule="auto"/>
              <w:ind w:left="2814"/>
              <w:rPr>
                <w:rFonts w:ascii="黑体" w:hAnsi="黑体" w:eastAsia="黑体" w:cs="黑体"/>
                <w:sz w:val="21"/>
                <w:szCs w:val="21"/>
              </w:rPr>
            </w:pPr>
            <w:r>
              <w:rPr>
                <w:rFonts w:ascii="黑体" w:hAnsi="黑体" w:eastAsia="黑体" w:cs="黑体"/>
                <w:spacing w:val="-7"/>
                <w:sz w:val="21"/>
                <w:szCs w:val="21"/>
              </w:rPr>
              <w:t>项</w:t>
            </w:r>
            <w:r>
              <w:rPr>
                <w:rFonts w:ascii="黑体" w:hAnsi="黑体" w:eastAsia="黑体" w:cs="黑体"/>
                <w:spacing w:val="47"/>
                <w:sz w:val="21"/>
                <w:szCs w:val="21"/>
              </w:rPr>
              <w:t xml:space="preserve"> </w:t>
            </w:r>
            <w:r>
              <w:rPr>
                <w:rFonts w:ascii="黑体" w:hAnsi="黑体" w:eastAsia="黑体" w:cs="黑体"/>
                <w:spacing w:val="-7"/>
                <w:sz w:val="21"/>
                <w:szCs w:val="21"/>
              </w:rPr>
              <w:t>目</w:t>
            </w:r>
          </w:p>
        </w:tc>
        <w:tc>
          <w:tcPr>
            <w:tcW w:w="2391" w:type="dxa"/>
            <w:vAlign w:val="top"/>
          </w:tcPr>
          <w:p>
            <w:pPr>
              <w:spacing w:before="153" w:line="219" w:lineRule="auto"/>
              <w:ind w:left="915"/>
              <w:rPr>
                <w:rFonts w:ascii="黑体" w:hAnsi="黑体" w:eastAsia="黑体" w:cs="黑体"/>
                <w:sz w:val="21"/>
                <w:szCs w:val="21"/>
              </w:rPr>
            </w:pPr>
            <w:r>
              <w:rPr>
                <w:rFonts w:ascii="黑体" w:hAnsi="黑体" w:eastAsia="黑体" w:cs="黑体"/>
                <w:spacing w:val="-7"/>
                <w:sz w:val="21"/>
                <w:szCs w:val="21"/>
              </w:rPr>
              <w:t>数</w:t>
            </w:r>
            <w:r>
              <w:rPr>
                <w:rFonts w:ascii="黑体" w:hAnsi="黑体" w:eastAsia="黑体" w:cs="黑体"/>
                <w:spacing w:val="13"/>
                <w:sz w:val="21"/>
                <w:szCs w:val="21"/>
              </w:rPr>
              <w:t xml:space="preserve"> </w:t>
            </w:r>
            <w:r>
              <w:rPr>
                <w:rFonts w:ascii="黑体" w:hAnsi="黑体" w:eastAsia="黑体" w:cs="黑体"/>
                <w:spacing w:val="-7"/>
                <w:sz w:val="21"/>
                <w:szCs w:val="21"/>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65" w:line="216" w:lineRule="auto"/>
              <w:ind w:left="155"/>
              <w:rPr>
                <w:rFonts w:ascii="仿宋" w:hAnsi="仿宋" w:eastAsia="仿宋" w:cs="仿宋"/>
                <w:sz w:val="21"/>
                <w:szCs w:val="21"/>
              </w:rPr>
            </w:pPr>
            <w:r>
              <w:rPr>
                <w:rFonts w:ascii="仿宋" w:hAnsi="仿宋" w:eastAsia="仿宋" w:cs="仿宋"/>
                <w:spacing w:val="-7"/>
                <w:sz w:val="21"/>
                <w:szCs w:val="21"/>
              </w:rPr>
              <w:t>出动执法监督检查人员（人次）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3" w:line="216" w:lineRule="auto"/>
              <w:ind w:left="115"/>
              <w:rPr>
                <w:rFonts w:ascii="仿宋" w:hAnsi="仿宋" w:eastAsia="仿宋" w:cs="仿宋"/>
                <w:sz w:val="21"/>
                <w:szCs w:val="21"/>
              </w:rPr>
            </w:pPr>
            <w:r>
              <w:rPr>
                <w:rFonts w:ascii="仿宋" w:hAnsi="仿宋" w:eastAsia="仿宋" w:cs="仿宋"/>
                <w:spacing w:val="-5"/>
                <w:sz w:val="21"/>
                <w:szCs w:val="21"/>
              </w:rPr>
              <w:t>检查各级各类学校（含幼儿园）食堂（家次）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3" w:line="216" w:lineRule="auto"/>
              <w:ind w:left="115"/>
              <w:rPr>
                <w:rFonts w:ascii="仿宋" w:hAnsi="仿宋" w:eastAsia="仿宋" w:cs="仿宋"/>
                <w:sz w:val="21"/>
                <w:szCs w:val="21"/>
              </w:rPr>
            </w:pPr>
            <w:r>
              <w:rPr>
                <w:rFonts w:ascii="仿宋" w:hAnsi="仿宋" w:eastAsia="仿宋" w:cs="仿宋"/>
                <w:spacing w:val="-5"/>
                <w:sz w:val="21"/>
                <w:szCs w:val="21"/>
              </w:rPr>
              <w:t>检查学校食堂承包经营企业（家次）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4" w:line="216" w:lineRule="auto"/>
              <w:ind w:left="115"/>
              <w:rPr>
                <w:rFonts w:ascii="仿宋" w:hAnsi="仿宋" w:eastAsia="仿宋" w:cs="仿宋"/>
                <w:sz w:val="21"/>
                <w:szCs w:val="21"/>
              </w:rPr>
            </w:pPr>
            <w:r>
              <w:rPr>
                <w:rFonts w:ascii="仿宋" w:hAnsi="仿宋" w:eastAsia="仿宋" w:cs="仿宋"/>
                <w:spacing w:val="-5"/>
                <w:sz w:val="21"/>
                <w:szCs w:val="21"/>
              </w:rPr>
              <w:t>检查校外供餐单位（家次）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74" w:line="216" w:lineRule="auto"/>
              <w:ind w:left="115"/>
              <w:rPr>
                <w:rFonts w:ascii="仿宋" w:hAnsi="仿宋" w:eastAsia="仿宋" w:cs="仿宋"/>
                <w:sz w:val="21"/>
                <w:szCs w:val="21"/>
              </w:rPr>
            </w:pPr>
            <w:r>
              <w:rPr>
                <w:rFonts w:ascii="仿宋" w:hAnsi="仿宋" w:eastAsia="仿宋" w:cs="仿宋"/>
                <w:spacing w:val="-5"/>
                <w:sz w:val="21"/>
                <w:szCs w:val="21"/>
              </w:rPr>
              <w:t>检查学校内及周边食品经营者（家次）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206" w:line="216" w:lineRule="auto"/>
              <w:ind w:left="110"/>
              <w:rPr>
                <w:rFonts w:ascii="仿宋" w:hAnsi="仿宋" w:eastAsia="仿宋" w:cs="仿宋"/>
                <w:sz w:val="21"/>
                <w:szCs w:val="21"/>
              </w:rPr>
            </w:pPr>
            <w:r>
              <w:rPr>
                <w:rFonts w:ascii="仿宋" w:hAnsi="仿宋" w:eastAsia="仿宋" w:cs="仿宋"/>
                <w:spacing w:val="-4"/>
                <w:sz w:val="21"/>
                <w:szCs w:val="21"/>
              </w:rPr>
              <w:t>包保干部督导学校食堂（家次）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66" w:line="216" w:lineRule="auto"/>
              <w:ind w:left="110"/>
              <w:rPr>
                <w:rFonts w:ascii="仿宋" w:hAnsi="仿宋" w:eastAsia="仿宋" w:cs="仿宋"/>
                <w:sz w:val="21"/>
                <w:szCs w:val="21"/>
              </w:rPr>
            </w:pPr>
            <w:r>
              <w:rPr>
                <w:rFonts w:ascii="仿宋" w:hAnsi="仿宋" w:eastAsia="仿宋" w:cs="仿宋"/>
                <w:spacing w:val="-4"/>
                <w:sz w:val="21"/>
                <w:szCs w:val="21"/>
              </w:rPr>
              <w:t>包保干部督导校外供餐单位（家次）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3" w:line="217" w:lineRule="auto"/>
              <w:ind w:left="119"/>
              <w:rPr>
                <w:rFonts w:ascii="仿宋" w:hAnsi="仿宋" w:eastAsia="仿宋" w:cs="仿宋"/>
                <w:sz w:val="21"/>
                <w:szCs w:val="21"/>
              </w:rPr>
            </w:pPr>
            <w:r>
              <w:rPr>
                <w:rFonts w:ascii="仿宋" w:hAnsi="仿宋" w:eastAsia="仿宋" w:cs="仿宋"/>
                <w:spacing w:val="-5"/>
                <w:sz w:val="21"/>
                <w:szCs w:val="21"/>
              </w:rPr>
              <w:t>发现食品安全隐患问题（个）</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5" w:line="218" w:lineRule="auto"/>
              <w:ind w:left="166"/>
              <w:rPr>
                <w:rFonts w:ascii="仿宋" w:hAnsi="仿宋" w:eastAsia="仿宋" w:cs="仿宋"/>
                <w:sz w:val="21"/>
                <w:szCs w:val="21"/>
              </w:rPr>
            </w:pPr>
            <w:r>
              <w:rPr>
                <w:rFonts w:ascii="仿宋" w:hAnsi="仿宋" w:eastAsia="仿宋" w:cs="仿宋"/>
                <w:spacing w:val="-8"/>
                <w:sz w:val="21"/>
                <w:szCs w:val="21"/>
              </w:rPr>
              <w:t>已完成食品安全隐患问题整改（个）</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7" w:line="218" w:lineRule="auto"/>
              <w:ind w:left="131"/>
              <w:rPr>
                <w:rFonts w:ascii="仿宋" w:hAnsi="仿宋" w:eastAsia="仿宋" w:cs="仿宋"/>
                <w:sz w:val="21"/>
                <w:szCs w:val="21"/>
              </w:rPr>
            </w:pPr>
            <w:r>
              <w:rPr>
                <w:rFonts w:ascii="仿宋" w:hAnsi="仿宋" w:eastAsia="仿宋" w:cs="仿宋"/>
                <w:spacing w:val="-6"/>
                <w:sz w:val="21"/>
                <w:szCs w:val="21"/>
              </w:rPr>
              <w:t>下达责令改正通知书（份）</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68" w:line="218" w:lineRule="auto"/>
              <w:ind w:left="157"/>
              <w:rPr>
                <w:rFonts w:ascii="仿宋" w:hAnsi="仿宋" w:eastAsia="仿宋" w:cs="仿宋"/>
                <w:sz w:val="21"/>
                <w:szCs w:val="21"/>
              </w:rPr>
            </w:pPr>
            <w:r>
              <w:rPr>
                <w:rFonts w:ascii="仿宋" w:hAnsi="仿宋" w:eastAsia="仿宋" w:cs="仿宋"/>
                <w:spacing w:val="-10"/>
                <w:sz w:val="21"/>
                <w:szCs w:val="21"/>
              </w:rPr>
              <w:t>吊销许可证（家）</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49" w:line="209" w:lineRule="auto"/>
              <w:ind w:left="122"/>
              <w:rPr>
                <w:rFonts w:ascii="仿宋" w:hAnsi="仿宋" w:eastAsia="仿宋" w:cs="仿宋"/>
                <w:sz w:val="21"/>
                <w:szCs w:val="21"/>
              </w:rPr>
            </w:pPr>
            <w:r>
              <w:rPr>
                <w:rFonts w:ascii="仿宋" w:hAnsi="仿宋" w:eastAsia="仿宋" w:cs="仿宋"/>
                <w:spacing w:val="-5"/>
                <w:sz w:val="21"/>
                <w:szCs w:val="21"/>
              </w:rPr>
              <w:t>取缔无证经营学校食堂（家）</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62" w:line="217" w:lineRule="auto"/>
              <w:ind w:left="134"/>
              <w:rPr>
                <w:rFonts w:ascii="仿宋" w:hAnsi="仿宋" w:eastAsia="仿宋" w:cs="仿宋"/>
                <w:sz w:val="21"/>
                <w:szCs w:val="21"/>
              </w:rPr>
            </w:pPr>
            <w:r>
              <w:rPr>
                <w:rFonts w:ascii="仿宋" w:hAnsi="仿宋" w:eastAsia="仿宋" w:cs="仿宋"/>
                <w:spacing w:val="-6"/>
                <w:sz w:val="21"/>
                <w:szCs w:val="21"/>
              </w:rPr>
              <w:t>约谈学校食品安全负责人（家）</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8" w:line="217" w:lineRule="auto"/>
              <w:ind w:left="134"/>
              <w:rPr>
                <w:rFonts w:ascii="仿宋" w:hAnsi="仿宋" w:eastAsia="仿宋" w:cs="仿宋"/>
                <w:sz w:val="21"/>
                <w:szCs w:val="21"/>
              </w:rPr>
            </w:pPr>
            <w:r>
              <w:rPr>
                <w:rFonts w:ascii="仿宋" w:hAnsi="仿宋" w:eastAsia="仿宋" w:cs="仿宋"/>
                <w:spacing w:val="-5"/>
                <w:sz w:val="21"/>
                <w:szCs w:val="21"/>
              </w:rPr>
              <w:t>约谈学校食堂承包经营企业食品安全负责人（家）</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60" w:line="219" w:lineRule="auto"/>
              <w:ind w:left="122"/>
              <w:rPr>
                <w:rFonts w:ascii="仿宋" w:hAnsi="仿宋" w:eastAsia="仿宋" w:cs="仿宋"/>
                <w:sz w:val="21"/>
                <w:szCs w:val="21"/>
              </w:rPr>
            </w:pPr>
            <w:r>
              <w:rPr>
                <w:rFonts w:ascii="仿宋" w:hAnsi="仿宋" w:eastAsia="仿宋" w:cs="仿宋"/>
                <w:spacing w:val="-5"/>
                <w:sz w:val="21"/>
                <w:szCs w:val="21"/>
              </w:rPr>
              <w:t>退出或更换的承包经营企业（家）</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7" w:line="216" w:lineRule="auto"/>
              <w:ind w:left="119"/>
              <w:rPr>
                <w:rFonts w:ascii="仿宋" w:hAnsi="仿宋" w:eastAsia="仿宋" w:cs="仿宋"/>
                <w:sz w:val="21"/>
                <w:szCs w:val="21"/>
              </w:rPr>
            </w:pPr>
            <w:r>
              <w:rPr>
                <w:rFonts w:ascii="仿宋" w:hAnsi="仿宋" w:eastAsia="仿宋" w:cs="仿宋"/>
                <w:spacing w:val="-5"/>
                <w:sz w:val="21"/>
                <w:szCs w:val="21"/>
              </w:rPr>
              <w:t>行政处罚立案（起）</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0" w:line="186" w:lineRule="auto"/>
              <w:ind w:left="134"/>
              <w:rPr>
                <w:rFonts w:ascii="仿宋" w:hAnsi="仿宋" w:eastAsia="仿宋" w:cs="仿宋"/>
                <w:sz w:val="21"/>
                <w:szCs w:val="21"/>
              </w:rPr>
            </w:pPr>
            <w:r>
              <w:rPr>
                <w:rFonts w:ascii="仿宋" w:hAnsi="仿宋" w:eastAsia="仿宋" w:cs="仿宋"/>
                <w:spacing w:val="-7"/>
                <w:sz w:val="21"/>
                <w:szCs w:val="21"/>
              </w:rPr>
              <w:t>罚没金额（万元）</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7" w:line="219" w:lineRule="auto"/>
              <w:ind w:left="131"/>
              <w:rPr>
                <w:rFonts w:ascii="仿宋" w:hAnsi="仿宋" w:eastAsia="仿宋" w:cs="仿宋"/>
                <w:sz w:val="21"/>
                <w:szCs w:val="21"/>
              </w:rPr>
            </w:pPr>
            <w:r>
              <w:rPr>
                <w:rFonts w:ascii="仿宋" w:hAnsi="仿宋" w:eastAsia="仿宋" w:cs="仿宋"/>
                <w:spacing w:val="-6"/>
                <w:sz w:val="21"/>
                <w:szCs w:val="21"/>
              </w:rPr>
              <w:t>没收违法生产经营食品（公斤）</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7" w:line="219" w:lineRule="auto"/>
              <w:ind w:left="131"/>
              <w:rPr>
                <w:rFonts w:ascii="仿宋" w:hAnsi="仿宋" w:eastAsia="仿宋" w:cs="仿宋"/>
                <w:spacing w:val="-6"/>
                <w:sz w:val="21"/>
                <w:szCs w:val="21"/>
              </w:rPr>
            </w:pPr>
            <w:r>
              <w:rPr>
                <w:rFonts w:ascii="仿宋" w:hAnsi="仿宋" w:eastAsia="仿宋" w:cs="仿宋"/>
                <w:spacing w:val="-6"/>
                <w:sz w:val="21"/>
                <w:szCs w:val="21"/>
              </w:rPr>
              <w:t>移交公安机关案件（件）</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7" w:line="219" w:lineRule="auto"/>
              <w:ind w:left="131"/>
              <w:rPr>
                <w:rFonts w:ascii="仿宋" w:hAnsi="仿宋" w:eastAsia="仿宋" w:cs="仿宋"/>
                <w:spacing w:val="-6"/>
                <w:sz w:val="21"/>
                <w:szCs w:val="21"/>
              </w:rPr>
            </w:pPr>
            <w:r>
              <w:rPr>
                <w:rFonts w:ascii="仿宋" w:hAnsi="仿宋" w:eastAsia="仿宋" w:cs="仿宋"/>
                <w:spacing w:val="-5"/>
                <w:sz w:val="21"/>
                <w:szCs w:val="21"/>
              </w:rPr>
              <w:t>投入学校食堂升级改造资金（万元）</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84" w:line="219" w:lineRule="auto"/>
              <w:ind w:left="125" w:leftChars="0"/>
              <w:rPr>
                <w:rFonts w:ascii="仿宋" w:hAnsi="仿宋" w:eastAsia="仿宋" w:cs="仿宋"/>
                <w:kern w:val="2"/>
                <w:sz w:val="21"/>
                <w:szCs w:val="21"/>
                <w:lang w:val="en-US" w:eastAsia="zh-CN" w:bidi="ar-SA"/>
              </w:rPr>
            </w:pPr>
            <w:r>
              <w:rPr>
                <w:rFonts w:ascii="仿宋" w:hAnsi="仿宋" w:eastAsia="仿宋" w:cs="仿宋"/>
                <w:spacing w:val="-5"/>
                <w:sz w:val="21"/>
                <w:szCs w:val="21"/>
              </w:rPr>
              <w:t>升级改造食堂（家）</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68" w:line="218" w:lineRule="auto"/>
              <w:ind w:left="127" w:leftChars="0"/>
              <w:rPr>
                <w:rFonts w:ascii="仿宋" w:hAnsi="仿宋" w:eastAsia="仿宋" w:cs="仿宋"/>
                <w:kern w:val="2"/>
                <w:sz w:val="21"/>
                <w:szCs w:val="21"/>
                <w:lang w:val="en-US" w:eastAsia="zh-CN" w:bidi="ar-SA"/>
              </w:rPr>
            </w:pPr>
            <w:r>
              <w:rPr>
                <w:rFonts w:ascii="仿宋" w:hAnsi="仿宋" w:eastAsia="仿宋" w:cs="仿宋"/>
                <w:spacing w:val="-6"/>
                <w:sz w:val="21"/>
                <w:szCs w:val="21"/>
              </w:rPr>
              <w:t>开展食品安全培训（场次）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2" w:line="218" w:lineRule="auto"/>
              <w:ind w:left="122" w:leftChars="0"/>
              <w:rPr>
                <w:rFonts w:ascii="仿宋" w:hAnsi="仿宋" w:eastAsia="仿宋" w:cs="仿宋"/>
                <w:kern w:val="2"/>
                <w:sz w:val="21"/>
                <w:szCs w:val="21"/>
                <w:lang w:val="en-US" w:eastAsia="zh-CN" w:bidi="ar-SA"/>
              </w:rPr>
            </w:pPr>
            <w:r>
              <w:rPr>
                <w:rFonts w:ascii="仿宋" w:hAnsi="仿宋" w:eastAsia="仿宋" w:cs="仿宋"/>
                <w:spacing w:val="-5"/>
                <w:sz w:val="21"/>
                <w:szCs w:val="21"/>
              </w:rPr>
              <w:t>培训食品安全总监和食品安全员（人次）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4" w:line="216" w:lineRule="auto"/>
              <w:ind w:left="122" w:leftChars="0"/>
              <w:rPr>
                <w:rFonts w:ascii="仿宋" w:hAnsi="仿宋" w:eastAsia="仿宋" w:cs="仿宋"/>
                <w:kern w:val="2"/>
                <w:sz w:val="21"/>
                <w:szCs w:val="21"/>
                <w:lang w:val="en-US" w:eastAsia="zh-CN" w:bidi="ar-SA"/>
              </w:rPr>
            </w:pPr>
            <w:r>
              <w:rPr>
                <w:rFonts w:ascii="仿宋" w:hAnsi="仿宋" w:eastAsia="仿宋" w:cs="仿宋"/>
                <w:spacing w:val="-5"/>
                <w:sz w:val="21"/>
                <w:szCs w:val="21"/>
              </w:rPr>
              <w:t>培训保包干部（人次）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3" w:line="216" w:lineRule="auto"/>
              <w:ind w:left="135" w:leftChars="0"/>
              <w:rPr>
                <w:rFonts w:ascii="仿宋" w:hAnsi="仿宋" w:eastAsia="仿宋" w:cs="仿宋"/>
                <w:kern w:val="2"/>
                <w:sz w:val="21"/>
                <w:szCs w:val="21"/>
                <w:lang w:val="en-US" w:eastAsia="zh-CN" w:bidi="ar-SA"/>
              </w:rPr>
            </w:pPr>
            <w:r>
              <w:rPr>
                <w:rFonts w:ascii="仿宋" w:hAnsi="仿宋" w:eastAsia="仿宋" w:cs="仿宋"/>
                <w:spacing w:val="-6"/>
                <w:sz w:val="21"/>
                <w:szCs w:val="21"/>
              </w:rPr>
              <w:t>学校、校外供餐单位培训从业人员（人次）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6" w:line="216" w:lineRule="auto"/>
              <w:ind w:left="124" w:leftChars="0"/>
              <w:rPr>
                <w:rFonts w:ascii="仿宋" w:hAnsi="仿宋" w:eastAsia="仿宋" w:cs="仿宋"/>
                <w:kern w:val="2"/>
                <w:sz w:val="21"/>
                <w:szCs w:val="21"/>
                <w:lang w:val="en-US" w:eastAsia="zh-CN" w:bidi="ar-SA"/>
              </w:rPr>
            </w:pPr>
            <w:r>
              <w:rPr>
                <w:rFonts w:ascii="仿宋" w:hAnsi="仿宋" w:eastAsia="仿宋" w:cs="仿宋"/>
                <w:spacing w:val="-5"/>
                <w:sz w:val="21"/>
                <w:szCs w:val="21"/>
              </w:rPr>
              <w:t>对保包干部知识考核（人次）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6" w:line="218" w:lineRule="auto"/>
              <w:ind w:left="124" w:leftChars="0"/>
              <w:rPr>
                <w:rFonts w:ascii="仿宋" w:hAnsi="仿宋" w:eastAsia="仿宋" w:cs="仿宋"/>
                <w:kern w:val="2"/>
                <w:sz w:val="21"/>
                <w:szCs w:val="21"/>
                <w:lang w:val="en-US" w:eastAsia="zh-CN" w:bidi="ar-SA"/>
              </w:rPr>
            </w:pPr>
            <w:r>
              <w:rPr>
                <w:rFonts w:ascii="仿宋" w:hAnsi="仿宋" w:eastAsia="仿宋" w:cs="仿宋"/>
                <w:spacing w:val="-5"/>
                <w:sz w:val="21"/>
                <w:szCs w:val="21"/>
              </w:rPr>
              <w:t>对食品安全总监、食品安全员知识考核（人次）</w:t>
            </w:r>
          </w:p>
        </w:tc>
        <w:tc>
          <w:tcPr>
            <w:tcW w:w="2391" w:type="dxa"/>
            <w:vAlign w:val="top"/>
          </w:tcPr>
          <w:p>
            <w:pPr>
              <w:pStyle w:val="21"/>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28" w:type="dxa"/>
            <w:vAlign w:val="top"/>
          </w:tcPr>
          <w:p>
            <w:pPr>
              <w:spacing w:before="156" w:line="218" w:lineRule="auto"/>
              <w:ind w:left="124" w:leftChars="0"/>
              <w:rPr>
                <w:rFonts w:ascii="仿宋" w:hAnsi="仿宋" w:eastAsia="仿宋" w:cs="仿宋"/>
                <w:kern w:val="2"/>
                <w:sz w:val="21"/>
                <w:szCs w:val="21"/>
                <w:lang w:val="en-US" w:eastAsia="zh-CN" w:bidi="ar-SA"/>
              </w:rPr>
            </w:pPr>
            <w:r>
              <w:rPr>
                <w:rFonts w:ascii="仿宋" w:hAnsi="仿宋" w:eastAsia="仿宋" w:cs="仿宋"/>
                <w:spacing w:val="-5"/>
                <w:sz w:val="21"/>
                <w:szCs w:val="21"/>
              </w:rPr>
              <w:t>对从业人员知识考核（人次）</w:t>
            </w:r>
          </w:p>
        </w:tc>
        <w:tc>
          <w:tcPr>
            <w:tcW w:w="2391" w:type="dxa"/>
            <w:vAlign w:val="top"/>
          </w:tcPr>
          <w:p>
            <w:pPr>
              <w:pStyle w:val="21"/>
              <w:rPr>
                <w:sz w:val="21"/>
                <w:szCs w:val="21"/>
              </w:rPr>
            </w:pPr>
          </w:p>
        </w:tc>
      </w:tr>
    </w:tbl>
    <w:p>
      <w:pPr>
        <w:spacing w:line="14" w:lineRule="auto"/>
        <w:rPr>
          <w:rFonts w:ascii="Arial" w:hAnsi="Arial" w:eastAsia="Arial" w:cs="Arial"/>
          <w:sz w:val="2"/>
          <w:szCs w:val="2"/>
        </w:rPr>
        <w:sectPr>
          <w:type w:val="continuous"/>
          <w:pgSz w:w="11906" w:h="16839"/>
          <w:pgMar w:top="1431" w:right="1526" w:bottom="1426" w:left="1581" w:header="0" w:footer="1148" w:gutter="0"/>
          <w:pgNumType w:fmt="numberInDash"/>
          <w:cols w:equalWidth="0" w:num="1">
            <w:col w:w="8799"/>
          </w:cols>
        </w:sectPr>
      </w:pP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right="0"/>
        <w:textAlignment w:val="auto"/>
        <w:rPr>
          <w:rFonts w:hint="default" w:ascii="Times New Roman" w:hAnsi="Times New Roman" w:eastAsia="仿宋" w:cs="Times New Roman"/>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default" w:ascii="Times New Roman" w:hAnsi="Times New Roman" w:eastAsia="仿宋" w:cs="Times New Roman"/>
          <w:sz w:val="32"/>
          <w:szCs w:val="32"/>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tabs>
          <w:tab w:val="left" w:pos="3373"/>
        </w:tabs>
        <w:spacing w:line="600" w:lineRule="exact"/>
        <w:ind w:firstLine="280" w:firstLineChars="100"/>
      </w:pPr>
      <w:r>
        <w:rPr>
          <w:rFonts w:hint="eastAsia" w:ascii="方正仿宋_GBK" w:hAnsi="方正仿宋_GBK" w:eastAsia="方正仿宋_GBK" w:cs="方正仿宋_GBK"/>
          <w:sz w:val="28"/>
          <w:szCs w:val="28"/>
          <w:lang w:val="en-US" w:eastAsia="zh-CN"/>
        </w:rPr>
        <w:t>宿州市埇桥区汴河街道办事处</w: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dejJCNIBAACbAwAADgAAAAAAAAABACAAAAAfAQAA&#10;ZHJzL2Uyb0RvYy54bWxQSwUGAAAAAAYABgBZAQAAYw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NwlzdIBAACbAwAADgAAAAAAAAABACAAAAAi&#10;AQAAZHJzL2Uyb0RvYy54bWxQSwUGAAAAAAYABgBZAQAAZ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default" w:ascii="Times New Roman" w:hAnsi="Times New Roman" w:eastAsia="仿宋" w:cs="Times New Roman"/>
          <w:sz w:val="28"/>
          <w:szCs w:val="28"/>
        </w:rPr>
        <w:t>202</w:t>
      </w:r>
      <w:r>
        <w:rPr>
          <w:rFonts w:hint="eastAsia" w:eastAsia="仿宋" w:cs="Times New Roman"/>
          <w:sz w:val="28"/>
          <w:szCs w:val="28"/>
          <w:lang w:val="en-US" w:eastAsia="zh-CN"/>
        </w:rPr>
        <w:t>4</w:t>
      </w:r>
      <w:r>
        <w:rPr>
          <w:rFonts w:hint="eastAsia" w:ascii="方正仿宋_GBK" w:hAnsi="方正仿宋_GBK" w:eastAsia="方正仿宋_GBK" w:cs="方正仿宋_GBK"/>
          <w:sz w:val="28"/>
          <w:szCs w:val="28"/>
        </w:rPr>
        <w:t>年</w:t>
      </w:r>
      <w:r>
        <w:rPr>
          <w:rFonts w:hint="eastAsia" w:eastAsia="方正仿宋_GBK" w:cs="Times New Roman"/>
          <w:sz w:val="28"/>
          <w:szCs w:val="28"/>
          <w:lang w:val="en-US" w:eastAsia="zh-CN"/>
        </w:rPr>
        <w:t>2</w:t>
      </w:r>
      <w:r>
        <w:rPr>
          <w:rFonts w:hint="eastAsia" w:ascii="Times New Roman" w:hAnsi="Times New Roman" w:eastAsia="仿宋" w:cs="Times New Roman"/>
          <w:sz w:val="28"/>
          <w:szCs w:val="28"/>
        </w:rPr>
        <w:t>月</w:t>
      </w:r>
      <w:r>
        <w:rPr>
          <w:rFonts w:hint="eastAsia" w:eastAsia="仿宋" w:cs="Times New Roman"/>
          <w:sz w:val="28"/>
          <w:szCs w:val="28"/>
          <w:lang w:val="en-US" w:eastAsia="zh-CN"/>
        </w:rPr>
        <w:t>29</w:t>
      </w:r>
      <w:r>
        <w:rPr>
          <w:rFonts w:hint="eastAsia" w:ascii="Times New Roman" w:hAnsi="Times New Roman" w:eastAsia="仿宋" w:cs="Times New Roman"/>
          <w:sz w:val="28"/>
          <w:szCs w:val="28"/>
        </w:rPr>
        <w:t>日印发</w: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kjnU7NIBAACbAwAADgAAAAAAAAABACAAAAAfAQAA&#10;ZHJzL2Uyb0RvYy54bWxQSwUGAAAAAAYABgBZAQAAYwUAAAAA&#10;">
                <v:fill on="f" focussize="0,0"/>
                <v:stroke color="#000000" joinstyle="round"/>
                <v:imagedata o:title=""/>
                <o:lock v:ext="edit" aspectratio="f"/>
              </v:line>
            </w:pict>
          </mc:Fallback>
        </mc:AlternateConten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&#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KhyOtIBAACbAwAADgAAAAAAAAABACAAAAAi&#10;AQAAZHJzL2Uyb0RvYy54bWxQSwUGAAAAAAYABgBZAQAAZgUAAAAA&#10;">
                <v:fill on="f" focussize="0,0"/>
                <v:stroke color="#000000" joinstyle="round"/>
                <v:imagedata o:title=""/>
                <o:lock v:ext="edit" aspectratio="f"/>
              </v:line>
            </w:pict>
          </mc:Fallback>
        </mc:AlternateContent>
      </w:r>
    </w:p>
    <w:sectPr>
      <w:headerReference r:id="rId5" w:type="default"/>
      <w:footerReference r:id="rId6"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84989D6-2C7B-4B35-A478-C30A0DEA7F02}"/>
  </w:font>
  <w:font w:name="黑体">
    <w:panose1 w:val="02010609060101010101"/>
    <w:charset w:val="86"/>
    <w:family w:val="auto"/>
    <w:pitch w:val="default"/>
    <w:sig w:usb0="800002BF" w:usb1="38CF7CFA" w:usb2="00000016" w:usb3="00000000" w:csb0="00040001" w:csb1="00000000"/>
    <w:embedRegular r:id="rId2" w:fontKey="{8AC531BA-2E52-43DC-AA42-2FB38DE279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3" w:fontKey="{CF8F592D-0305-435C-8DE4-9F534AE89722}"/>
  </w:font>
  <w:font w:name="方正仿宋_GBK">
    <w:panose1 w:val="02000000000000000000"/>
    <w:charset w:val="86"/>
    <w:family w:val="auto"/>
    <w:pitch w:val="default"/>
    <w:sig w:usb0="00000001" w:usb1="080E0000" w:usb2="00000000" w:usb3="00000000" w:csb0="00040000" w:csb1="00000000"/>
    <w:embedRegular r:id="rId4" w:fontKey="{0E82F643-0E06-4929-93C0-5394518934C0}"/>
  </w:font>
  <w:font w:name="Tahoma">
    <w:panose1 w:val="020B0604030504040204"/>
    <w:charset w:val="00"/>
    <w:family w:val="auto"/>
    <w:pitch w:val="default"/>
    <w:sig w:usb0="E1002EFF" w:usb1="C000605B" w:usb2="00000029" w:usb3="00000000" w:csb0="200101FF" w:csb1="20280000"/>
  </w:font>
  <w:font w:name="方正仿宋简体">
    <w:panose1 w:val="02000000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D4A0547F-B1CF-4080-8E69-20DFFF939D22}"/>
  </w:font>
  <w:font w:name="方正小标宋_GBK">
    <w:panose1 w:val="03000509000000000000"/>
    <w:charset w:val="86"/>
    <w:family w:val="auto"/>
    <w:pitch w:val="default"/>
    <w:sig w:usb0="00000001" w:usb1="080E0000" w:usb2="00000000" w:usb3="00000000" w:csb0="00040000" w:csb1="00000000"/>
    <w:embedRegular r:id="rId6" w:fontKey="{83645CB8-D654-469E-A15F-CC402B9A5F23}"/>
  </w:font>
  <w:font w:name="方正黑体_GBK">
    <w:altName w:val="微软雅黑"/>
    <w:panose1 w:val="03000509000000000000"/>
    <w:charset w:val="86"/>
    <w:family w:val="auto"/>
    <w:pitch w:val="default"/>
    <w:sig w:usb0="00000000" w:usb1="00000000" w:usb2="00000000" w:usb3="00000000" w:csb0="00040000" w:csb1="00000000"/>
    <w:embedRegular r:id="rId7" w:fontKey="{92304B2B-3C4D-4C77-9600-6E86B1FF71A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76" w:lineRule="auto"/>
      <w:ind w:left="13"/>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76" w:lineRule="auto"/>
      <w:ind w:left="13"/>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- 4 -</w:t>
    </w:r>
    <w:r>
      <w:rPr>
        <w:rStyle w:val="13"/>
        <w:rFonts w:ascii="宋体" w:hAnsi="宋体"/>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4BE6DEA"/>
    <w:rsid w:val="0606781E"/>
    <w:rsid w:val="06307A52"/>
    <w:rsid w:val="064F4477"/>
    <w:rsid w:val="07C417A5"/>
    <w:rsid w:val="0AB42DDD"/>
    <w:rsid w:val="0BB4635E"/>
    <w:rsid w:val="0C3845F2"/>
    <w:rsid w:val="0D4F2D55"/>
    <w:rsid w:val="0DB70DA8"/>
    <w:rsid w:val="0F030773"/>
    <w:rsid w:val="0F6E3CA2"/>
    <w:rsid w:val="0FCB66DE"/>
    <w:rsid w:val="0FFF4230"/>
    <w:rsid w:val="12B2531A"/>
    <w:rsid w:val="1487181D"/>
    <w:rsid w:val="15867B9B"/>
    <w:rsid w:val="159A23E7"/>
    <w:rsid w:val="15EC7EC7"/>
    <w:rsid w:val="16807518"/>
    <w:rsid w:val="1AB103E4"/>
    <w:rsid w:val="28675771"/>
    <w:rsid w:val="2B1E57DD"/>
    <w:rsid w:val="2F375957"/>
    <w:rsid w:val="33E93216"/>
    <w:rsid w:val="35D8171E"/>
    <w:rsid w:val="36FF79F5"/>
    <w:rsid w:val="389549B3"/>
    <w:rsid w:val="3B0113E9"/>
    <w:rsid w:val="3CC0072C"/>
    <w:rsid w:val="3E573ED1"/>
    <w:rsid w:val="3FDC566E"/>
    <w:rsid w:val="3FF96752"/>
    <w:rsid w:val="415B2D1D"/>
    <w:rsid w:val="41F83E5A"/>
    <w:rsid w:val="425B2BE1"/>
    <w:rsid w:val="471A1655"/>
    <w:rsid w:val="47C64CA9"/>
    <w:rsid w:val="4A4C4660"/>
    <w:rsid w:val="4B8F6C3E"/>
    <w:rsid w:val="4C7311EB"/>
    <w:rsid w:val="4EA24B6C"/>
    <w:rsid w:val="50452193"/>
    <w:rsid w:val="505F10FA"/>
    <w:rsid w:val="51BA18B5"/>
    <w:rsid w:val="5972082C"/>
    <w:rsid w:val="5AD716E7"/>
    <w:rsid w:val="5B257C72"/>
    <w:rsid w:val="625419D8"/>
    <w:rsid w:val="649E1366"/>
    <w:rsid w:val="64EE5D1E"/>
    <w:rsid w:val="650D5B22"/>
    <w:rsid w:val="6C7E69A8"/>
    <w:rsid w:val="6F502ECA"/>
    <w:rsid w:val="721958FC"/>
    <w:rsid w:val="73712C87"/>
    <w:rsid w:val="74E70B3A"/>
    <w:rsid w:val="785F41CE"/>
    <w:rsid w:val="78E05E21"/>
    <w:rsid w:val="7A59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4">
    <w:name w:val="Body Text"/>
    <w:basedOn w:val="1"/>
    <w:next w:val="1"/>
    <w:unhideWhenUsed/>
    <w:qFormat/>
    <w:uiPriority w:val="99"/>
    <w:pPr>
      <w:tabs>
        <w:tab w:val="left" w:pos="8250"/>
      </w:tabs>
      <w:spacing w:line="520" w:lineRule="exact"/>
    </w:pPr>
    <w:rPr>
      <w:rFonts w:eastAsia="仿宋_GB2312"/>
      <w:sz w:val="32"/>
    </w:rPr>
  </w:style>
  <w:style w:type="paragraph" w:styleId="5">
    <w:name w:val="Body Text Indent 2"/>
    <w:basedOn w:val="1"/>
    <w:qFormat/>
    <w:uiPriority w:val="99"/>
    <w:pPr>
      <w:spacing w:line="590" w:lineRule="exact"/>
      <w:ind w:firstLine="880" w:firstLineChars="200"/>
    </w:pPr>
    <w:rPr>
      <w:rFonts w:eastAsia="方正仿宋_GBK"/>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next w:val="3"/>
    <w:unhideWhenUsed/>
    <w:qFormat/>
    <w:uiPriority w:val="99"/>
    <w:pPr>
      <w:ind w:firstLine="420" w:firstLineChars="100"/>
    </w:p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5">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16">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17">
    <w:name w:val="p0"/>
    <w:basedOn w:val="1"/>
    <w:qFormat/>
    <w:uiPriority w:val="0"/>
    <w:pPr>
      <w:widowControl/>
    </w:pPr>
    <w:rPr>
      <w:kern w:val="0"/>
      <w:szCs w:val="21"/>
    </w:rPr>
  </w:style>
  <w:style w:type="paragraph" w:customStyle="1" w:styleId="18">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19">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Administrator</cp:lastModifiedBy>
  <cp:lastPrinted>2024-02-29T07:13:26Z</cp:lastPrinted>
  <dcterms:modified xsi:type="dcterms:W3CDTF">2024-02-29T07:13:31Z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