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宿州市埇桥区区级行政权力中介服务清单（2023年版）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保留事项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074"/>
        <w:gridCol w:w="2434"/>
        <w:gridCol w:w="1129"/>
        <w:gridCol w:w="2"/>
        <w:gridCol w:w="1119"/>
        <w:gridCol w:w="2"/>
        <w:gridCol w:w="1111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tblHeader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楷体" w:hAnsi="楷体" w:eastAsia="楷体" w:cs="黑体"/>
                <w:b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黑体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楷体" w:hAnsi="楷体" w:eastAsia="楷体" w:cs="黑体"/>
                <w:b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黑体"/>
                <w:b/>
                <w:color w:val="000000" w:themeColor="text1"/>
                <w:sz w:val="24"/>
              </w:rPr>
              <w:t>事项名称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楷体" w:hAnsi="楷体" w:eastAsia="楷体" w:cs="黑体"/>
                <w:b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黑体"/>
                <w:b/>
                <w:color w:val="000000" w:themeColor="text1"/>
                <w:sz w:val="24"/>
              </w:rPr>
              <w:t>对应权力事项名称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黑体"/>
                <w:b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黑体"/>
                <w:b/>
                <w:color w:val="000000" w:themeColor="text1"/>
                <w:sz w:val="24"/>
              </w:rPr>
              <w:t>委托主体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黑体"/>
                <w:b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/>
                <w:color w:val="000000" w:themeColor="text1"/>
                <w:sz w:val="24"/>
                <w:lang w:val="en-US" w:eastAsia="zh-CN"/>
              </w:rPr>
              <w:t>收费标准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黑体"/>
                <w:b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b/>
                <w:color w:val="000000" w:themeColor="text1"/>
                <w:sz w:val="24"/>
                <w:lang w:val="en-US" w:eastAsia="zh-CN"/>
              </w:rPr>
              <w:t>设定依据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680" w:hRule="exact"/>
        </w:trPr>
        <w:tc>
          <w:tcPr>
            <w:tcW w:w="628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8"/>
                <w:szCs w:val="28"/>
              </w:rPr>
              <w:t>九、区农业农村局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种子质量检验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农业农村部门涉及种子质量监管的行政权力事项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行政机关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依具有资质的种子质量检验所按规定定价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《种子法》第三十四条　种子生产应当执行种子生产技术规程和种子检验、检疫规程。第四十八条　农业、林业主管部门可以委托种子质量检验机构对种子质量进行检验。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承担种子质量检验的机构应当具备相应的检测条件、能力，并经省级以上人民政府有关主管部门考核合格。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种子质量检验机构应当配备种子检验员。种子检验员应当具有中专以上有关专业学历，具备相应的种子检验技术能力和水平。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兽药质量检测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农业农村部门涉及兽药质量监管的行政权力事项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行政机关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依具有资质的立兽药质量检验所按规定定价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国务院关于修改和废止部分行政法规的决定（国务院726令）将《兽药管理条例》第八条第一款修改为：“研制新兽药，应当在临床试验前向临床试验场所所在地省、自治区、直辖市人民政府兽医行政管理部门备案，并附具该新兽药实验室阶段安全性评价报告及其他临床前研究资料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肥料产品检测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农业农村部门涉及肥料监管的行政权力事项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行政机关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依具有资质的肥料产品检测所按规定定价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《肥料登记管理办法》第十二条 生产者可按要求自行开展肥料田间试验，也可委托有关单位开展，生产者和试验单位对所出具的试验报告的真实性承担法律责任。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农药检测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农业农村部门涉及农药监管的行政权力事项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行政机关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依具有资质的农药检测所按规定定价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《农药管理条例》第二十条  农药生产企业采购原材料，应当查验产品质量检验合格证和有关许可证明文件，不得采购、使用未依法附具产品质量检验合格证、未依法取得有关许可证明文件的原材料。第二十一条  农药生产企业应当严格按照产品质量标准进行生产，确保农药产品与登记农药一致。农药出厂销售，应当经质量检验合格并附具产品质量检验合格证。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拖拉机、联合收割机驾驶人身体条件证明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拖拉机和联合收割机驾驶证核发、拖拉机和联合收割机登记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行政机关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依乡镇中心以上医院按规定定价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645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《拖拉机和联合收割机驾驶证管理规定》第十二条 初次申领驾驶证的，应当填写申请表，提交以下材料：（一）申请人身份证明；（二）身体条件证明。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规范事项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500"/>
        <w:gridCol w:w="2193"/>
        <w:gridCol w:w="3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tblHeader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楷体" w:hAnsi="楷体" w:eastAsia="楷体" w:cs="黑体"/>
                <w:b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黑体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楷体" w:hAnsi="楷体" w:eastAsia="楷体" w:cs="黑体"/>
                <w:b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黑体"/>
                <w:b/>
                <w:color w:val="000000" w:themeColor="text1"/>
                <w:sz w:val="24"/>
              </w:rPr>
              <w:t>事项名称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楷体" w:hAnsi="楷体" w:eastAsia="楷体" w:cs="黑体"/>
                <w:b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黑体"/>
                <w:b/>
                <w:color w:val="000000" w:themeColor="text1"/>
                <w:sz w:val="24"/>
              </w:rPr>
              <w:t>对应权力事项名称</w:t>
            </w:r>
          </w:p>
        </w:tc>
        <w:tc>
          <w:tcPr>
            <w:tcW w:w="3952" w:type="dxa"/>
            <w:vAlign w:val="center"/>
          </w:tcPr>
          <w:p>
            <w:pPr>
              <w:jc w:val="center"/>
              <w:rPr>
                <w:rFonts w:ascii="楷体" w:hAnsi="楷体" w:eastAsia="楷体" w:cs="黑体"/>
                <w:b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黑体"/>
                <w:b/>
                <w:color w:val="000000" w:themeColor="text1"/>
                <w:sz w:val="24"/>
              </w:rPr>
              <w:t>规范内容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无</w:t>
            </w: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取消事项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12"/>
        <w:gridCol w:w="3300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tblHeader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楷体" w:hAnsi="楷体" w:eastAsia="楷体" w:cs="黑体"/>
                <w:b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黑体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ascii="楷体" w:hAnsi="楷体" w:eastAsia="楷体" w:cs="黑体"/>
                <w:b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黑体"/>
                <w:b/>
                <w:color w:val="000000" w:themeColor="text1"/>
                <w:sz w:val="24"/>
              </w:rPr>
              <w:t>事项名称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ascii="楷体" w:hAnsi="楷体" w:eastAsia="楷体" w:cs="黑体"/>
                <w:b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黑体"/>
                <w:b/>
                <w:color w:val="000000" w:themeColor="text1"/>
                <w:sz w:val="24"/>
              </w:rPr>
              <w:t>对应权力事项名称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楷体" w:hAnsi="楷体" w:eastAsia="楷体" w:cs="黑体"/>
                <w:b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黑体"/>
                <w:b/>
                <w:color w:val="000000" w:themeColor="text1"/>
                <w:sz w:val="24"/>
              </w:rPr>
              <w:t>委托主体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sz w:val="24"/>
              </w:rPr>
              <w:t>无</w:t>
            </w:r>
          </w:p>
        </w:tc>
      </w:tr>
    </w:tbl>
    <w:p>
      <w:pPr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UyYWE2YmY2NTMwN2ViOGNjMmYwZmRhMzU4MjcwYjAifQ=="/>
  </w:docVars>
  <w:rsids>
    <w:rsidRoot w:val="0064547A"/>
    <w:rsid w:val="001F2D4A"/>
    <w:rsid w:val="003836CF"/>
    <w:rsid w:val="004D15A4"/>
    <w:rsid w:val="00555A9A"/>
    <w:rsid w:val="0064547A"/>
    <w:rsid w:val="00802A48"/>
    <w:rsid w:val="008E422A"/>
    <w:rsid w:val="00B56B05"/>
    <w:rsid w:val="00E806D4"/>
    <w:rsid w:val="00FE34EC"/>
    <w:rsid w:val="134A2102"/>
    <w:rsid w:val="2F4E4BBF"/>
    <w:rsid w:val="304F5CDD"/>
    <w:rsid w:val="382D2D91"/>
    <w:rsid w:val="685815A6"/>
    <w:rsid w:val="721F39BE"/>
    <w:rsid w:val="7A5112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2022-10-25T01:54:00Z</dcterms:created>
  <dc:creator>Administrator</dc:creator>
  <cp:lastModifiedBy>路旭东</cp:lastModifiedBy>
  <cp:lastPrinted>2022-11-08T06:43:00Z</cp:lastPrinted>
  <dcterms:modified xsi:type="dcterms:W3CDTF">2024-04-01T02:01:33Z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CF4D5C7277ED4D49B0323B508604A26C</vt:lpwstr>
  </property>
</Properties>
</file>