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2019年埇</w:t>
      </w:r>
      <w:r>
        <w:rPr>
          <w:rFonts w:hint="eastAsia" w:ascii="仿宋_GB2312" w:eastAsia="仿宋_GB2312"/>
          <w:b/>
          <w:sz w:val="32"/>
          <w:szCs w:val="32"/>
        </w:rPr>
        <w:t>桥区区级一般公共预算收入决算说明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2019年，一般公共预算收入完成310175万元，与调整预算290000万元相比增收20175万元，同比增长21.13%，同比增加54104万元。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1、税收收入  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税收收入完成173039万元，为调整预算的80.39%，比上年同期下降0.55%。其中：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（1）、增值税收入84561万元，为调整预算的79.78%，比上年同期增长5.62%，同比增加4503万元。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（2）、企业所得税收入9955万元，为调整预算的84.72%，比上年同期下降14.4%，同比减少1674万元, </w:t>
      </w:r>
      <w:r>
        <w:rPr>
          <w:rFonts w:hint="eastAsia" w:ascii="仿宋_GB2312" w:hAnsi="宋体" w:eastAsia="仿宋_GB2312"/>
          <w:sz w:val="30"/>
          <w:szCs w:val="30"/>
        </w:rPr>
        <w:t>主要是受国家减税政策的影响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（3）、个人所得税收入3823万元，为调整预算的76.46%，比上年同期下降23.62%，同比减少1182万元。</w:t>
      </w:r>
      <w:r>
        <w:rPr>
          <w:rFonts w:hint="eastAsia" w:ascii="仿宋_GB2312" w:eastAsia="仿宋_GB2312"/>
          <w:sz w:val="30"/>
          <w:szCs w:val="30"/>
        </w:rPr>
        <w:t>减收的主要原因：一是提高基本减除费用标准，将基本减除费用标准提高到每人每月5000元。二是2019年1月开始实施子女教育、继续教育、大病医疗、住房贷款利息等6项专项附加扣除。三是以现行工薪所得3%-45%七级超额累计税率为基础，优化调整个人所得税税率结构个人所得税附加项扣除政策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（4）、资源税收入5848万元，为调整预算的83.54%，比上年同期增长11.75%，同比增加615万元。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（5）、城市建设维护税收入12735万元，为调整预算的74.91%，比上年同期下降9.18%，同比减少1288万元。</w:t>
      </w:r>
    </w:p>
    <w:p>
      <w:pPr>
        <w:ind w:firstLine="750" w:firstLineChars="2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(6)、房产税收入3765万元，为调整预算的75.3%，比上年同期下降19.05%，同比减少886万元，</w:t>
      </w:r>
      <w:r>
        <w:rPr>
          <w:rFonts w:hint="eastAsia" w:ascii="仿宋_GB2312" w:hAnsi="宋体" w:eastAsia="仿宋_GB2312"/>
          <w:sz w:val="30"/>
          <w:szCs w:val="30"/>
        </w:rPr>
        <w:t>主要是受国家减税政策的影响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ind w:firstLine="750" w:firstLineChars="2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(7)、印花税收入2732万元，为调整预算的109.28%，比上年同期增长7.1%，同比增加181万元。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(8)、城镇土地使用税收入7498万元，为调整预算的68.16%，比上年同期下降24.55%，同比减少2440万元，</w:t>
      </w:r>
      <w:r>
        <w:rPr>
          <w:rFonts w:hint="eastAsia" w:ascii="仿宋_GB2312" w:eastAsia="仿宋_GB2312"/>
          <w:sz w:val="30"/>
          <w:szCs w:val="30"/>
        </w:rPr>
        <w:t>新出台的小微企业普惠性减税政策减税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(9)、土地增值税收入17110万元，为调整预算的95.06%，比上年同期增长38.04%，同比增加4715万元。主要是</w:t>
      </w:r>
      <w:r>
        <w:rPr>
          <w:rFonts w:hint="eastAsia" w:ascii="仿宋_GB2312" w:eastAsia="仿宋_GB2312"/>
          <w:color w:val="000000"/>
          <w:sz w:val="30"/>
          <w:szCs w:val="30"/>
        </w:rPr>
        <w:t>房价大幅上涨，预售楼盘数量增加，同时房屋销量也大幅提高，带动了房地产行业及房产交易行业的快速增长。其中宿州市环宇房地产开发有限公司入库2088万元，宿州新城亿博房地产开发有限公司入库1439万元。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(10)、车船税收入815万元，为调整预算的116.43%，比上年同期增长15.93%，同比增加112万元。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(11)、耕地占用税收入3990万元，为调整预算的66.5%，比上年同期增长15.22%，同比增加527万元。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(12)、契税收入20020万元，为调整预算的80.08%，比上年同期下降17.63%，同比减少4284万元。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(13)、环境保护税收入37万元，为调整预算的12.33%，比上年同期下降15.91%，同比减少7万元。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(14)、其他税收收入150万元。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2、非税收入 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非税收入137136万元，为调整预算的183.45%，同比增加55062万元，同比增长67.09%。其中：</w:t>
      </w:r>
    </w:p>
    <w:p>
      <w:pPr>
        <w:ind w:firstLine="750" w:firstLineChars="2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（1）、专项收入12407万元，为调整预算的80.31%，同比减少1449万元，同比下降10.46%。</w:t>
      </w:r>
    </w:p>
    <w:p>
      <w:pPr>
        <w:ind w:firstLine="750" w:firstLineChars="2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（2）、行政事业性收费收入5594万元，为调整预算的24.85%，比上年同期下降72.21%，同比减少14536万元。</w:t>
      </w:r>
      <w:r>
        <w:rPr>
          <w:rFonts w:hint="eastAsia" w:ascii="仿宋_GB2312" w:eastAsia="仿宋_GB2312" w:cs="仿宋_GB2312"/>
          <w:sz w:val="30"/>
          <w:szCs w:val="30"/>
        </w:rPr>
        <w:t>主要是上年同期“国土资源行政事业性收费收入”中“耕地开垦费”同比减收8286万元，导致同比下降。</w:t>
      </w:r>
    </w:p>
    <w:p>
      <w:pPr>
        <w:ind w:firstLine="750" w:firstLineChars="2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（3）、罚没收入7211万元，为调整预算的81.98%，比上年同期下降19.14%，同比减少1707万元。</w:t>
      </w:r>
    </w:p>
    <w:p>
      <w:pPr>
        <w:ind w:firstLine="750" w:firstLineChars="2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（4）、国有资源（资产）有偿使用收入34092万元，为调整预算的322.99%，同比增长182.24%，比上年同期增加22013万元。</w:t>
      </w:r>
      <w:r>
        <w:rPr>
          <w:rFonts w:hint="eastAsia" w:ascii="仿宋_GB2312" w:eastAsia="仿宋_GB2312" w:cs="仿宋_GB2312"/>
          <w:sz w:val="30"/>
          <w:szCs w:val="30"/>
        </w:rPr>
        <w:t>主要是处置汴北污水处理厂30000万元。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（5）、其他收入完成77832万元，为调整预算的446.18%，比上年同期增长187.3%，同比增加50741万元，主要原因：</w:t>
      </w:r>
      <w:r>
        <w:rPr>
          <w:rFonts w:hint="eastAsia" w:ascii="仿宋_GB2312" w:eastAsia="仿宋_GB2312" w:cs="仿宋_GB2312"/>
          <w:sz w:val="30"/>
          <w:szCs w:val="30"/>
        </w:rPr>
        <w:t>一是非税收入专户清理以前年度待查收入57650万元以“其他收入”入库，二是区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自然资源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和</w:t>
      </w:r>
      <w:r>
        <w:rPr>
          <w:rFonts w:hint="eastAsia" w:ascii="仿宋_GB2312" w:eastAsia="仿宋_GB2312" w:cs="仿宋_GB2312"/>
          <w:sz w:val="30"/>
          <w:szCs w:val="30"/>
        </w:rPr>
        <w:t>规划局的历年滚存结余以“其他收入”入库。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3、上级补助595941万元，其中;返还性收入5638万元，一般性转移支付收入492764万元，专项转移支付收入97539万元。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4、债务转贷收入34600万元。其中：新增一般债券转贷收入11497万元，新增一般置换债券23103万元。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5、动用2018年区级结转1285万元。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6、动用预算稳定调节基金20000万元。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7、调入资金105575万元。其中：政府性基金调入75603万元，其他资金调入29972万元。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8、</w:t>
      </w:r>
      <w:r>
        <w:rPr>
          <w:rFonts w:hint="eastAsia" w:ascii="仿宋_GB2312"/>
          <w:sz w:val="30"/>
          <w:szCs w:val="30"/>
        </w:rPr>
        <w:t>埇</w:t>
      </w:r>
      <w:r>
        <w:rPr>
          <w:rFonts w:hint="eastAsia" w:ascii="仿宋_GB2312" w:eastAsia="仿宋_GB2312"/>
          <w:sz w:val="30"/>
          <w:szCs w:val="30"/>
        </w:rPr>
        <w:t>桥区撤销乡镇级金库，税收收入及非税收入全部缴入区级金库。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zODI4MmQ2NDNkMjQ1Y2RmY2M2MGQ2ZjRhY2QwMjMifQ=="/>
  </w:docVars>
  <w:rsids>
    <w:rsidRoot w:val="00545285"/>
    <w:rsid w:val="003F6077"/>
    <w:rsid w:val="00545285"/>
    <w:rsid w:val="00632F3B"/>
    <w:rsid w:val="0075377B"/>
    <w:rsid w:val="00822835"/>
    <w:rsid w:val="00AB4803"/>
    <w:rsid w:val="00BB1A95"/>
    <w:rsid w:val="565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285</Words>
  <Characters>1631</Characters>
  <Lines>13</Lines>
  <Paragraphs>3</Paragraphs>
  <TotalTime>7</TotalTime>
  <ScaleCrop>false</ScaleCrop>
  <LinksUpToDate>false</LinksUpToDate>
  <CharactersWithSpaces>1913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2020-07-05T06:43:00Z</dcterms:created>
  <dc:creator>lihao</dc:creator>
  <cp:lastModifiedBy>白河野川</cp:lastModifiedBy>
  <dcterms:modified xsi:type="dcterms:W3CDTF">2024-04-18T06:42:07Z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CB4B92F683A84833996AD3B0ABCA878F_12</vt:lpwstr>
  </property>
</Properties>
</file>