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pStyle w:val="18"/>
      </w:pPr>
    </w:p>
    <w:p>
      <w:pPr>
        <w:jc w:val="center"/>
        <w:rPr>
          <w:rFonts w:ascii="仿宋_GB2312" w:eastAsia="仿宋_GB2312"/>
          <w:b/>
          <w:sz w:val="32"/>
          <w:szCs w:val="32"/>
        </w:rPr>
      </w:pPr>
    </w:p>
    <w:p>
      <w:pPr>
        <w:pStyle w:val="18"/>
        <w:rPr>
          <w:rFonts w:ascii="仿宋_GB2312" w:eastAsia="仿宋_GB2312"/>
          <w:b/>
          <w:sz w:val="32"/>
          <w:szCs w:val="32"/>
        </w:rPr>
      </w:pPr>
    </w:p>
    <w:p>
      <w:pPr>
        <w:pStyle w:val="7"/>
        <w:ind w:left="0" w:leftChars="0" w:firstLine="0" w:firstLineChars="0"/>
      </w:pPr>
    </w:p>
    <w:p>
      <w:pPr>
        <w:spacing w:before="146" w:line="233" w:lineRule="auto"/>
        <w:ind w:right="350"/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汴河</w:t>
      </w:r>
      <w:r>
        <w:rPr>
          <w:rFonts w:hint="eastAsia" w:eastAsia="仿宋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" w:cs="Times New Roman"/>
          <w:sz w:val="32"/>
          <w:szCs w:val="32"/>
        </w:rPr>
        <w:t>〔202</w:t>
      </w:r>
      <w:r>
        <w:rPr>
          <w:rFonts w:hint="eastAsia" w:eastAsia="仿宋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eastAsia="仿宋" w:cs="Times New Roman"/>
          <w:sz w:val="32"/>
          <w:szCs w:val="32"/>
          <w:lang w:val="en-US" w:eastAsia="zh-CN"/>
        </w:rPr>
        <w:t>15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　</w:t>
      </w:r>
    </w:p>
    <w:p>
      <w:pPr>
        <w:spacing w:before="146" w:line="233" w:lineRule="auto"/>
        <w:ind w:right="3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>关于印发《2024年汴河街道平安建设基础巩固暨群众安全感满意度“双提升”专项行动</w:t>
      </w:r>
    </w:p>
    <w:p>
      <w:pPr>
        <w:spacing w:before="146" w:line="233" w:lineRule="auto"/>
        <w:ind w:right="3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>实施方案》的通知</w:t>
      </w:r>
    </w:p>
    <w:bookmarkEnd w:id="0"/>
    <w:p>
      <w:pPr>
        <w:jc w:val="center"/>
        <w:rPr>
          <w:rFonts w:hint="eastAsia" w:ascii="宋体" w:hAnsi="宋体" w:eastAsia="宋体" w:cs="宋体"/>
          <w:sz w:val="36"/>
          <w:szCs w:val="36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各村（社区）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、各部门相关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left="0"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现将《2024年汴河街道平安建设基础巩固暨群众安全感满意度“双提升”专项行动实施方案》印发给你们，请结合实际，认真抓好贯彻落实。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ind w:firstLine="3840" w:firstLineChars="1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宿州市埇桥区汴河街道办事处</w:t>
      </w:r>
    </w:p>
    <w:p>
      <w:pPr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2024年5月15日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spacing w:before="146" w:line="233" w:lineRule="auto"/>
        <w:ind w:right="35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6"/>
          <w:sz w:val="44"/>
          <w:szCs w:val="44"/>
          <w:lang w:val="en-US" w:eastAsia="zh-CN"/>
        </w:rPr>
        <w:t>2024年汴河街道平安建设基础巩固暨群众安全感满意度“双提升”专项行动实施方案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深入学习贯彻习近平总书记关于平安建设的重要指示精神，深化平安埇桥、法治埇桥建设，健全完善民意导向的平安建设工作机制，总结巩固有效做法、再接再厉再创佳绩，不断提高群众参与平安建设的积极性、主动性，持续提升群众的获得感、幸福感、安全感，经研究决定，在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范围内开展2024年埇桥区平安建设基础巩固暨群众安全感满意度“双提升”专项行动。现制定如下实施方案。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一、工作目标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以习近平新时代中国特色社会主义思想为指导，认真落实区委主要负责同志关于“双提升”工作的批示指示精神和区委政法工作会议目标要求，集中开展全覆盖宣传引导、全时空打击治理、全方位夯实基础、全体系履职尽责“四项攻坚”，推动各地各相关单位切实解决影响群众安全感满意度的突出问题，减少报表总结，突出真抓实干，切实为基层减负，扎实推进群众安全感满意度稳步提升，加快建设更高水平的平安埇桥。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二、重点任务和时间安排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(一)全覆盖宣传引导攻坚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是集中开展矩阵式正能量宣传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村（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各相关部门要充分利用“农村大喇叭”和“社区小喇叭”循环播放“双提升”宣传音频；将“双提升”宣传海报张贴到楼栋口、村民组；在学校周边、街道显要位置、公路沿线、村（社区）活动场所门口布置平安建设和群众安全感满意度“双提升”宣传条幅、标语。发动网格员将“双提升”内容转发至居民群、村民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持续采取“线上+线下”相结合的方式，创新开展微信朋友圈推送宣传、抖音等平台短视频宣传；在单位门口布置平安建设和群众安全感满意度“双提升”宣传条幅、标语。</w:t>
      </w:r>
      <w:r>
        <w:rPr>
          <w:rFonts w:hint="eastAsia" w:ascii="仿宋" w:hAnsi="仿宋" w:eastAsia="仿宋" w:cs="仿宋"/>
          <w:sz w:val="32"/>
          <w:szCs w:val="32"/>
        </w:rPr>
        <w:t>进一步营造良好的平安建设舆论氛围，切实提升群众对政法机关执法工作的知晓率和满意度。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要结合社会治安整治、“两大一防”等专项工作，持续加大宣传力度，树立法律权威性，形成全社会对犯罪行为的有效震慑。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司法所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要常态化开展“送法进万企”、“送法进社区”活动，持续加大普法宣传力度。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中心校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通过小手牵大手、家长会等有效形式，加强与家长的联系，争取家长的积极配合，不断扩大平安建设工作宣传面。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经发办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要负责企业单位的宣传。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市场监管所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要负责商店店面、各类市场主体的宣传。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区卫生院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要负责全区医院及医护人员的宣传。城管中队要负责对街巷环卫人员的宣传。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文广站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要负责全区各镇文化市场、旅游市场的宣传。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相关部门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要结合承担的平安建设工作任务，重点做好安全感满意度电话普及、平安创建活动、常态化扫黑除恶、预防电信网络诈骗等内容的正面宣传工作。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(时限要求：2024 年 5 月-6 月，2024 年 11 月-12 月；责任单位:派出所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、司法所、中心校、经发办、市场监管所、区卫生院、文广站、</w:t>
      </w:r>
      <w:r>
        <w:rPr>
          <w:rFonts w:hint="eastAsia" w:ascii="仿宋" w:hAnsi="仿宋" w:eastAsia="仿宋" w:cs="仿宋"/>
          <w:sz w:val="32"/>
          <w:szCs w:val="32"/>
        </w:rPr>
        <w:t>各村（社区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二是集中开展巡回式专项活动。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配合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派出所、司法集中开展“校园巡回普法行”专项活动，通过开展模拟法庭、庭审观摩、公众开放日、主题法治讲座等，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配合区平安办做好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巡回普法宣传点的“巡回普法宣传”活动。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切实提升我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在校学生的平安建设工作知晓率和对政法机关执法工作满意度。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(时限要求：2024 年 5 月-6 月，2024 年 11 月-12 月；责任单位:派出所、司法所、中心校、经发办、市场监管所、区卫生院、文广站、各村（社区）)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(二)全时空打击治理攻坚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一是规范化打击惩处违法犯罪。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sz w:val="32"/>
          <w:szCs w:val="32"/>
        </w:rPr>
        <w:t>要持续提升执法规范化建设，深化社会治安重点地区和突出治安问题排查整治，进一步改善社会治安环境，推动全区违法犯罪总量同比大幅下降。严厉打击盗抢骗、黄赌毒等群众反映强烈的违法犯罪行为，提升整体破案率和现行抓获率。强化侵财类案件的后续处置，加大追赃挽损力度，以侦查办案实绩切实提升人民群众的安全感，确保电信诈骗发案数、涉案“两卡”数、损失金额数等主要指标大幅下降，适时举办集中返还仪式，以实际战果赢得群众认同。开展道路交通安全专项整治行动，严查各类交通违法行为，重点排查事故多发易发路段基础设施安全状况，及时消除安全隐患，努力减少交通事故死亡人数，全力防控较大交通事故，确保全区道路交通安全形势持续稳定。（时限要求：持续推进；责任单位：派出所、各村（社区）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机制化组织治安巡逻防控。严格落实宿州政法平安巡工作部署，进一步强化群防群治工作，选优配强“平安巡”队伍，维护好社会治安环境，同步开展平安建设工作宣传和防电诈、扫黑除恶等普法教育。利用“平安巡”管理系统每日统计巡逻次数、覆盖率、达标率，每周通报各村（社区）整体情况、问题短板，扩大平安志愿服务覆盖面，不断提高群众参与率、巡逻覆盖率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派出所</w:t>
      </w:r>
      <w:r>
        <w:rPr>
          <w:rFonts w:hint="eastAsia" w:ascii="仿宋" w:hAnsi="仿宋" w:eastAsia="仿宋" w:cs="仿宋"/>
          <w:sz w:val="32"/>
          <w:szCs w:val="32"/>
        </w:rPr>
        <w:t>同步强化社会面巡逻防控，压实“屯警街面、动中备勤、快速反应”工作举措，加大社会面巡防密度，重点强化夜间巡防，提升城乡结合部、农村地区的巡防频次，提升街面见警率、管事率，佩戴“爆闪肩灯”和部署“警示灯”巡逻车，常态开展夜间亮灯守护，并落实物业保安24小时值班守护制度，切实增强社会面管控震慑力。（时限要求：持续推进；责任单位：派出所、司法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各村（社区））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常态化开展扫黑除恶斗争。在5-6月组织开展《反有组织犯罪法》集中宣传活动，向社会广泛展示工作成效，动员群众积极检举揭发。各村（社区）、各相关部门充分利用现有阵地、主流媒体和网站专栏，结合工作实际组织开展“送法进企业、进社区、进校园、进军营、进乡村、进机关”活动，举办专题讲座，重点围绕《反有组织犯罪法》主要内容、有关规定，扫黑除恶有关政策、举报方式，以及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扫黑除恶斗争的进展成效、典型经验等进行精准宣传。加强对上级交办涉黑、恶线索核查督办，全力支持政法机关依法办案和有关部门依法履职，深挖彻查“保护伞”。做实“打早除小”工作，强化重点人员管控，努力把黑恶犯罪消除在萌芽状态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（时限要求：持续推进；责任单位：派出所、司法所、各村（社区））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(三)全方位夯实基础攻坚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是扎实提升干部大走访质效。组织包村干部、辖区派出所民警、基层政法干警网格员、平安志愿者队伍开展入户走访工作，充分发挥镇街、村(社区)干部“人熟、地熟、情况熟”的优势，不断扩大“干部大走访”活动的覆盖面和实效度，利用关键时间节点，集中力量、重点攻坚，收集汇总反馈问题，并积极组织整改回访。入户走访时要落实“五问”要求，即:问家庭生活基本情况、问社会治安现实状况、问矛盾纠纷调处情况、问群众安全感满意度、问平安埇桥建设意见建议。每周四下午下班前将本地入户走访汇总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综治办。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（时限要求：持续推进；责任单位：派出所、司法所、各村（社区））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扎实提升矛盾调处质效。以“两大一防”专项攻坚行动为契机，以建立健全“三源共治”工作机制为着力点，坚持关口前移，打通诉源、警源、访源“三源”矛盾纠纷流转渠道。大力推进城乡网格化服务管理，落实“一村一警(辅警)”工作要求，加强诉调、警调、访调对接，对情感纠纷、家庭纠纷等易引发命案的隐性矛盾，定期进行分析研判，坚决防止因矛盾纠纷排查化解不到位引发“民转刑”“刑转命”案件。推进基层综治中心实体化规范化运行，切实提升综治中心知晓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司法所、派出所、中心校、区卫生院、各村（社区）等单位要关注相关领域的重点人群，及时做好教育引导，对其不满意事项要提前做到释法明理。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时限要求：持续推进；责任单位：派出所、司法所、中心校、区卫生院、各村（社区））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楷体" w:hAnsi="楷体" w:eastAsia="楷体" w:cs="楷体"/>
          <w:b w:val="0"/>
          <w:bCs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(四)全体系履职尽责攻坚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一是健全专项督导检查体系。派出所、司法所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成立督导组，</w:t>
      </w:r>
      <w:r>
        <w:rPr>
          <w:rFonts w:hint="eastAsia" w:ascii="仿宋" w:hAnsi="仿宋" w:eastAsia="仿宋" w:cs="仿宋"/>
          <w:sz w:val="32"/>
          <w:szCs w:val="32"/>
        </w:rPr>
        <w:t>采取座谈调研、实地走访、查阅台账、群众访谈、电话抽查等方式，对专项行动推进情况持续开展督导检查，及时发现存在问题，责令限期整改，每周进行督查数据和突出问题交办，形成督导通报直报各镇街党委主要负责同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（时限要求：2024 年 5 月-6 月，2024 年 11 月-12 月；责任单位：派出所、司法所、各村（社区））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二是及时开展跟踪回访。派出所、司法所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、各村（社区）</w:t>
      </w:r>
      <w:r>
        <w:rPr>
          <w:rFonts w:hint="eastAsia" w:ascii="仿宋" w:hAnsi="仿宋" w:eastAsia="仿宋" w:cs="仿宋"/>
          <w:sz w:val="32"/>
          <w:szCs w:val="32"/>
        </w:rPr>
        <w:t>要聚焦受访群众对居住地周边社会治安、政法机关执法工作、平安建设参与、矛盾纠纷化解等情况的意见建议，适宜开展群众安全感满意度电话问卷和小程序调查工作，更高效、准确地收集群众真实感受和意见建议，全面及时整改反馈。同时，要根据相关调查反馈的情况，持续强化跟踪回访工作，对影响群众安全感满意度的问题，按照属地管理和部门管理“两条线”，交办到位、责任到人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（时限要求：持续推进；责任单位：派出所、司法所、各村（社区））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三是健全转作风强队伍体系。加强作风建设管理，严格落实新时代政法干警“十个严禁”，常态化组织开展明察暗访和执法监督活动，集中通报一批不作为、乱作为、态度生硬冷漠、违法违规办案等典型问题，着力解决办案不公、作风不实、敬畏不够、表率不强等问题，保障公正文明执法。加强警务司法辅助人员管理，全面推进警务司法辅助人员职业化规范化建设，重点加强对窗口单位人员的管理，锻塑警务司法辅助队伍的良好形象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（时限要求：持续推进；责任单位：派出所、司法所、各村（社区））</w:t>
      </w:r>
    </w:p>
    <w:p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、工作要求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(一)提高认识，加强组织。</w:t>
      </w: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村（</w:t>
      </w:r>
      <w:r>
        <w:rPr>
          <w:rFonts w:hint="eastAsia" w:ascii="仿宋" w:hAnsi="仿宋" w:eastAsia="仿宋" w:cs="仿宋"/>
          <w:sz w:val="32"/>
          <w:szCs w:val="32"/>
        </w:rPr>
        <w:t>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、各相关部门要进一步提高政治站位，把平安建设基础巩固暨群众安全感满意度“双提升”专项行动作为“一把手”工程抓紧抓实，细化工作措施，落实工作责任，加强组织领导和机制保障，严格落实平安建设领导责任制，压紧压实责任，坚持“一把手”负总责、亲自抓，分管领导具体抓，推进专项行动各项重点任务有序开展、取得实效。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(二）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加强统筹，协同配合。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要发挥牵头抓总作用，做好调查研究、组织协调、跟踪问效、督导考核等工作;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各村（社区）</w:t>
      </w:r>
      <w:r>
        <w:rPr>
          <w:rFonts w:hint="eastAsia" w:ascii="仿宋" w:hAnsi="仿宋" w:eastAsia="仿宋" w:cs="仿宋"/>
          <w:sz w:val="32"/>
          <w:szCs w:val="32"/>
        </w:rPr>
        <w:t>要发挥主力军作用，谋深谋细谋实各自领域平安建设工作思路举措，对标对表、挂图作战;其他相关部门要加强协同配合，依法履职、强化服务。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(三)总结推广，营造氛围。</w:t>
      </w:r>
      <w:r>
        <w:rPr>
          <w:rFonts w:hint="eastAsia" w:ascii="仿宋" w:hAnsi="仿宋" w:eastAsia="仿宋" w:cs="仿宋"/>
          <w:sz w:val="32"/>
          <w:szCs w:val="32"/>
        </w:rPr>
        <w:t>结合各自工作职能，及时发现、总结、提炼平安建设工作中的创新经验和特色亮点，形成可推广性、可复制性的工作经验，持续开展平安建设的正能量宣传，着力营造平安建设浓厚氛围。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sz w:val="32"/>
          <w:szCs w:val="32"/>
        </w:rPr>
        <w:t>(四)强化督导，追责问效。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街道</w:t>
      </w:r>
      <w:r>
        <w:rPr>
          <w:rFonts w:hint="eastAsia" w:ascii="仿宋" w:hAnsi="仿宋" w:eastAsia="仿宋" w:cs="仿宋"/>
          <w:sz w:val="32"/>
          <w:szCs w:val="32"/>
        </w:rPr>
        <w:t>对此次专项行动开展情况一周一督导一通报，将相关情况报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综治办</w:t>
      </w:r>
      <w:r>
        <w:rPr>
          <w:rFonts w:hint="eastAsia" w:ascii="仿宋" w:hAnsi="仿宋" w:eastAsia="仿宋" w:cs="仿宋"/>
          <w:sz w:val="32"/>
          <w:szCs w:val="32"/>
        </w:rPr>
        <w:t>，并纳平安建设考核。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记得</w:t>
      </w:r>
      <w:r>
        <w:rPr>
          <w:rFonts w:hint="eastAsia" w:ascii="仿宋" w:hAnsi="仿宋" w:eastAsia="仿宋" w:cs="仿宋"/>
          <w:sz w:val="32"/>
          <w:szCs w:val="32"/>
        </w:rPr>
        <w:t>持续强化结果运用，对重视不够、问题较多、持续落后的地方和单位，严格执行《埇桥区平安建设责任追究工作实施细则(试行)》，实施追责问责。</w:t>
      </w:r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联系人： 马建锋、鲁银凤       联系电话：3648213</w:t>
      </w:r>
    </w:p>
    <w:p>
      <w:pPr>
        <w:pStyle w:val="2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 xml:space="preserve">电子邮箱： 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begin"/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instrText xml:space="preserve"> HYPERLINK "mailto:1092029767@qq.com" </w:instrTex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separate"/>
      </w:r>
      <w:r>
        <w:rPr>
          <w:rStyle w:val="17"/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1092029767@qq.com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fldChar w:fldCharType="end"/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 w:cs="仿宋"/>
          <w:sz w:val="32"/>
          <w:szCs w:val="32"/>
        </w:rPr>
        <w:t>干部入户走访情况登记表</w:t>
      </w: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spacing w:line="560" w:lineRule="exact"/>
        <w:ind w:firstLine="0" w:firstLineChars="0"/>
        <w:jc w:val="left"/>
        <w:rPr>
          <w:rFonts w:hint="eastAsia" w:eastAsia="仿宋"/>
          <w:sz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left"/>
        <w:textAlignment w:val="auto"/>
        <w:rPr>
          <w:rFonts w:hint="eastAsia" w:eastAsia="仿宋"/>
          <w:sz w:val="32"/>
          <w:lang w:eastAsia="zh-CN"/>
        </w:rPr>
      </w:pPr>
      <w:r>
        <w:rPr>
          <w:rFonts w:hint="eastAsia" w:eastAsia="仿宋"/>
          <w:sz w:val="32"/>
        </w:rPr>
        <w:t>附件</w:t>
      </w:r>
      <w:r>
        <w:rPr>
          <w:rFonts w:hint="eastAsia" w:eastAsia="仿宋"/>
          <w:sz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干部入户走访情况登记表</w:t>
      </w:r>
    </w:p>
    <w:tbl>
      <w:tblPr>
        <w:tblStyle w:val="13"/>
        <w:tblW w:w="1031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1272"/>
        <w:gridCol w:w="754"/>
        <w:gridCol w:w="1813"/>
        <w:gridCol w:w="1055"/>
        <w:gridCol w:w="1103"/>
        <w:gridCol w:w="1283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走访时间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地点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人员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走访对象</w:t>
            </w: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地址</w:t>
            </w:r>
          </w:p>
        </w:tc>
        <w:tc>
          <w:tcPr>
            <w:tcW w:w="39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走访对象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走访对象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基本情况</w:t>
            </w:r>
          </w:p>
        </w:tc>
        <w:tc>
          <w:tcPr>
            <w:tcW w:w="8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走访对象反映的问题和有关诉求</w:t>
            </w:r>
          </w:p>
        </w:tc>
        <w:tc>
          <w:tcPr>
            <w:tcW w:w="8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收集的问题、诉求初步解决情况</w:t>
            </w:r>
          </w:p>
        </w:tc>
        <w:tc>
          <w:tcPr>
            <w:tcW w:w="8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备   注</w:t>
            </w:r>
          </w:p>
        </w:tc>
        <w:tc>
          <w:tcPr>
            <w:tcW w:w="89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走访对象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签名</w:t>
            </w:r>
          </w:p>
        </w:tc>
        <w:tc>
          <w:tcPr>
            <w:tcW w:w="38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color w:val="00000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  <w:szCs w:val="24"/>
                <w:lang w:bidi="ar"/>
              </w:rPr>
              <w:t>走访人签名</w:t>
            </w:r>
          </w:p>
        </w:tc>
        <w:tc>
          <w:tcPr>
            <w:tcW w:w="40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</w:p>
    <w:p>
      <w:pPr>
        <w:tabs>
          <w:tab w:val="left" w:pos="3373"/>
        </w:tabs>
        <w:spacing w:line="600" w:lineRule="exact"/>
        <w:ind w:firstLine="280" w:firstLineChars="100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宿州市埇桥区汴河街道办事处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102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zPkr0AAAAAIBAAAPAAAAAAAAAAEAIAAAACIAAABkcnMv&#10;ZG93bnJldi54bWxQSwECFAAUAAAACACHTuJAdejJCNIBAACbAwAADgAAAAAAAAABACAAAAAf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102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Wg3o0wAAAAYBAAAPAAAAAAAAAAEAIAAAACIAAABk&#10;cnMvZG93bnJldi54bWxQSwECFAAUAAAACACHTuJAfNwlzd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eastAsia="仿宋" w:cs="Times New Roman"/>
          <w:sz w:val="28"/>
          <w:szCs w:val="28"/>
          <w:lang w:val="en-US" w:eastAsia="zh-CN"/>
        </w:rPr>
        <w:t>4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5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eastAsia="仿宋" w:cs="Times New Roman"/>
          <w:sz w:val="28"/>
          <w:szCs w:val="28"/>
          <w:lang w:val="en-US" w:eastAsia="zh-CN"/>
        </w:rPr>
        <w:t>15</w:t>
      </w:r>
      <w:r>
        <w:rPr>
          <w:rFonts w:hint="eastAsia" w:ascii="Times New Roman" w:hAnsi="Times New Roman" w:eastAsia="仿宋" w:cs="Times New Roman"/>
          <w:sz w:val="28"/>
          <w:szCs w:val="28"/>
        </w:rPr>
        <w:t>日印发</w: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102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DzPkr0AAAAAIBAAAPAAAAAAAAAAEAIAAAACIAAABkcnMv&#10;ZG93bnJldi54bWxQSwECFAAUAAAACACHTuJAkjnU7NIBAACbAwAADgAAAAAAAAABACAAAAAfAQAA&#10;ZHJzL2Uyb0RvYy54bWxQSwUGAAAAAAYABgBZAQAAYw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102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BWg3o0wAAAAYBAAAPAAAAAAAAAAEAIAAAACIAAABk&#10;cnMvZG93bnJldi54bWxQSwECFAAUAAAACACHTuJAFKhyOtIBAACbAwAADgAAAAAAAAABACAAAAAi&#10;AQAAZHJzL2Uyb0RvYy54bWxQSwUGAAAAAAYABgBZAQAAZ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55E0B02-BA29-4416-B260-928DE048CD2F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9D0F65E8-8577-439B-9C7D-9BC7CCF7EA75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6E78C5FF-364A-4141-BAC9-2A00D8CC598F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088EC54F-D8C8-4F57-965B-E7FDAD50AF92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C9FD33A7-9651-45A0-8688-85FCF8C64B0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4F1E45F3-55B9-401F-BADC-D6FB2D252B65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7" w:fontKey="{DAFE0A23-FA0C-4758-BEB7-550524B014C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8" w:fontKey="{9BDF445A-E7F2-40BB-B4BE-903A9C496408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outside" w:y="1"/>
      <w:rPr>
        <w:rStyle w:val="16"/>
        <w:rFonts w:ascii="宋体" w:hAnsi="宋体"/>
        <w:sz w:val="28"/>
        <w:szCs w:val="28"/>
      </w:rPr>
    </w:pPr>
    <w:r>
      <w:rPr>
        <w:rStyle w:val="16"/>
        <w:rFonts w:ascii="宋体" w:hAnsi="宋体"/>
        <w:sz w:val="28"/>
        <w:szCs w:val="28"/>
      </w:rPr>
      <w:fldChar w:fldCharType="begin"/>
    </w:r>
    <w:r>
      <w:rPr>
        <w:rStyle w:val="16"/>
        <w:rFonts w:ascii="宋体" w:hAnsi="宋体"/>
        <w:sz w:val="28"/>
        <w:szCs w:val="28"/>
      </w:rPr>
      <w:instrText xml:space="preserve">PAGE  </w:instrText>
    </w:r>
    <w:r>
      <w:rPr>
        <w:rStyle w:val="16"/>
        <w:rFonts w:ascii="宋体" w:hAnsi="宋体"/>
        <w:sz w:val="28"/>
        <w:szCs w:val="28"/>
      </w:rPr>
      <w:fldChar w:fldCharType="separate"/>
    </w:r>
    <w:r>
      <w:rPr>
        <w:rStyle w:val="16"/>
        <w:rFonts w:ascii="宋体" w:hAnsi="宋体"/>
        <w:sz w:val="28"/>
        <w:szCs w:val="28"/>
      </w:rPr>
      <w:t>- 4 -</w:t>
    </w:r>
    <w:r>
      <w:rPr>
        <w:rStyle w:val="16"/>
        <w:rFonts w:ascii="宋体" w:hAnsi="宋体"/>
        <w:sz w:val="28"/>
        <w:szCs w:val="28"/>
      </w:rPr>
      <w:fldChar w:fldCharType="end"/>
    </w:r>
  </w:p>
  <w:p>
    <w:pPr>
      <w:pStyle w:val="8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6C3E"/>
    <w:rsid w:val="04BE6DEA"/>
    <w:rsid w:val="0606781E"/>
    <w:rsid w:val="06307A52"/>
    <w:rsid w:val="064F4477"/>
    <w:rsid w:val="07C417A5"/>
    <w:rsid w:val="0AB42DDD"/>
    <w:rsid w:val="0BB4635E"/>
    <w:rsid w:val="0C3845F2"/>
    <w:rsid w:val="0D4F2D55"/>
    <w:rsid w:val="0DB70DA8"/>
    <w:rsid w:val="0F030773"/>
    <w:rsid w:val="0F6E3CA2"/>
    <w:rsid w:val="0FCB66DE"/>
    <w:rsid w:val="0FFF4230"/>
    <w:rsid w:val="12B2531A"/>
    <w:rsid w:val="1487181D"/>
    <w:rsid w:val="15867B9B"/>
    <w:rsid w:val="159A23E7"/>
    <w:rsid w:val="15EC7EC7"/>
    <w:rsid w:val="16807518"/>
    <w:rsid w:val="1AB103E4"/>
    <w:rsid w:val="208935A7"/>
    <w:rsid w:val="28675771"/>
    <w:rsid w:val="2F375957"/>
    <w:rsid w:val="31C53CBB"/>
    <w:rsid w:val="33E93216"/>
    <w:rsid w:val="35D8171E"/>
    <w:rsid w:val="36FF79F5"/>
    <w:rsid w:val="389549B3"/>
    <w:rsid w:val="3B0113E9"/>
    <w:rsid w:val="3CC0072C"/>
    <w:rsid w:val="3E573ED1"/>
    <w:rsid w:val="3FDC566E"/>
    <w:rsid w:val="3FF96752"/>
    <w:rsid w:val="415B2D1D"/>
    <w:rsid w:val="41F83E5A"/>
    <w:rsid w:val="425B2BE1"/>
    <w:rsid w:val="42C440A2"/>
    <w:rsid w:val="471A1655"/>
    <w:rsid w:val="47C64CA9"/>
    <w:rsid w:val="4A4C4660"/>
    <w:rsid w:val="4B8F6C3E"/>
    <w:rsid w:val="4C7311EB"/>
    <w:rsid w:val="4EA24B6C"/>
    <w:rsid w:val="50452193"/>
    <w:rsid w:val="505F10FA"/>
    <w:rsid w:val="51BA18B5"/>
    <w:rsid w:val="5972082C"/>
    <w:rsid w:val="5AD716E7"/>
    <w:rsid w:val="5B257C72"/>
    <w:rsid w:val="5CA3474C"/>
    <w:rsid w:val="625419D8"/>
    <w:rsid w:val="649E1366"/>
    <w:rsid w:val="64EE5D1E"/>
    <w:rsid w:val="650D5B22"/>
    <w:rsid w:val="6A5E2664"/>
    <w:rsid w:val="6C7E69A8"/>
    <w:rsid w:val="6D1F15C0"/>
    <w:rsid w:val="6F502ECA"/>
    <w:rsid w:val="721958FC"/>
    <w:rsid w:val="73712C87"/>
    <w:rsid w:val="74E70B3A"/>
    <w:rsid w:val="75F007E9"/>
    <w:rsid w:val="785F41CE"/>
    <w:rsid w:val="78E05E21"/>
    <w:rsid w:val="7A5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4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仿宋正文"/>
    <w:basedOn w:val="1"/>
    <w:qFormat/>
    <w:uiPriority w:val="99"/>
    <w:pPr>
      <w:spacing w:line="600" w:lineRule="exact"/>
      <w:ind w:firstLine="420" w:firstLineChars="200"/>
    </w:pPr>
    <w:rPr>
      <w:rFonts w:ascii="Times New Roman" w:hAnsi="Times New Roman" w:eastAsia="方正仿宋简体"/>
      <w:szCs w:val="32"/>
    </w:rPr>
  </w:style>
  <w:style w:type="paragraph" w:styleId="3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4">
    <w:name w:val="index 5"/>
    <w:basedOn w:val="1"/>
    <w:next w:val="1"/>
    <w:unhideWhenUsed/>
    <w:qFormat/>
    <w:uiPriority w:val="99"/>
    <w:pPr>
      <w:widowControl w:val="0"/>
      <w:spacing w:line="600" w:lineRule="exact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tabs>
        <w:tab w:val="left" w:pos="8250"/>
      </w:tabs>
      <w:spacing w:line="520" w:lineRule="exact"/>
    </w:pPr>
    <w:rPr>
      <w:rFonts w:eastAsia="仿宋_GB2312"/>
      <w:sz w:val="32"/>
    </w:rPr>
  </w:style>
  <w:style w:type="paragraph" w:styleId="6">
    <w:name w:val="Body Text Indent"/>
    <w:basedOn w:val="1"/>
    <w:next w:val="3"/>
    <w:uiPriority w:val="0"/>
    <w:pPr>
      <w:spacing w:after="120"/>
      <w:ind w:left="420" w:leftChars="200"/>
    </w:pPr>
    <w:rPr>
      <w:rFonts w:ascii="Times New Roman" w:hAnsi="Times New Roman" w:eastAsia="宋体" w:cs="Times New Roman"/>
    </w:rPr>
  </w:style>
  <w:style w:type="paragraph" w:styleId="7">
    <w:name w:val="Body Text Indent 2"/>
    <w:basedOn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"/>
    <w:basedOn w:val="5"/>
    <w:next w:val="4"/>
    <w:unhideWhenUsed/>
    <w:qFormat/>
    <w:uiPriority w:val="99"/>
    <w:pPr>
      <w:ind w:firstLine="420" w:firstLineChars="100"/>
    </w:pPr>
  </w:style>
  <w:style w:type="paragraph" w:styleId="12">
    <w:name w:val="Body Text First Indent 2"/>
    <w:basedOn w:val="6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Hyperlink"/>
    <w:basedOn w:val="14"/>
    <w:qFormat/>
    <w:uiPriority w:val="0"/>
    <w:rPr>
      <w:color w:val="0000FF"/>
      <w:u w:val="single"/>
    </w:rPr>
  </w:style>
  <w:style w:type="paragraph" w:customStyle="1" w:styleId="18">
    <w:name w:val="_Style 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paragraph" w:customStyle="1" w:styleId="19">
    <w:name w:val="BodyTextIndent2"/>
    <w:next w:val="1"/>
    <w:qFormat/>
    <w:uiPriority w:val="0"/>
    <w:pPr>
      <w:spacing w:line="590" w:lineRule="exact"/>
      <w:ind w:firstLine="880" w:firstLineChars="200"/>
      <w:textAlignment w:val="baseline"/>
    </w:pPr>
    <w:rPr>
      <w:rFonts w:ascii="Tahoma" w:hAnsi="Tahoma" w:eastAsia="方正仿宋_GBK" w:cs="Times New Roman"/>
      <w:b/>
      <w:bCs/>
      <w:sz w:val="32"/>
      <w:szCs w:val="32"/>
      <w:lang w:val="en-US" w:eastAsia="zh-CN" w:bidi="ar-SA"/>
    </w:rPr>
  </w:style>
  <w:style w:type="paragraph" w:customStyle="1" w:styleId="20">
    <w:name w:val="正文文本缩进 21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customStyle="1" w:styleId="21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2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customStyle="1" w:styleId="23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table" w:customStyle="1" w:styleId="2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2022-02-21T03:20:00Z</dcterms:created>
  <dc:creator>飞ྂ翔ྂbesos</dc:creator>
  <cp:lastModifiedBy>Administrator</cp:lastModifiedBy>
  <cp:lastPrinted>2024-05-21T02:15:02Z</cp:lastPrinted>
  <dcterms:modified xsi:type="dcterms:W3CDTF">2024-05-21T02:15:07Z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