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5E5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0"/>
        <w:jc w:val="center"/>
        <w:rPr>
          <w:rFonts w:hint="eastAsia" w:ascii="微软雅黑" w:hAnsi="微软雅黑" w:eastAsia="微软雅黑" w:cs="微软雅黑"/>
          <w:b w:val="0"/>
          <w:bCs w:val="0"/>
          <w:i w:val="0"/>
          <w:iCs w:val="0"/>
          <w:caps w:val="0"/>
          <w:color w:val="333333"/>
          <w:spacing w:val="0"/>
          <w:sz w:val="42"/>
          <w:szCs w:val="42"/>
        </w:rPr>
      </w:pPr>
      <w:r>
        <w:rPr>
          <w:rFonts w:hint="eastAsia" w:ascii="微软雅黑" w:hAnsi="微软雅黑" w:eastAsia="微软雅黑" w:cs="微软雅黑"/>
          <w:b w:val="0"/>
          <w:bCs w:val="0"/>
          <w:i w:val="0"/>
          <w:iCs w:val="0"/>
          <w:caps w:val="0"/>
          <w:color w:val="333333"/>
          <w:spacing w:val="0"/>
          <w:sz w:val="42"/>
          <w:szCs w:val="42"/>
          <w:bdr w:val="none" w:color="auto" w:sz="0" w:space="0"/>
          <w:shd w:val="clear" w:fill="FDFDFD"/>
          <w:lang w:eastAsia="zh-CN"/>
        </w:rPr>
        <w:t>《</w:t>
      </w:r>
      <w:r>
        <w:rPr>
          <w:rFonts w:hint="eastAsia" w:ascii="微软雅黑" w:hAnsi="微软雅黑" w:eastAsia="微软雅黑" w:cs="微软雅黑"/>
          <w:b w:val="0"/>
          <w:bCs w:val="0"/>
          <w:i w:val="0"/>
          <w:iCs w:val="0"/>
          <w:caps w:val="0"/>
          <w:color w:val="333333"/>
          <w:spacing w:val="0"/>
          <w:sz w:val="42"/>
          <w:szCs w:val="42"/>
          <w:bdr w:val="none" w:color="auto" w:sz="0" w:space="0"/>
          <w:shd w:val="clear" w:fill="FDFDFD"/>
        </w:rPr>
        <w:t>北杨寨行管区202</w:t>
      </w:r>
      <w:r>
        <w:rPr>
          <w:rFonts w:hint="eastAsia" w:ascii="微软雅黑" w:hAnsi="微软雅黑" w:eastAsia="微软雅黑" w:cs="微软雅黑"/>
          <w:b w:val="0"/>
          <w:bCs w:val="0"/>
          <w:i w:val="0"/>
          <w:iCs w:val="0"/>
          <w:caps w:val="0"/>
          <w:color w:val="333333"/>
          <w:spacing w:val="0"/>
          <w:sz w:val="42"/>
          <w:szCs w:val="42"/>
          <w:bdr w:val="none" w:color="auto" w:sz="0" w:space="0"/>
          <w:shd w:val="clear" w:fill="FDFDFD"/>
          <w:lang w:val="en-US" w:eastAsia="zh-CN"/>
        </w:rPr>
        <w:t>4</w:t>
      </w:r>
      <w:r>
        <w:rPr>
          <w:rFonts w:hint="eastAsia" w:ascii="微软雅黑" w:hAnsi="微软雅黑" w:eastAsia="微软雅黑" w:cs="微软雅黑"/>
          <w:b w:val="0"/>
          <w:bCs w:val="0"/>
          <w:i w:val="0"/>
          <w:iCs w:val="0"/>
          <w:caps w:val="0"/>
          <w:color w:val="333333"/>
          <w:spacing w:val="0"/>
          <w:sz w:val="42"/>
          <w:szCs w:val="42"/>
          <w:bdr w:val="none" w:color="auto" w:sz="0" w:space="0"/>
          <w:shd w:val="clear" w:fill="FDFDFD"/>
        </w:rPr>
        <w:t>年城乡居民养老保险费征缴工作方案</w:t>
      </w:r>
      <w:r>
        <w:rPr>
          <w:rFonts w:hint="eastAsia" w:ascii="微软雅黑" w:hAnsi="微软雅黑" w:eastAsia="微软雅黑" w:cs="微软雅黑"/>
          <w:b w:val="0"/>
          <w:bCs w:val="0"/>
          <w:i w:val="0"/>
          <w:iCs w:val="0"/>
          <w:caps w:val="0"/>
          <w:color w:val="333333"/>
          <w:spacing w:val="0"/>
          <w:sz w:val="42"/>
          <w:szCs w:val="42"/>
          <w:shd w:val="clear" w:fill="FDFDFD"/>
          <w:lang w:eastAsia="zh-CN"/>
        </w:rPr>
        <w:t>》</w:t>
      </w:r>
      <w:r>
        <w:rPr>
          <w:rFonts w:hint="default" w:ascii="Times New Roman" w:hAnsi="Times New Roman" w:eastAsia="宋体" w:cs="Times New Roman"/>
          <w:color w:val="000000"/>
          <w:sz w:val="44"/>
          <w:szCs w:val="44"/>
        </w:rPr>
        <w:t>起草说明</w:t>
      </w:r>
    </w:p>
    <w:p w14:paraId="504C6A8C">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pPr>
      <w:r>
        <w:rPr>
          <w:rFonts w:hint="default" w:ascii="Times New Roman" w:hAnsi="Times New Roman" w:cs="Times New Roman"/>
          <w:color w:val="000000"/>
          <w:sz w:val="32"/>
          <w:szCs w:val="32"/>
        </w:rPr>
        <w:t>根据工作安排，现将北杨寨行管区202</w:t>
      </w:r>
      <w:r>
        <w:rPr>
          <w:rFonts w:hint="eastAsia" w:ascii="Times New Roman" w:hAnsi="Times New Roman" w:cs="Times New Roman"/>
          <w:color w:val="000000"/>
          <w:sz w:val="32"/>
          <w:szCs w:val="32"/>
          <w:lang w:val="en-US" w:eastAsia="zh-CN"/>
        </w:rPr>
        <w:t>4</w:t>
      </w:r>
      <w:r>
        <w:rPr>
          <w:rFonts w:hint="default" w:ascii="Times New Roman" w:hAnsi="Times New Roman" w:cs="Times New Roman"/>
          <w:color w:val="000000"/>
          <w:sz w:val="32"/>
          <w:szCs w:val="32"/>
        </w:rPr>
        <w:t>年城乡居民养老保险费征缴工作方案起草情况汇报如下：</w:t>
      </w:r>
    </w:p>
    <w:p w14:paraId="422AA49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560" w:lineRule="atLeast"/>
        <w:ind w:left="0" w:firstLine="640"/>
        <w:jc w:val="both"/>
      </w:pPr>
      <w:r>
        <w:rPr>
          <w:rFonts w:hint="default" w:ascii="Times New Roman" w:hAnsi="Times New Roman" w:cs="Times New Roman"/>
          <w:color w:val="000000"/>
          <w:sz w:val="32"/>
          <w:szCs w:val="32"/>
          <w:shd w:val="clear" w:fill="FFFFFF"/>
        </w:rPr>
        <w:t>一、文件制定背景</w:t>
      </w:r>
    </w:p>
    <w:p w14:paraId="25F41FD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560" w:lineRule="atLeast"/>
        <w:ind w:left="0" w:firstLine="640"/>
        <w:jc w:val="both"/>
      </w:pPr>
      <w:r>
        <w:rPr>
          <w:rFonts w:ascii="仿宋" w:hAnsi="仿宋" w:eastAsia="仿宋" w:cs="仿宋"/>
          <w:i w:val="0"/>
          <w:iCs w:val="0"/>
          <w:caps w:val="0"/>
          <w:color w:val="333333"/>
          <w:spacing w:val="0"/>
          <w:sz w:val="32"/>
          <w:szCs w:val="32"/>
          <w:bdr w:val="none" w:color="auto" w:sz="0" w:space="0"/>
          <w:shd w:val="clear" w:fill="FDFDFD"/>
        </w:rPr>
        <w:t>为进一步推进城乡居民社会养老保险工作，健全城乡社会保障体系，</w:t>
      </w:r>
      <w:r>
        <w:rPr>
          <w:rFonts w:hint="eastAsia" w:ascii="仿宋" w:hAnsi="仿宋" w:eastAsia="仿宋" w:cs="仿宋"/>
          <w:i w:val="0"/>
          <w:iCs w:val="0"/>
          <w:caps w:val="0"/>
          <w:color w:val="333333"/>
          <w:spacing w:val="0"/>
          <w:sz w:val="32"/>
          <w:szCs w:val="32"/>
          <w:bdr w:val="none" w:color="auto" w:sz="0" w:space="0"/>
          <w:shd w:val="clear" w:fill="FDFDFD"/>
        </w:rPr>
        <w:t>稳妥有序做好2</w:t>
      </w:r>
      <w:bookmarkStart w:id="0" w:name="_GoBack"/>
      <w:bookmarkEnd w:id="0"/>
      <w:r>
        <w:rPr>
          <w:rFonts w:hint="eastAsia" w:ascii="仿宋" w:hAnsi="仿宋" w:eastAsia="仿宋" w:cs="仿宋"/>
          <w:i w:val="0"/>
          <w:iCs w:val="0"/>
          <w:caps w:val="0"/>
          <w:color w:val="333333"/>
          <w:spacing w:val="0"/>
          <w:sz w:val="32"/>
          <w:szCs w:val="32"/>
          <w:bdr w:val="none" w:color="auto" w:sz="0" w:space="0"/>
          <w:shd w:val="clear" w:fill="FDFDFD"/>
        </w:rPr>
        <w:t>02</w:t>
      </w:r>
      <w:r>
        <w:rPr>
          <w:rFonts w:hint="eastAsia" w:ascii="仿宋" w:hAnsi="仿宋" w:eastAsia="仿宋" w:cs="仿宋"/>
          <w:i w:val="0"/>
          <w:iCs w:val="0"/>
          <w:caps w:val="0"/>
          <w:color w:val="333333"/>
          <w:spacing w:val="0"/>
          <w:sz w:val="32"/>
          <w:szCs w:val="32"/>
          <w:bdr w:val="none" w:color="auto" w:sz="0" w:space="0"/>
          <w:shd w:val="clear" w:fill="FDFDFD"/>
          <w:lang w:val="en-US" w:eastAsia="zh-CN"/>
        </w:rPr>
        <w:t>4</w:t>
      </w:r>
      <w:r>
        <w:rPr>
          <w:rFonts w:hint="eastAsia" w:ascii="仿宋" w:hAnsi="仿宋" w:eastAsia="仿宋" w:cs="仿宋"/>
          <w:i w:val="0"/>
          <w:iCs w:val="0"/>
          <w:caps w:val="0"/>
          <w:color w:val="333333"/>
          <w:spacing w:val="0"/>
          <w:sz w:val="32"/>
          <w:szCs w:val="32"/>
          <w:bdr w:val="none" w:color="auto" w:sz="0" w:space="0"/>
          <w:shd w:val="clear" w:fill="FDFDFD"/>
        </w:rPr>
        <w:t>年全市城乡居民基本养老保险征缴工作，实现费款征缴安全、便利、高效而制定本方案</w:t>
      </w:r>
      <w:r>
        <w:rPr>
          <w:rFonts w:hint="default" w:ascii="Times New Roman" w:hAnsi="Times New Roman" w:cs="Times New Roman"/>
          <w:color w:val="000000"/>
          <w:sz w:val="32"/>
          <w:szCs w:val="32"/>
          <w:shd w:val="clear" w:fill="FFFFFF"/>
        </w:rPr>
        <w:t>（征求意见稿）。</w:t>
      </w:r>
    </w:p>
    <w:p w14:paraId="372224C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560" w:lineRule="atLeast"/>
        <w:ind w:left="0" w:firstLine="640"/>
        <w:jc w:val="both"/>
      </w:pPr>
      <w:r>
        <w:rPr>
          <w:rFonts w:hint="default" w:ascii="Times New Roman" w:hAnsi="Times New Roman" w:cs="Times New Roman"/>
          <w:color w:val="000000"/>
          <w:sz w:val="32"/>
          <w:szCs w:val="32"/>
          <w:shd w:val="clear" w:fill="FFFFFF"/>
        </w:rPr>
        <w:t>二、文件依据</w:t>
      </w:r>
    </w:p>
    <w:p w14:paraId="353552B1">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560" w:lineRule="atLeast"/>
        <w:ind w:left="0" w:firstLine="640"/>
        <w:jc w:val="both"/>
      </w:pPr>
      <w:r>
        <w:rPr>
          <w:rFonts w:hint="default" w:ascii="Times New Roman" w:hAnsi="Times New Roman" w:cs="Times New Roman"/>
          <w:color w:val="000000"/>
          <w:sz w:val="32"/>
          <w:szCs w:val="32"/>
          <w:shd w:val="clear" w:fill="FFFFFF"/>
        </w:rPr>
        <w:t>《</w:t>
      </w:r>
      <w:r>
        <w:rPr>
          <w:rFonts w:hint="eastAsia" w:ascii="Times New Roman" w:hAnsi="Times New Roman" w:cs="Times New Roman"/>
          <w:color w:val="000000"/>
          <w:sz w:val="32"/>
          <w:szCs w:val="32"/>
          <w:shd w:val="clear" w:fill="FFFFFF"/>
          <w:lang w:val="en-US" w:eastAsia="zh-CN"/>
        </w:rPr>
        <w:t>宿州市埇桥区人民政府办公室关于做好2024年全区城乡居民基本养老保险征缴工作的通知</w:t>
      </w:r>
      <w:r>
        <w:rPr>
          <w:rFonts w:hint="default" w:ascii="Times New Roman" w:hAnsi="Times New Roman" w:cs="Times New Roman"/>
          <w:color w:val="000000"/>
          <w:sz w:val="32"/>
          <w:szCs w:val="32"/>
          <w:shd w:val="clear" w:fill="FFFFFF"/>
        </w:rPr>
        <w:t>》 三、文件制定过程</w:t>
      </w:r>
    </w:p>
    <w:p w14:paraId="36AA9D4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560" w:lineRule="atLeast"/>
        <w:ind w:left="0" w:firstLine="640"/>
        <w:jc w:val="both"/>
      </w:pPr>
      <w:r>
        <w:rPr>
          <w:rFonts w:hint="default" w:ascii="Times New Roman" w:hAnsi="Times New Roman" w:cs="Times New Roman"/>
          <w:color w:val="000000"/>
          <w:sz w:val="32"/>
          <w:szCs w:val="32"/>
          <w:shd w:val="clear" w:fill="FFFFFF"/>
        </w:rPr>
        <w:t>根据</w:t>
      </w:r>
      <w:r>
        <w:rPr>
          <w:rFonts w:hint="eastAsia" w:ascii="Times New Roman" w:hAnsi="Times New Roman" w:cs="Times New Roman"/>
          <w:color w:val="000000"/>
          <w:sz w:val="32"/>
          <w:szCs w:val="32"/>
          <w:shd w:val="clear" w:fill="FFFFFF"/>
          <w:lang w:val="en-US" w:eastAsia="zh-CN"/>
        </w:rPr>
        <w:t>区</w:t>
      </w:r>
      <w:r>
        <w:rPr>
          <w:rFonts w:hint="default" w:ascii="Times New Roman" w:hAnsi="Times New Roman" w:cs="Times New Roman"/>
          <w:color w:val="000000"/>
          <w:sz w:val="32"/>
          <w:szCs w:val="32"/>
          <w:shd w:val="clear" w:fill="FFFFFF"/>
        </w:rPr>
        <w:t>政府工作</w:t>
      </w:r>
      <w:r>
        <w:rPr>
          <w:rFonts w:hint="eastAsia" w:ascii="Times New Roman" w:hAnsi="Times New Roman" w:cs="Times New Roman"/>
          <w:color w:val="000000"/>
          <w:sz w:val="32"/>
          <w:szCs w:val="32"/>
          <w:shd w:val="clear" w:fill="FFFFFF"/>
          <w:lang w:val="en-US" w:eastAsia="zh-CN"/>
        </w:rPr>
        <w:t>通知</w:t>
      </w:r>
      <w:r>
        <w:rPr>
          <w:rFonts w:hint="default" w:ascii="Times New Roman" w:hAnsi="Times New Roman" w:cs="Times New Roman"/>
          <w:color w:val="000000"/>
          <w:sz w:val="32"/>
          <w:szCs w:val="32"/>
          <w:shd w:val="clear" w:fill="FFFFFF"/>
        </w:rPr>
        <w:t>和区政府</w:t>
      </w:r>
      <w:r>
        <w:rPr>
          <w:rFonts w:hint="eastAsia" w:ascii="Times New Roman" w:hAnsi="Times New Roman" w:cs="Times New Roman"/>
          <w:color w:val="000000"/>
          <w:sz w:val="32"/>
          <w:szCs w:val="32"/>
          <w:shd w:val="clear" w:fill="FFFFFF"/>
          <w:lang w:val="en-US" w:eastAsia="zh-CN"/>
        </w:rPr>
        <w:t>会议</w:t>
      </w:r>
      <w:r>
        <w:rPr>
          <w:rFonts w:hint="default" w:ascii="Times New Roman" w:hAnsi="Times New Roman" w:cs="Times New Roman"/>
          <w:color w:val="000000"/>
          <w:sz w:val="32"/>
          <w:szCs w:val="32"/>
          <w:shd w:val="clear" w:fill="FFFFFF"/>
        </w:rPr>
        <w:t>要求，</w:t>
      </w:r>
      <w:r>
        <w:rPr>
          <w:rFonts w:hint="eastAsia" w:ascii="Times New Roman" w:hAnsi="Times New Roman" w:cs="Times New Roman"/>
          <w:color w:val="000000"/>
          <w:sz w:val="32"/>
          <w:szCs w:val="32"/>
          <w:shd w:val="clear" w:fill="FFFFFF"/>
          <w:lang w:val="en-US" w:eastAsia="zh-CN"/>
        </w:rPr>
        <w:t>北杨寨行管区结合</w:t>
      </w:r>
      <w:r>
        <w:rPr>
          <w:rFonts w:hint="default" w:ascii="Times New Roman" w:hAnsi="Times New Roman" w:cs="Times New Roman"/>
          <w:color w:val="000000"/>
          <w:sz w:val="32"/>
          <w:szCs w:val="32"/>
          <w:shd w:val="clear" w:fill="FFFFFF"/>
        </w:rPr>
        <w:t>实际，拟定了《北杨寨行管区202</w:t>
      </w:r>
      <w:r>
        <w:rPr>
          <w:rFonts w:hint="eastAsia" w:ascii="Times New Roman" w:hAnsi="Times New Roman" w:cs="Times New Roman"/>
          <w:color w:val="000000"/>
          <w:sz w:val="32"/>
          <w:szCs w:val="32"/>
          <w:shd w:val="clear" w:fill="FFFFFF"/>
          <w:lang w:val="en-US" w:eastAsia="zh-CN"/>
        </w:rPr>
        <w:t>4</w:t>
      </w:r>
      <w:r>
        <w:rPr>
          <w:rFonts w:hint="default" w:ascii="Times New Roman" w:hAnsi="Times New Roman" w:cs="Times New Roman"/>
          <w:color w:val="000000"/>
          <w:sz w:val="32"/>
          <w:szCs w:val="32"/>
          <w:shd w:val="clear" w:fill="FFFFFF"/>
        </w:rPr>
        <w:t>年城乡居民养老保险费征缴工作方案（征求意见稿）》。</w:t>
      </w:r>
    </w:p>
    <w:p w14:paraId="718CAAE2">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560" w:lineRule="atLeast"/>
        <w:ind w:left="0" w:firstLine="640"/>
        <w:jc w:val="both"/>
      </w:pPr>
      <w:r>
        <w:rPr>
          <w:rFonts w:hint="default" w:ascii="Times New Roman" w:hAnsi="Times New Roman" w:cs="Times New Roman"/>
          <w:color w:val="000000"/>
          <w:sz w:val="32"/>
          <w:szCs w:val="32"/>
          <w:shd w:val="clear" w:fill="FFFFFF"/>
        </w:rPr>
        <w:t>四、方案主要内容</w:t>
      </w:r>
    </w:p>
    <w:p w14:paraId="2CCB33F5">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cs="Times New Roman"/>
          <w:color w:val="000000"/>
          <w:sz w:val="32"/>
          <w:szCs w:val="32"/>
          <w:shd w:val="clear" w:fill="FFFFFF"/>
        </w:rPr>
        <w:t>工作方案共分为</w:t>
      </w:r>
      <w:r>
        <w:rPr>
          <w:rFonts w:hint="eastAsia" w:ascii="Times New Roman" w:hAnsi="Times New Roman" w:cs="Times New Roman"/>
          <w:color w:val="000000"/>
          <w:sz w:val="32"/>
          <w:szCs w:val="32"/>
          <w:shd w:val="clear" w:fill="FFFFFF"/>
          <w:lang w:val="en-US" w:eastAsia="zh-CN"/>
        </w:rPr>
        <w:t>缴费标准</w:t>
      </w:r>
      <w:r>
        <w:rPr>
          <w:rFonts w:hint="default" w:ascii="Times New Roman" w:hAnsi="Times New Roman" w:cs="Times New Roman"/>
          <w:color w:val="000000"/>
          <w:sz w:val="32"/>
          <w:szCs w:val="32"/>
          <w:shd w:val="clear" w:fill="FFFFFF"/>
        </w:rPr>
        <w:t>、</w:t>
      </w:r>
      <w:r>
        <w:rPr>
          <w:rFonts w:hint="eastAsia" w:ascii="Times New Roman" w:hAnsi="Times New Roman" w:cs="Times New Roman"/>
          <w:color w:val="000000"/>
          <w:sz w:val="32"/>
          <w:szCs w:val="32"/>
          <w:shd w:val="clear" w:fill="FFFFFF"/>
          <w:lang w:val="en-US" w:eastAsia="zh-CN"/>
        </w:rPr>
        <w:t>补助标准</w:t>
      </w:r>
      <w:r>
        <w:rPr>
          <w:rFonts w:hint="default" w:ascii="Times New Roman" w:hAnsi="Times New Roman" w:cs="Times New Roman"/>
          <w:color w:val="000000"/>
          <w:sz w:val="32"/>
          <w:szCs w:val="32"/>
          <w:shd w:val="clear" w:fill="FFFFFF"/>
        </w:rPr>
        <w:t>和</w:t>
      </w:r>
      <w:r>
        <w:rPr>
          <w:rFonts w:hint="eastAsia" w:ascii="Times New Roman" w:hAnsi="Times New Roman" w:cs="Times New Roman"/>
          <w:color w:val="000000"/>
          <w:sz w:val="32"/>
          <w:szCs w:val="32"/>
          <w:shd w:val="clear" w:fill="FFFFFF"/>
          <w:lang w:val="en-US" w:eastAsia="zh-CN"/>
        </w:rPr>
        <w:t>缴费时限</w:t>
      </w:r>
      <w:r>
        <w:rPr>
          <w:rFonts w:hint="default" w:ascii="Times New Roman" w:hAnsi="Times New Roman" w:cs="Times New Roman"/>
          <w:color w:val="000000"/>
          <w:sz w:val="32"/>
          <w:szCs w:val="32"/>
          <w:shd w:val="clear" w:fill="FFFFFF"/>
        </w:rPr>
        <w:t>三个部分。</w:t>
      </w:r>
      <w:r>
        <w:rPr>
          <w:rFonts w:ascii="仿宋" w:hAnsi="仿宋" w:eastAsia="仿宋" w:cs="仿宋"/>
          <w:i w:val="0"/>
          <w:iCs w:val="0"/>
          <w:caps w:val="0"/>
          <w:color w:val="333333"/>
          <w:spacing w:val="0"/>
          <w:kern w:val="0"/>
          <w:sz w:val="32"/>
          <w:szCs w:val="32"/>
          <w:bdr w:val="none" w:color="auto" w:sz="0" w:space="0"/>
          <w:shd w:val="clear" w:fill="FDFDFD"/>
          <w:lang w:val="en-US" w:eastAsia="zh-CN" w:bidi="ar"/>
        </w:rPr>
        <w:t>缴费标准设为每年在执行</w:t>
      </w:r>
      <w:r>
        <w:rPr>
          <w:rFonts w:hint="eastAsia" w:ascii="仿宋" w:hAnsi="仿宋" w:eastAsia="仿宋" w:cs="仿宋"/>
          <w:i w:val="0"/>
          <w:iCs w:val="0"/>
          <w:caps w:val="0"/>
          <w:color w:val="333333"/>
          <w:spacing w:val="0"/>
          <w:kern w:val="0"/>
          <w:sz w:val="32"/>
          <w:szCs w:val="32"/>
          <w:bdr w:val="none" w:color="auto" w:sz="0" w:space="0"/>
          <w:shd w:val="clear" w:fill="FDFDFD"/>
          <w:lang w:val="en-US" w:eastAsia="zh-CN" w:bidi="ar"/>
        </w:rPr>
        <w:t>200元（特殊困难群体代缴档次）、300元、400元、500元、600元、700元、800元、900元、1000元、1500元、2000元、3000元12个缴费档次标准基础上，增加1000元整数倍档次标准，最高档次为6000元。此后城乡居民基本养老保险年最低缴费档次标准和最高缴费档次标准随省级同步调整。</w:t>
      </w:r>
    </w:p>
    <w:p w14:paraId="35E1DAD4">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640" w:firstLineChars="200"/>
        <w:jc w:val="both"/>
        <w:rPr>
          <w:rFonts w:ascii="Calibri" w:hAnsi="Calibri" w:cs="Calibri"/>
          <w:i w:val="0"/>
          <w:iCs w:val="0"/>
          <w:caps w:val="0"/>
          <w:color w:val="333333"/>
          <w:spacing w:val="0"/>
          <w:sz w:val="44"/>
          <w:szCs w:val="44"/>
        </w:rPr>
      </w:pPr>
      <w:r>
        <w:rPr>
          <w:rFonts w:hint="eastAsia" w:ascii="仿宋" w:hAnsi="仿宋" w:eastAsia="仿宋" w:cs="仿宋"/>
          <w:i w:val="0"/>
          <w:iCs w:val="0"/>
          <w:caps w:val="0"/>
          <w:color w:val="333333"/>
          <w:spacing w:val="0"/>
          <w:kern w:val="0"/>
          <w:sz w:val="32"/>
          <w:szCs w:val="32"/>
          <w:bdr w:val="none" w:color="auto" w:sz="0" w:space="0"/>
          <w:shd w:val="clear" w:fill="FDFDFD"/>
          <w:lang w:val="en-US" w:eastAsia="zh-CN" w:bidi="ar"/>
        </w:rPr>
        <w:t>财政补助标准：</w:t>
      </w:r>
      <w:r>
        <w:rPr>
          <w:rFonts w:hint="eastAsia" w:ascii="仿宋" w:hAnsi="仿宋" w:eastAsia="仿宋" w:cs="仿宋"/>
          <w:i w:val="0"/>
          <w:iCs w:val="0"/>
          <w:caps w:val="0"/>
          <w:color w:val="333333"/>
          <w:spacing w:val="0"/>
          <w:sz w:val="32"/>
          <w:szCs w:val="32"/>
          <w:bdr w:val="none" w:color="auto" w:sz="0" w:space="0"/>
          <w:shd w:val="clear" w:fill="FDFDFD"/>
        </w:rPr>
        <w:t>对选择缴费200元补贴40元、缴费300元补贴50元、缴费400元补贴60元、缴费500元补贴70元、缴费600元补贴80元、缴费700元补贴90元、缴费800元补贴100元、缴费900元补贴110元、缴费1000元补贴120元、缴费1500元补贴150元、缴费2000元及以上的补贴200元。参保人员中断缴费，补缴的不享受缴费补贴。</w:t>
      </w:r>
    </w:p>
    <w:p w14:paraId="6EB25B0F">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640" w:firstLineChars="20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DFDFD"/>
          <w:lang w:val="en-US" w:eastAsia="zh-CN" w:bidi="ar"/>
        </w:rPr>
        <w:t>缴费方式及时限：2024年城乡居民基本养老保险采取以“安徽税务”微信小程序为主，以村委会代缴为辅的多渠道缴费方式。2024年城乡居民基本养老保险集中征缴期为2024年2月8日至2024年4月30日，非集中缴费阶段为2024年5月1日至2025年12月20日。</w:t>
      </w:r>
    </w:p>
    <w:p w14:paraId="08C6EBF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560" w:lineRule="atLeast"/>
        <w:ind w:left="0" w:firstLine="640"/>
        <w:jc w:val="both"/>
      </w:pPr>
    </w:p>
    <w:p w14:paraId="66B6EE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方正小标宋简体">
    <w:panose1 w:val="00000600000000000000"/>
    <w:charset w:val="86"/>
    <w:family w:val="auto"/>
    <w:pitch w:val="default"/>
    <w:sig w:usb0="800002BF" w:usb1="184F6CF8" w:usb2="00000012" w:usb3="00000000" w:csb0="00160001" w:csb1="1203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845F5"/>
    <w:rsid w:val="33BF02F5"/>
    <w:rsid w:val="34D845F5"/>
    <w:rsid w:val="5BC8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val="0"/>
      <w:bidi w:val="0"/>
      <w:jc w:val="both"/>
    </w:pPr>
    <w:rPr>
      <w:rFonts w:ascii="Calibri" w:hAnsi="Calibri" w:eastAsia="新宋体" w:cs="方正小标宋简体"/>
      <w:color w:val="auto"/>
      <w:kern w:val="2"/>
      <w:sz w:val="44"/>
      <w:szCs w:val="44"/>
      <w:lang w:val="en-US" w:eastAsia="zh-CN" w:bidi="hi-I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2025-01-23T04:28:00Z</dcterms:created>
  <dc:creator>金秋</dc:creator>
  <cp:lastModifiedBy>金秋</cp:lastModifiedBy>
  <dcterms:modified xsi:type="dcterms:W3CDTF">2025-01-23T04:38:16Z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CDB48525B3FB45F4B2632E7E0690B4BE_13</vt:lpwstr>
  </property>
  <property fmtid="{D5CDD505-2E9C-101B-9397-08002B2CF9AE}" pid="4" name="KSOTemplateDocerSaveRecord">
    <vt:lpwstr>eyJoZGlkIjoiYmVkNWNkODFiMzdmMDAxMGNjNWM0MDMxMzVkMTc5MTkiLCJ1c2VySWQiOiI4OTM4MTI3NDEifQ==</vt:lpwstr>
  </property>
</Properties>
</file>