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6AC91">
      <w:pPr>
        <w:spacing w:line="600" w:lineRule="exact"/>
        <w:jc w:val="center"/>
        <w:rPr>
          <w:rFonts w:hint="eastAsia" w:ascii="方正大标宋_GBK" w:eastAsia="方正大标宋_GBK" w:cs="方正仿宋_GBK"/>
          <w:b/>
          <w:bCs/>
          <w:sz w:val="44"/>
          <w:szCs w:val="44"/>
        </w:rPr>
      </w:pPr>
      <w:bookmarkStart w:id="0" w:name="_GoBack"/>
      <w:r>
        <w:rPr>
          <w:rFonts w:hint="eastAsia" w:ascii="方正大标宋_GBK" w:eastAsia="方正大标宋_GBK" w:cs="方正仿宋_GBK"/>
          <w:b/>
          <w:bCs/>
          <w:sz w:val="44"/>
          <w:szCs w:val="44"/>
        </w:rPr>
        <w:t>埇桥区</w:t>
      </w:r>
      <w:r>
        <w:rPr>
          <w:rFonts w:hint="eastAsia" w:ascii="方正大标宋_GBK" w:eastAsia="方正大标宋_GBK" w:cs="方正仿宋_GBK"/>
          <w:b/>
          <w:bCs/>
          <w:sz w:val="44"/>
          <w:szCs w:val="44"/>
          <w:lang w:val="en-US" w:eastAsia="zh-CN"/>
        </w:rPr>
        <w:t>民政局本级</w:t>
      </w:r>
      <w:r>
        <w:rPr>
          <w:rFonts w:hint="eastAsia" w:ascii="方正大标宋_GBK" w:eastAsia="方正大标宋_GBK" w:cs="方正仿宋_GBK"/>
          <w:b/>
          <w:bCs/>
          <w:sz w:val="44"/>
          <w:szCs w:val="44"/>
        </w:rPr>
        <w:t>2025年一般公共预算</w:t>
      </w:r>
    </w:p>
    <w:p w14:paraId="795AD657"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方正大标宋_GBK" w:eastAsia="方正大标宋_GBK" w:cs="方正仿宋_GBK"/>
          <w:b/>
          <w:bCs/>
          <w:sz w:val="44"/>
          <w:szCs w:val="44"/>
        </w:rPr>
        <w:t>“三公”经费预算</w:t>
      </w:r>
    </w:p>
    <w:bookmarkEnd w:id="0"/>
    <w:p w14:paraId="7E7F65EE">
      <w:pPr>
        <w:spacing w:line="600" w:lineRule="exact"/>
        <w:jc w:val="left"/>
        <w:rPr>
          <w:rFonts w:hint="eastAsia" w:ascii="方正仿宋_GBK" w:eastAsia="方正仿宋_GBK" w:cs="方正仿宋_GBK"/>
          <w:sz w:val="32"/>
          <w:szCs w:val="32"/>
        </w:rPr>
      </w:pPr>
    </w:p>
    <w:p w14:paraId="73C774C8">
      <w:pPr>
        <w:spacing w:line="600" w:lineRule="exact"/>
        <w:jc w:val="center"/>
        <w:rPr>
          <w:rFonts w:hint="eastAsia" w:ascii="方正小标宋_GBK" w:eastAsia="方正小标宋_GBK" w:cs="方正仿宋_GBK"/>
          <w:sz w:val="32"/>
          <w:szCs w:val="32"/>
        </w:rPr>
      </w:pPr>
      <w:r>
        <w:rPr>
          <w:rFonts w:hint="eastAsia" w:ascii="方正小标宋_GBK" w:eastAsia="方正小标宋_GBK" w:cs="方正仿宋_GBK"/>
          <w:sz w:val="32"/>
          <w:szCs w:val="32"/>
        </w:rPr>
        <w:t>一、2025年一般公共预算“三公”经费</w:t>
      </w:r>
      <w:r>
        <w:rPr>
          <w:rFonts w:hint="eastAsia" w:ascii="方正小标宋_GBK" w:eastAsia="方正小标宋_GBK" w:cs="方正仿宋_GBK"/>
          <w:sz w:val="32"/>
          <w:szCs w:val="32"/>
        </w:rPr>
        <w:t>支出预算表</w:t>
      </w:r>
    </w:p>
    <w:p w14:paraId="6C84C644">
      <w:pPr>
        <w:pStyle w:val="4"/>
        <w:jc w:val="right"/>
        <w:rPr>
          <w:rFonts w:ascii="方正仿宋_GBK" w:eastAsia="方正仿宋_GBK"/>
          <w:sz w:val="32"/>
          <w:szCs w:val="32"/>
        </w:rPr>
      </w:pPr>
    </w:p>
    <w:p w14:paraId="232533BB">
      <w:pPr>
        <w:pStyle w:val="4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单位：万元</w:t>
      </w:r>
    </w:p>
    <w:tbl>
      <w:tblPr>
        <w:tblStyle w:val="2"/>
        <w:tblW w:w="8504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657"/>
        <w:gridCol w:w="1244"/>
        <w:gridCol w:w="1607"/>
        <w:gridCol w:w="1581"/>
        <w:gridCol w:w="1326"/>
      </w:tblGrid>
      <w:tr w14:paraId="51A85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D9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“三公”经费合计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D4E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因公出国（境）费</w:t>
            </w:r>
          </w:p>
        </w:tc>
        <w:tc>
          <w:tcPr>
            <w:tcW w:w="44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FF4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公务用车购置及运行费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3CC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公务接待费</w:t>
            </w:r>
          </w:p>
        </w:tc>
      </w:tr>
      <w:tr w14:paraId="38796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288A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D1B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69D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小计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B8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公务用车购置费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CB4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公务用车运行费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C88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C75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C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65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D83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5C2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292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D2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DA1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</w:tr>
    </w:tbl>
    <w:p w14:paraId="01AE2950">
      <w:pPr>
        <w:spacing w:line="600" w:lineRule="exact"/>
        <w:jc w:val="left"/>
        <w:rPr>
          <w:rFonts w:ascii="方正仿宋_GBK" w:eastAsia="方正仿宋_GBK" w:cs="方正仿宋_GBK"/>
          <w:sz w:val="32"/>
          <w:szCs w:val="32"/>
        </w:rPr>
      </w:pPr>
    </w:p>
    <w:p w14:paraId="776B0F83">
      <w:pPr>
        <w:spacing w:line="600" w:lineRule="exact"/>
        <w:ind w:firstLine="640" w:firstLineChars="200"/>
        <w:jc w:val="left"/>
        <w:rPr>
          <w:rFonts w:hint="eastAsia" w:ascii="方正小标宋_GBK" w:eastAsia="方正小标宋_GBK" w:cs="方正仿宋_GBK"/>
          <w:sz w:val="32"/>
          <w:szCs w:val="32"/>
        </w:rPr>
      </w:pPr>
      <w:r>
        <w:rPr>
          <w:rFonts w:hint="eastAsia" w:ascii="方正小标宋_GBK" w:eastAsia="方正小标宋_GBK" w:cs="方正仿宋_GBK"/>
          <w:sz w:val="32"/>
          <w:szCs w:val="32"/>
        </w:rPr>
        <w:t>二、2025年一般公共预算“三公”经费</w:t>
      </w:r>
      <w:r>
        <w:rPr>
          <w:rFonts w:hint="eastAsia" w:ascii="方正小标宋_GBK" w:eastAsia="方正小标宋_GBK" w:cs="方正仿宋_GBK"/>
          <w:sz w:val="32"/>
          <w:szCs w:val="32"/>
        </w:rPr>
        <w:t>支出预算情况说明</w:t>
      </w:r>
    </w:p>
    <w:p w14:paraId="3632D5E3">
      <w:p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埇桥区</w:t>
      </w:r>
      <w:r>
        <w:rPr>
          <w:rFonts w:hint="eastAsia" w:eastAsia="仿宋_GB2312"/>
          <w:sz w:val="32"/>
          <w:szCs w:val="32"/>
          <w:lang w:val="en-US" w:eastAsia="zh-CN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2025年一般公共预算“三公”经费支出预算为0.5万元，与2024年预算一致。其中:因公出国(境)费支出预算为0万元，公务接</w:t>
      </w:r>
      <w:r>
        <w:rPr>
          <w:rFonts w:hint="eastAsia" w:eastAsia="仿宋_GB2312"/>
          <w:sz w:val="32"/>
          <w:szCs w:val="32"/>
          <w:lang w:val="en-US" w:eastAsia="zh-CN"/>
        </w:rPr>
        <w:t>待费支出预算为0.5万元，公务用车购置及运行费支出预算为0万元。具体情况如下:</w:t>
      </w:r>
    </w:p>
    <w:p w14:paraId="4FC4FAF2">
      <w:p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(一)因公出国(境)费支出预算0万元, 与2024年预算一致。该项经费预算根据批准的因公临时出国(境)计划，按照规定标准安排;主要是于2025年没有安排因公出国（境）计划。经费使用严格执行《党政机关因公临时出国经费管理办法》(财行〔2014〕104号)、《宿州市市直党政机关因公短期出国培训费用管理办法》(财行〔2014〕527号)等相关规定。</w:t>
      </w:r>
    </w:p>
    <w:p w14:paraId="5360921F">
      <w:p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(二)公务用车购置及运行费支出预算0万元，与2024年预算一致。公务用车购置费0万元，与2024年预算一致。</w:t>
      </w:r>
    </w:p>
    <w:p w14:paraId="15F38E1A">
      <w:p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(三)公务接待费支出预算0.5万元，与2024年预算一致。该项经费主要用于接待上级、外地单位业务指导和工作调研等公务往来支出。经费使用严格执行《党政机关厉行节约反对浪费条例》、《宿州市市直机关公务接待管理暂行办法》(财行〔2014〕2066号)、《宿州市财政局关于调整市直机关公务接待费用餐标准的通知》(财行〔2018〕1096号)等相关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90B46"/>
    <w:rsid w:val="19605AA7"/>
    <w:rsid w:val="29590B46"/>
    <w:rsid w:val="482E79E3"/>
    <w:rsid w:val="64EF0DFF"/>
    <w:rsid w:val="76C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644</Characters>
  <Lines>0</Lines>
  <Paragraphs>0</Paragraphs>
  <TotalTime>10</TotalTime>
  <ScaleCrop>false</ScaleCrop>
  <LinksUpToDate>false</LinksUpToDate>
  <CharactersWithSpaces>645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2025-02-14T02:09:00Z</dcterms:created>
  <dc:creator>Lenovo</dc:creator>
  <cp:lastModifiedBy>Lenovo</cp:lastModifiedBy>
  <dcterms:modified xsi:type="dcterms:W3CDTF">2025-02-28T06:53:58Z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7185AE088C2947F1BE69093B1C476246_13</vt:lpwstr>
  </property>
  <property fmtid="{D5CDD505-2E9C-101B-9397-08002B2CF9AE}" pid="4" name="KSOTemplateDocerSaveRecord">
    <vt:lpwstr>eyJoZGlkIjoiNWY4ZjQ3YjMxZWNlYjMzZWMwMzRlY2UxMzhlMDZjNDIifQ==</vt:lpwstr>
  </property>
</Properties>
</file>