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CBCB9">
      <w:pPr>
        <w:rPr>
          <w:rFonts w:hint="eastAsia" w:ascii="仿宋_GB2312" w:hAnsi="仿宋_GB2312" w:eastAsia="仿宋_GB2312" w:cs="仿宋_GB2312"/>
          <w:color w:val="auto"/>
          <w:sz w:val="36"/>
          <w:szCs w:val="36"/>
          <w:highlight w:val="none"/>
        </w:rPr>
      </w:pPr>
    </w:p>
    <w:p w14:paraId="1B2B0B6B">
      <w:pPr>
        <w:rPr>
          <w:rFonts w:hint="eastAsia" w:ascii="仿宋_GB2312" w:hAnsi="仿宋_GB2312" w:eastAsia="仿宋_GB2312" w:cs="仿宋_GB2312"/>
          <w:color w:val="auto"/>
          <w:sz w:val="36"/>
          <w:szCs w:val="36"/>
          <w:highlight w:val="none"/>
        </w:rPr>
      </w:pPr>
    </w:p>
    <w:p w14:paraId="34F9A233">
      <w:pPr>
        <w:rPr>
          <w:rFonts w:hint="eastAsia" w:ascii="仿宋_GB2312" w:hAnsi="仿宋_GB2312" w:eastAsia="仿宋_GB2312" w:cs="仿宋_GB2312"/>
          <w:color w:val="auto"/>
          <w:sz w:val="36"/>
          <w:szCs w:val="36"/>
          <w:highlight w:val="none"/>
        </w:rPr>
      </w:pPr>
    </w:p>
    <w:p w14:paraId="71D08FA8">
      <w:pPr>
        <w:rPr>
          <w:rFonts w:hint="eastAsia" w:ascii="仿宋_GB2312" w:hAnsi="仿宋_GB2312" w:eastAsia="仿宋_GB2312" w:cs="仿宋_GB2312"/>
          <w:color w:val="auto"/>
          <w:sz w:val="36"/>
          <w:szCs w:val="36"/>
          <w:highlight w:val="none"/>
        </w:rPr>
      </w:pPr>
    </w:p>
    <w:p w14:paraId="184D69FE">
      <w:pPr>
        <w:rPr>
          <w:rFonts w:hint="eastAsia" w:ascii="仿宋_GB2312" w:hAnsi="仿宋_GB2312" w:eastAsia="仿宋_GB2312" w:cs="仿宋_GB2312"/>
          <w:color w:val="auto"/>
          <w:sz w:val="36"/>
          <w:szCs w:val="36"/>
          <w:highlight w:val="none"/>
        </w:rPr>
      </w:pPr>
    </w:p>
    <w:p w14:paraId="4F218F12">
      <w:pPr>
        <w:adjustRightInd w:val="0"/>
        <w:snapToGrid w:val="0"/>
        <w:jc w:val="center"/>
        <w:outlineLvl w:val="0"/>
        <w:rPr>
          <w:rFonts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p>
    <w:p w14:paraId="0BD022BA">
      <w:pPr>
        <w:adjustRightInd w:val="0"/>
        <w:snapToGrid w:val="0"/>
        <w:spacing w:before="192" w:beforeLines="80"/>
        <w:jc w:val="center"/>
        <w:rPr>
          <w:rFonts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14:paraId="432EDE14">
      <w:pPr>
        <w:rPr>
          <w:rFonts w:hint="eastAsia" w:ascii="华文仿宋" w:hAnsi="华文仿宋" w:eastAsia="华文仿宋" w:cs="华文仿宋"/>
          <w:color w:val="auto"/>
          <w:kern w:val="44"/>
          <w:sz w:val="44"/>
          <w:szCs w:val="44"/>
          <w:highlight w:val="none"/>
        </w:rPr>
      </w:pPr>
    </w:p>
    <w:p w14:paraId="6D3B3246">
      <w:pPr>
        <w:rPr>
          <w:rFonts w:eastAsia="仿宋"/>
          <w:color w:val="auto"/>
          <w:sz w:val="52"/>
          <w:szCs w:val="52"/>
          <w:highlight w:val="none"/>
        </w:rPr>
      </w:pPr>
    </w:p>
    <w:p w14:paraId="77EE5124">
      <w:pPr>
        <w:ind w:firstLine="1040"/>
        <w:rPr>
          <w:rFonts w:eastAsia="仿宋"/>
          <w:color w:val="auto"/>
          <w:sz w:val="44"/>
          <w:szCs w:val="44"/>
          <w:highlight w:val="none"/>
        </w:rPr>
      </w:pPr>
    </w:p>
    <w:p w14:paraId="24118496">
      <w:pPr>
        <w:ind w:firstLine="1040"/>
        <w:rPr>
          <w:rFonts w:eastAsia="仿宋"/>
          <w:color w:val="auto"/>
          <w:sz w:val="44"/>
          <w:szCs w:val="44"/>
          <w:highlight w:val="none"/>
        </w:rPr>
      </w:pPr>
    </w:p>
    <w:p w14:paraId="3BA43EFF">
      <w:pPr>
        <w:ind w:firstLine="1040"/>
        <w:rPr>
          <w:rFonts w:eastAsia="仿宋"/>
          <w:color w:val="auto"/>
          <w:sz w:val="44"/>
          <w:szCs w:val="44"/>
          <w:highlight w:val="none"/>
        </w:rPr>
      </w:pPr>
    </w:p>
    <w:p w14:paraId="4F3B31F2">
      <w:pPr>
        <w:ind w:firstLine="1040"/>
        <w:rPr>
          <w:rFonts w:eastAsia="仿宋"/>
          <w:color w:val="auto"/>
          <w:sz w:val="44"/>
          <w:szCs w:val="44"/>
          <w:highlight w:val="none"/>
        </w:rPr>
      </w:pPr>
    </w:p>
    <w:p w14:paraId="3325E500">
      <w:pPr>
        <w:adjustRightInd w:val="0"/>
        <w:snapToGrid w:val="0"/>
        <w:spacing w:line="288" w:lineRule="auto"/>
        <w:ind w:left="718" w:leftChars="342"/>
        <w:jc w:val="center"/>
        <w:rPr>
          <w:rFonts w:hint="eastAsia" w:ascii="仿宋_GB2312" w:eastAsia="仿宋_GB2312"/>
          <w:color w:val="auto"/>
          <w:sz w:val="36"/>
          <w:szCs w:val="36"/>
          <w:highlight w:val="none"/>
          <w:u w:val="single"/>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u w:val="single"/>
          <w:lang w:val="en-US" w:eastAsia="zh-CN"/>
        </w:rPr>
        <w:t xml:space="preserve"> </w:t>
      </w:r>
      <w:r>
        <w:rPr>
          <w:rFonts w:hint="eastAsia" w:ascii="仿宋_GB2312" w:eastAsia="仿宋_GB2312"/>
          <w:color w:val="auto"/>
          <w:sz w:val="36"/>
          <w:szCs w:val="36"/>
          <w:highlight w:val="none"/>
          <w:u w:val="single"/>
        </w:rPr>
        <w:t>宿州市瑞芸食品饮料有限公司年产2</w:t>
      </w:r>
    </w:p>
    <w:p w14:paraId="6DA61440">
      <w:pPr>
        <w:adjustRightInd w:val="0"/>
        <w:snapToGrid w:val="0"/>
        <w:spacing w:line="288" w:lineRule="auto"/>
        <w:ind w:left="718" w:leftChars="342"/>
        <w:jc w:val="center"/>
        <w:rPr>
          <w:rFonts w:hint="eastAsia" w:ascii="仿宋_GB2312" w:eastAsia="仿宋_GB2312"/>
          <w:color w:val="auto"/>
          <w:sz w:val="36"/>
          <w:szCs w:val="36"/>
          <w:highlight w:val="none"/>
          <w:u w:val="single"/>
          <w:lang w:val="en-US" w:eastAsia="zh-CN"/>
        </w:rPr>
      </w:pPr>
      <w:r>
        <w:rPr>
          <w:rFonts w:hint="eastAsia" w:ascii="仿宋_GB2312" w:eastAsia="仿宋_GB2312"/>
          <w:color w:val="auto"/>
          <w:sz w:val="36"/>
          <w:szCs w:val="36"/>
          <w:highlight w:val="none"/>
          <w:u w:val="single"/>
        </w:rPr>
        <w:t>万吨纯净水饮料项目</w:t>
      </w:r>
      <w:r>
        <w:rPr>
          <w:rFonts w:hint="eastAsia" w:ascii="仿宋_GB2312" w:eastAsia="仿宋_GB2312"/>
          <w:color w:val="auto"/>
          <w:sz w:val="36"/>
          <w:szCs w:val="36"/>
          <w:highlight w:val="none"/>
          <w:u w:val="single"/>
          <w:lang w:val="en-US" w:eastAsia="zh-CN"/>
        </w:rPr>
        <w:t xml:space="preserve"> </w:t>
      </w:r>
    </w:p>
    <w:p w14:paraId="4119FE6A">
      <w:pPr>
        <w:adjustRightInd w:val="0"/>
        <w:snapToGrid w:val="0"/>
        <w:spacing w:line="288" w:lineRule="auto"/>
        <w:jc w:val="center"/>
        <w:rPr>
          <w:rFonts w:ascii="仿宋_GB2312" w:eastAsia="仿宋_GB2312"/>
          <w:color w:val="auto"/>
          <w:sz w:val="36"/>
          <w:szCs w:val="36"/>
          <w:highlight w:val="none"/>
          <w:u w:val="single"/>
        </w:rPr>
      </w:pPr>
      <w:r>
        <w:rPr>
          <w:rFonts w:hint="eastAsia" w:ascii="仿宋_GB2312" w:eastAsia="仿宋_GB2312"/>
          <w:color w:val="auto"/>
          <w:sz w:val="36"/>
          <w:szCs w:val="36"/>
          <w:highlight w:val="none"/>
        </w:rPr>
        <w:t>建设单位（盖章）：</w:t>
      </w:r>
      <w:r>
        <w:rPr>
          <w:rFonts w:hint="eastAsia" w:ascii="仿宋_GB2312" w:eastAsia="仿宋_GB2312"/>
          <w:color w:val="auto"/>
          <w:sz w:val="36"/>
          <w:szCs w:val="36"/>
          <w:highlight w:val="none"/>
          <w:u w:val="single"/>
          <w:lang w:val="en-US" w:eastAsia="zh-CN"/>
        </w:rPr>
        <w:t xml:space="preserve"> </w:t>
      </w:r>
      <w:r>
        <w:rPr>
          <w:rFonts w:hint="eastAsia" w:ascii="仿宋_GB2312" w:eastAsia="仿宋_GB2312"/>
          <w:color w:val="auto"/>
          <w:sz w:val="36"/>
          <w:szCs w:val="36"/>
          <w:highlight w:val="none"/>
          <w:u w:val="single"/>
        </w:rPr>
        <w:t>宿州市瑞芸食品饮料有限公司</w:t>
      </w:r>
      <w:r>
        <w:rPr>
          <w:rFonts w:hint="eastAsia" w:ascii="仿宋_GB2312" w:eastAsia="仿宋_GB2312"/>
          <w:color w:val="auto"/>
          <w:sz w:val="28"/>
          <w:szCs w:val="28"/>
          <w:highlight w:val="none"/>
          <w:u w:val="single"/>
        </w:rPr>
        <w:t xml:space="preserve"> </w:t>
      </w:r>
    </w:p>
    <w:p w14:paraId="7FEC2DF7">
      <w:pPr>
        <w:adjustRightInd w:val="0"/>
        <w:snapToGrid w:val="0"/>
        <w:spacing w:line="288" w:lineRule="auto"/>
        <w:ind w:firstLine="720" w:firstLineChars="200"/>
        <w:jc w:val="left"/>
        <w:rPr>
          <w:rFonts w:ascii="仿宋_GB2312" w:eastAsia="仿宋_GB2312"/>
          <w:color w:val="auto"/>
          <w:sz w:val="36"/>
          <w:szCs w:val="36"/>
          <w:highlight w:val="none"/>
          <w:u w:val="single"/>
        </w:r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rPr>
        <w:t xml:space="preserve"> </w:t>
      </w:r>
      <w:r>
        <w:rPr>
          <w:rFonts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rPr>
        <w:t xml:space="preserve"> </w:t>
      </w:r>
      <w:r>
        <w:rPr>
          <w:rFonts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6"/>
          <w:szCs w:val="36"/>
          <w:highlight w:val="none"/>
          <w:u w:val="single"/>
        </w:rPr>
        <w:t>202</w:t>
      </w:r>
      <w:r>
        <w:rPr>
          <w:rFonts w:hint="eastAsia" w:ascii="仿宋_GB2312" w:eastAsia="仿宋_GB2312"/>
          <w:color w:val="auto"/>
          <w:sz w:val="36"/>
          <w:szCs w:val="36"/>
          <w:highlight w:val="none"/>
          <w:u w:val="single"/>
          <w:lang w:val="en-US" w:eastAsia="zh-CN"/>
        </w:rPr>
        <w:t>5</w:t>
      </w:r>
      <w:r>
        <w:rPr>
          <w:rFonts w:hint="eastAsia" w:ascii="仿宋_GB2312" w:eastAsia="仿宋_GB2312"/>
          <w:color w:val="auto"/>
          <w:sz w:val="36"/>
          <w:szCs w:val="36"/>
          <w:highlight w:val="none"/>
          <w:u w:val="single"/>
        </w:rPr>
        <w:t>年</w:t>
      </w:r>
      <w:r>
        <w:rPr>
          <w:rFonts w:hint="eastAsia" w:ascii="仿宋_GB2312" w:eastAsia="仿宋_GB2312"/>
          <w:color w:val="auto"/>
          <w:sz w:val="36"/>
          <w:szCs w:val="36"/>
          <w:highlight w:val="none"/>
          <w:u w:val="single"/>
          <w:lang w:val="en-US" w:eastAsia="zh-CN"/>
        </w:rPr>
        <w:t>6</w:t>
      </w:r>
      <w:r>
        <w:rPr>
          <w:rFonts w:hint="eastAsia" w:ascii="仿宋_GB2312" w:eastAsia="仿宋_GB2312"/>
          <w:color w:val="auto"/>
          <w:sz w:val="36"/>
          <w:szCs w:val="36"/>
          <w:highlight w:val="none"/>
          <w:u w:val="single"/>
        </w:rPr>
        <w:t xml:space="preserve">月          </w:t>
      </w:r>
    </w:p>
    <w:p w14:paraId="6ED1294F">
      <w:pPr>
        <w:adjustRightInd w:val="0"/>
        <w:snapToGrid w:val="0"/>
        <w:spacing w:line="288" w:lineRule="auto"/>
        <w:ind w:firstLine="1040"/>
        <w:rPr>
          <w:rFonts w:ascii="仿宋_GB2312" w:eastAsia="仿宋_GB2312"/>
          <w:color w:val="auto"/>
          <w:sz w:val="36"/>
          <w:szCs w:val="36"/>
          <w:highlight w:val="none"/>
          <w:u w:val="single"/>
        </w:rPr>
      </w:pPr>
    </w:p>
    <w:p w14:paraId="19A41F74">
      <w:pPr>
        <w:adjustRightInd w:val="0"/>
        <w:snapToGrid w:val="0"/>
        <w:spacing w:line="288" w:lineRule="auto"/>
        <w:ind w:firstLine="1040"/>
        <w:rPr>
          <w:rFonts w:ascii="仿宋_GB2312" w:eastAsia="仿宋_GB2312"/>
          <w:color w:val="auto"/>
          <w:sz w:val="36"/>
          <w:szCs w:val="36"/>
          <w:highlight w:val="none"/>
        </w:rPr>
      </w:pPr>
    </w:p>
    <w:p w14:paraId="5D04990A">
      <w:pPr>
        <w:adjustRightInd w:val="0"/>
        <w:snapToGrid w:val="0"/>
        <w:spacing w:line="288" w:lineRule="auto"/>
        <w:ind w:firstLine="1040"/>
        <w:rPr>
          <w:rFonts w:ascii="仿宋_GB2312" w:eastAsia="仿宋_GB2312"/>
          <w:color w:val="auto"/>
          <w:sz w:val="36"/>
          <w:szCs w:val="36"/>
          <w:highlight w:val="none"/>
        </w:rPr>
      </w:pPr>
    </w:p>
    <w:p w14:paraId="59B85732">
      <w:pPr>
        <w:adjustRightInd w:val="0"/>
        <w:snapToGrid w:val="0"/>
        <w:spacing w:line="288" w:lineRule="auto"/>
        <w:ind w:firstLine="1040"/>
        <w:rPr>
          <w:rFonts w:ascii="仿宋_GB2312" w:eastAsia="仿宋_GB2312"/>
          <w:color w:val="auto"/>
          <w:sz w:val="36"/>
          <w:szCs w:val="36"/>
          <w:highlight w:val="none"/>
        </w:rPr>
      </w:pPr>
    </w:p>
    <w:p w14:paraId="47F7E2A4">
      <w:pPr>
        <w:adjustRightInd w:val="0"/>
        <w:snapToGrid w:val="0"/>
        <w:spacing w:line="288" w:lineRule="auto"/>
        <w:jc w:val="center"/>
        <w:rPr>
          <w:rFonts w:ascii="楷体_GB2312" w:eastAsia="楷体_GB2312"/>
          <w:color w:val="auto"/>
          <w:sz w:val="36"/>
          <w:szCs w:val="36"/>
          <w:highlight w:val="none"/>
        </w:rPr>
      </w:pPr>
      <w:r>
        <w:rPr>
          <w:rFonts w:hint="eastAsia" w:ascii="楷体_GB2312" w:eastAsia="楷体_GB2312"/>
          <w:color w:val="auto"/>
          <w:sz w:val="36"/>
          <w:szCs w:val="36"/>
          <w:highlight w:val="none"/>
        </w:rPr>
        <w:t>中华人民共和国生态环境部制</w:t>
      </w:r>
    </w:p>
    <w:p w14:paraId="540858A3">
      <w:pPr>
        <w:adjustRightInd w:val="0"/>
        <w:snapToGrid w:val="0"/>
        <w:spacing w:line="288" w:lineRule="auto"/>
        <w:ind w:firstLine="1040"/>
        <w:rPr>
          <w:rFonts w:ascii="仿宋_GB2312" w:eastAsia="仿宋_GB2312"/>
          <w:color w:val="auto"/>
          <w:sz w:val="36"/>
          <w:szCs w:val="36"/>
          <w:highlight w:val="none"/>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576EB8AF">
      <w:pPr>
        <w:pStyle w:val="35"/>
        <w:adjustRightInd w:val="0"/>
        <w:snapToGrid w:val="0"/>
        <w:jc w:val="center"/>
        <w:outlineLvl w:val="0"/>
        <w:rPr>
          <w:rFonts w:ascii="Times New Roman" w:hAnsi="Times New Roman"/>
          <w:b/>
          <w:snapToGrid w:val="0"/>
          <w:color w:val="auto"/>
          <w:sz w:val="30"/>
          <w:szCs w:val="30"/>
          <w:highlight w:val="none"/>
        </w:rPr>
      </w:pPr>
      <w:r>
        <w:rPr>
          <w:rFonts w:ascii="Times New Roman" w:hAnsi="Times New Roman"/>
          <w:b/>
          <w:snapToGrid w:val="0"/>
          <w:color w:val="auto"/>
          <w:sz w:val="30"/>
          <w:szCs w:val="30"/>
          <w:highlight w:val="none"/>
        </w:rPr>
        <w:t>一、建设项目基本情况</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69"/>
        <w:gridCol w:w="2750"/>
        <w:gridCol w:w="2167"/>
        <w:gridCol w:w="2870"/>
      </w:tblGrid>
      <w:tr w14:paraId="7BE60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769" w:type="dxa"/>
            <w:tcMar>
              <w:top w:w="16" w:type="dxa"/>
              <w:left w:w="16" w:type="dxa"/>
              <w:right w:w="16" w:type="dxa"/>
            </w:tcMar>
            <w:vAlign w:val="center"/>
          </w:tcPr>
          <w:p w14:paraId="673EC7AE">
            <w:pPr>
              <w:adjustRightInd w:val="0"/>
              <w:snapToGrid w:val="0"/>
              <w:jc w:val="center"/>
              <w:rPr>
                <w:b/>
                <w:color w:val="auto"/>
                <w:sz w:val="24"/>
                <w:highlight w:val="none"/>
              </w:rPr>
            </w:pPr>
            <w:r>
              <w:rPr>
                <w:b/>
                <w:color w:val="auto"/>
                <w:sz w:val="24"/>
                <w:highlight w:val="none"/>
              </w:rPr>
              <w:t>建设项目名称</w:t>
            </w:r>
          </w:p>
        </w:tc>
        <w:tc>
          <w:tcPr>
            <w:tcW w:w="7787" w:type="dxa"/>
            <w:gridSpan w:val="3"/>
            <w:vAlign w:val="center"/>
          </w:tcPr>
          <w:p w14:paraId="69730EFE">
            <w:pPr>
              <w:adjustRightInd w:val="0"/>
              <w:snapToGrid w:val="0"/>
              <w:jc w:val="center"/>
              <w:rPr>
                <w:color w:val="auto"/>
                <w:sz w:val="24"/>
                <w:highlight w:val="none"/>
              </w:rPr>
            </w:pPr>
            <w:bookmarkStart w:id="0" w:name="_Hlk173507744"/>
            <w:r>
              <w:rPr>
                <w:rFonts w:hint="eastAsia"/>
                <w:color w:val="auto"/>
                <w:sz w:val="24"/>
                <w:highlight w:val="none"/>
              </w:rPr>
              <w:t>宿州市瑞芸食品饮料有限公司年产2万吨纯净水饮料项目</w:t>
            </w:r>
            <w:bookmarkEnd w:id="0"/>
          </w:p>
        </w:tc>
      </w:tr>
      <w:tr w14:paraId="1D245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769" w:type="dxa"/>
            <w:tcMar>
              <w:top w:w="16" w:type="dxa"/>
              <w:left w:w="16" w:type="dxa"/>
              <w:right w:w="16" w:type="dxa"/>
            </w:tcMar>
            <w:vAlign w:val="center"/>
          </w:tcPr>
          <w:p w14:paraId="0CC24344">
            <w:pPr>
              <w:adjustRightInd w:val="0"/>
              <w:snapToGrid w:val="0"/>
              <w:jc w:val="center"/>
              <w:rPr>
                <w:b/>
                <w:color w:val="auto"/>
                <w:sz w:val="24"/>
                <w:highlight w:val="none"/>
              </w:rPr>
            </w:pPr>
            <w:r>
              <w:rPr>
                <w:b/>
                <w:color w:val="auto"/>
                <w:sz w:val="24"/>
                <w:highlight w:val="none"/>
              </w:rPr>
              <w:t>项目代码</w:t>
            </w:r>
          </w:p>
        </w:tc>
        <w:tc>
          <w:tcPr>
            <w:tcW w:w="7787" w:type="dxa"/>
            <w:gridSpan w:val="3"/>
            <w:vAlign w:val="center"/>
          </w:tcPr>
          <w:p w14:paraId="6EB122A2">
            <w:pPr>
              <w:adjustRightInd w:val="0"/>
              <w:snapToGrid w:val="0"/>
              <w:jc w:val="center"/>
              <w:rPr>
                <w:color w:val="auto"/>
                <w:sz w:val="24"/>
                <w:highlight w:val="none"/>
              </w:rPr>
            </w:pPr>
            <w:r>
              <w:rPr>
                <w:rFonts w:hint="eastAsia"/>
                <w:color w:val="auto"/>
                <w:sz w:val="24"/>
                <w:highlight w:val="none"/>
              </w:rPr>
              <w:t>2503-341302-04-01-854128</w:t>
            </w:r>
          </w:p>
        </w:tc>
      </w:tr>
      <w:tr w14:paraId="01681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769" w:type="dxa"/>
            <w:tcMar>
              <w:top w:w="16" w:type="dxa"/>
              <w:left w:w="16" w:type="dxa"/>
              <w:right w:w="16" w:type="dxa"/>
            </w:tcMar>
            <w:vAlign w:val="center"/>
          </w:tcPr>
          <w:p w14:paraId="0655E1FD">
            <w:pPr>
              <w:adjustRightInd w:val="0"/>
              <w:snapToGrid w:val="0"/>
              <w:jc w:val="center"/>
              <w:rPr>
                <w:b/>
                <w:color w:val="auto"/>
                <w:sz w:val="24"/>
                <w:highlight w:val="none"/>
              </w:rPr>
            </w:pPr>
            <w:r>
              <w:rPr>
                <w:b/>
                <w:color w:val="auto"/>
                <w:sz w:val="24"/>
                <w:highlight w:val="none"/>
              </w:rPr>
              <w:t>建设单位联系人</w:t>
            </w:r>
          </w:p>
        </w:tc>
        <w:tc>
          <w:tcPr>
            <w:tcW w:w="2750" w:type="dxa"/>
            <w:vAlign w:val="center"/>
          </w:tcPr>
          <w:p w14:paraId="73B67C4F">
            <w:pPr>
              <w:adjustRightInd w:val="0"/>
              <w:snapToGrid w:val="0"/>
              <w:jc w:val="center"/>
              <w:rPr>
                <w:rFonts w:hint="eastAsia" w:eastAsia="宋体"/>
                <w:color w:val="auto"/>
                <w:sz w:val="24"/>
                <w:highlight w:val="none"/>
                <w:lang w:val="en-US" w:eastAsia="zh-CN"/>
              </w:rPr>
            </w:pPr>
          </w:p>
        </w:tc>
        <w:tc>
          <w:tcPr>
            <w:tcW w:w="2167" w:type="dxa"/>
            <w:vAlign w:val="center"/>
          </w:tcPr>
          <w:p w14:paraId="7CE63B01">
            <w:pPr>
              <w:adjustRightInd w:val="0"/>
              <w:snapToGrid w:val="0"/>
              <w:jc w:val="center"/>
              <w:rPr>
                <w:b/>
                <w:color w:val="auto"/>
                <w:sz w:val="24"/>
                <w:highlight w:val="none"/>
              </w:rPr>
            </w:pPr>
            <w:r>
              <w:rPr>
                <w:b/>
                <w:color w:val="auto"/>
                <w:sz w:val="24"/>
                <w:highlight w:val="none"/>
              </w:rPr>
              <w:t>联系方式</w:t>
            </w:r>
          </w:p>
        </w:tc>
        <w:tc>
          <w:tcPr>
            <w:tcW w:w="2870" w:type="dxa"/>
            <w:vAlign w:val="center"/>
          </w:tcPr>
          <w:p w14:paraId="6B623BE1">
            <w:pPr>
              <w:adjustRightInd w:val="0"/>
              <w:snapToGrid w:val="0"/>
              <w:jc w:val="center"/>
              <w:rPr>
                <w:rFonts w:hint="default" w:eastAsia="宋体"/>
                <w:color w:val="auto"/>
                <w:sz w:val="24"/>
                <w:highlight w:val="none"/>
                <w:lang w:val="en-US" w:eastAsia="zh-CN"/>
              </w:rPr>
            </w:pPr>
            <w:bookmarkStart w:id="9" w:name="_GoBack"/>
            <w:bookmarkEnd w:id="9"/>
          </w:p>
        </w:tc>
      </w:tr>
      <w:tr w14:paraId="658DEB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1769" w:type="dxa"/>
            <w:tcMar>
              <w:top w:w="16" w:type="dxa"/>
              <w:left w:w="16" w:type="dxa"/>
              <w:right w:w="16" w:type="dxa"/>
            </w:tcMar>
            <w:vAlign w:val="center"/>
          </w:tcPr>
          <w:p w14:paraId="5FA147A0">
            <w:pPr>
              <w:adjustRightInd w:val="0"/>
              <w:snapToGrid w:val="0"/>
              <w:jc w:val="center"/>
              <w:rPr>
                <w:b/>
                <w:color w:val="auto"/>
                <w:sz w:val="24"/>
                <w:highlight w:val="none"/>
              </w:rPr>
            </w:pPr>
            <w:r>
              <w:rPr>
                <w:b/>
                <w:color w:val="auto"/>
                <w:sz w:val="24"/>
                <w:highlight w:val="none"/>
              </w:rPr>
              <w:t>建设地点</w:t>
            </w:r>
          </w:p>
        </w:tc>
        <w:tc>
          <w:tcPr>
            <w:tcW w:w="7787" w:type="dxa"/>
            <w:gridSpan w:val="3"/>
            <w:vAlign w:val="center"/>
          </w:tcPr>
          <w:p w14:paraId="5F377CD9">
            <w:pPr>
              <w:adjustRightInd w:val="0"/>
              <w:snapToGrid w:val="0"/>
              <w:jc w:val="center"/>
              <w:rPr>
                <w:rFonts w:hint="eastAsia" w:eastAsia="宋体"/>
                <w:color w:val="auto"/>
                <w:sz w:val="24"/>
                <w:highlight w:val="none"/>
                <w:lang w:eastAsia="zh-CN"/>
              </w:rPr>
            </w:pPr>
            <w:bookmarkStart w:id="1" w:name="_Hlk173507730"/>
            <w:r>
              <w:rPr>
                <w:rFonts w:hint="eastAsia"/>
                <w:color w:val="auto"/>
                <w:sz w:val="24"/>
                <w:highlight w:val="none"/>
              </w:rPr>
              <w:t>安徽省宿州市埇桥区</w:t>
            </w:r>
            <w:bookmarkEnd w:id="1"/>
            <w:r>
              <w:rPr>
                <w:rFonts w:hint="eastAsia"/>
                <w:color w:val="auto"/>
                <w:sz w:val="24"/>
                <w:highlight w:val="none"/>
                <w:lang w:eastAsia="zh-CN"/>
              </w:rPr>
              <w:t>朱仙庄镇镇西村</w:t>
            </w:r>
          </w:p>
        </w:tc>
      </w:tr>
      <w:tr w14:paraId="6D4E9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1769" w:type="dxa"/>
            <w:tcMar>
              <w:top w:w="16" w:type="dxa"/>
              <w:left w:w="16" w:type="dxa"/>
              <w:right w:w="16" w:type="dxa"/>
            </w:tcMar>
            <w:vAlign w:val="center"/>
          </w:tcPr>
          <w:p w14:paraId="0CE18EED">
            <w:pPr>
              <w:adjustRightInd w:val="0"/>
              <w:snapToGrid w:val="0"/>
              <w:jc w:val="center"/>
              <w:rPr>
                <w:b/>
                <w:color w:val="auto"/>
                <w:sz w:val="24"/>
                <w:highlight w:val="none"/>
              </w:rPr>
            </w:pPr>
            <w:r>
              <w:rPr>
                <w:b/>
                <w:color w:val="auto"/>
                <w:sz w:val="24"/>
                <w:highlight w:val="none"/>
              </w:rPr>
              <w:t>地理坐标</w:t>
            </w:r>
          </w:p>
        </w:tc>
        <w:tc>
          <w:tcPr>
            <w:tcW w:w="7787" w:type="dxa"/>
            <w:gridSpan w:val="3"/>
            <w:vAlign w:val="center"/>
          </w:tcPr>
          <w:p w14:paraId="6C391D63">
            <w:pPr>
              <w:jc w:val="center"/>
              <w:rPr>
                <w:color w:val="auto"/>
                <w:sz w:val="24"/>
                <w:highlight w:val="none"/>
              </w:rPr>
            </w:pPr>
            <w:r>
              <w:rPr>
                <w:rFonts w:hint="eastAsia"/>
                <w:color w:val="auto"/>
                <w:sz w:val="24"/>
                <w:highlight w:val="none"/>
              </w:rPr>
              <w:t>经度：</w:t>
            </w:r>
            <w:r>
              <w:rPr>
                <w:rFonts w:hint="eastAsia"/>
                <w:color w:val="auto"/>
                <w:sz w:val="24"/>
                <w:highlight w:val="none"/>
                <w:u w:val="single"/>
              </w:rPr>
              <w:t>117</w:t>
            </w:r>
            <w:r>
              <w:rPr>
                <w:rFonts w:hint="eastAsia"/>
                <w:color w:val="auto"/>
                <w:sz w:val="24"/>
                <w:highlight w:val="none"/>
              </w:rPr>
              <w:t>度</w:t>
            </w:r>
            <w:r>
              <w:rPr>
                <w:rFonts w:hint="eastAsia"/>
                <w:color w:val="auto"/>
                <w:sz w:val="24"/>
                <w:highlight w:val="none"/>
                <w:u w:val="single"/>
              </w:rPr>
              <w:t>2</w:t>
            </w:r>
            <w:r>
              <w:rPr>
                <w:rFonts w:hint="eastAsia"/>
                <w:color w:val="auto"/>
                <w:sz w:val="24"/>
                <w:highlight w:val="none"/>
              </w:rPr>
              <w:t>分</w:t>
            </w:r>
            <w:r>
              <w:rPr>
                <w:rFonts w:hint="eastAsia"/>
                <w:color w:val="auto"/>
                <w:sz w:val="24"/>
                <w:highlight w:val="none"/>
                <w:u w:val="single"/>
              </w:rPr>
              <w:t>45.395</w:t>
            </w:r>
            <w:r>
              <w:rPr>
                <w:rFonts w:hint="eastAsia"/>
                <w:color w:val="auto"/>
                <w:sz w:val="24"/>
                <w:highlight w:val="none"/>
              </w:rPr>
              <w:t>秒，纬度：</w:t>
            </w:r>
            <w:r>
              <w:rPr>
                <w:rFonts w:hint="eastAsia"/>
                <w:color w:val="auto"/>
                <w:sz w:val="24"/>
                <w:highlight w:val="none"/>
                <w:u w:val="single"/>
              </w:rPr>
              <w:t>33</w:t>
            </w:r>
            <w:r>
              <w:rPr>
                <w:rFonts w:hint="eastAsia"/>
                <w:color w:val="auto"/>
                <w:sz w:val="24"/>
                <w:highlight w:val="none"/>
              </w:rPr>
              <w:t>度</w:t>
            </w:r>
            <w:r>
              <w:rPr>
                <w:rFonts w:hint="eastAsia"/>
                <w:color w:val="auto"/>
                <w:sz w:val="24"/>
                <w:highlight w:val="none"/>
                <w:u w:val="single"/>
              </w:rPr>
              <w:t>45</w:t>
            </w:r>
            <w:r>
              <w:rPr>
                <w:rFonts w:hint="eastAsia"/>
                <w:color w:val="auto"/>
                <w:sz w:val="24"/>
                <w:highlight w:val="none"/>
              </w:rPr>
              <w:t>分</w:t>
            </w:r>
            <w:r>
              <w:rPr>
                <w:rFonts w:hint="eastAsia"/>
                <w:color w:val="auto"/>
                <w:sz w:val="24"/>
                <w:highlight w:val="none"/>
                <w:u w:val="single"/>
              </w:rPr>
              <w:t>3.468</w:t>
            </w:r>
            <w:r>
              <w:rPr>
                <w:rFonts w:hint="eastAsia"/>
                <w:color w:val="auto"/>
                <w:sz w:val="24"/>
                <w:highlight w:val="none"/>
              </w:rPr>
              <w:t>秒</w:t>
            </w:r>
          </w:p>
        </w:tc>
      </w:tr>
      <w:tr w14:paraId="7A44E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83" w:hRule="atLeast"/>
          <w:jc w:val="center"/>
        </w:trPr>
        <w:tc>
          <w:tcPr>
            <w:tcW w:w="1769" w:type="dxa"/>
            <w:tcMar>
              <w:top w:w="16" w:type="dxa"/>
              <w:left w:w="16" w:type="dxa"/>
              <w:right w:w="16" w:type="dxa"/>
            </w:tcMar>
            <w:vAlign w:val="center"/>
          </w:tcPr>
          <w:p w14:paraId="5454983A">
            <w:pPr>
              <w:adjustRightInd w:val="0"/>
              <w:snapToGrid w:val="0"/>
              <w:jc w:val="center"/>
              <w:rPr>
                <w:b/>
                <w:color w:val="auto"/>
                <w:sz w:val="24"/>
                <w:highlight w:val="none"/>
              </w:rPr>
            </w:pPr>
            <w:r>
              <w:rPr>
                <w:b/>
                <w:color w:val="auto"/>
                <w:sz w:val="24"/>
                <w:highlight w:val="none"/>
              </w:rPr>
              <w:t>国民经济</w:t>
            </w:r>
          </w:p>
          <w:p w14:paraId="0CEFD195">
            <w:pPr>
              <w:adjustRightInd w:val="0"/>
              <w:snapToGrid w:val="0"/>
              <w:jc w:val="center"/>
              <w:rPr>
                <w:b/>
                <w:color w:val="auto"/>
                <w:sz w:val="24"/>
                <w:highlight w:val="none"/>
              </w:rPr>
            </w:pPr>
            <w:r>
              <w:rPr>
                <w:b/>
                <w:color w:val="auto"/>
                <w:sz w:val="24"/>
                <w:highlight w:val="none"/>
              </w:rPr>
              <w:t>行业类别</w:t>
            </w:r>
          </w:p>
        </w:tc>
        <w:tc>
          <w:tcPr>
            <w:tcW w:w="2750" w:type="dxa"/>
            <w:vAlign w:val="center"/>
          </w:tcPr>
          <w:p w14:paraId="02185982">
            <w:pPr>
              <w:adjustRightInd w:val="0"/>
              <w:snapToGrid w:val="0"/>
              <w:jc w:val="center"/>
              <w:rPr>
                <w:rFonts w:hint="eastAsia"/>
                <w:color w:val="auto"/>
                <w:sz w:val="24"/>
                <w:highlight w:val="none"/>
              </w:rPr>
            </w:pPr>
            <w:r>
              <w:rPr>
                <w:rFonts w:hint="eastAsia"/>
                <w:color w:val="auto"/>
                <w:sz w:val="24"/>
                <w:highlight w:val="none"/>
              </w:rPr>
              <w:t>C1522 瓶（罐）装饮用</w:t>
            </w:r>
          </w:p>
          <w:p w14:paraId="4FFB3B16">
            <w:pPr>
              <w:adjustRightInd w:val="0"/>
              <w:snapToGrid w:val="0"/>
              <w:jc w:val="center"/>
              <w:rPr>
                <w:rFonts w:hint="eastAsia"/>
                <w:color w:val="auto"/>
                <w:sz w:val="24"/>
                <w:highlight w:val="none"/>
              </w:rPr>
            </w:pPr>
            <w:r>
              <w:rPr>
                <w:rFonts w:hint="eastAsia"/>
                <w:color w:val="auto"/>
                <w:sz w:val="24"/>
                <w:highlight w:val="none"/>
              </w:rPr>
              <w:t>水制造</w:t>
            </w:r>
          </w:p>
          <w:p w14:paraId="77C29082">
            <w:pPr>
              <w:keepNext w:val="0"/>
              <w:keepLines w:val="0"/>
              <w:widowControl/>
              <w:suppressLineNumbers w:val="0"/>
              <w:jc w:val="center"/>
              <w:rPr>
                <w:rFonts w:hint="eastAsia"/>
                <w:color w:val="auto"/>
                <w:sz w:val="24"/>
                <w:highlight w:val="none"/>
              </w:rPr>
            </w:pPr>
            <w:r>
              <w:rPr>
                <w:rFonts w:hint="default" w:ascii="Times New Roman" w:hAnsi="Times New Roman" w:eastAsia="宋体" w:cs="Times New Roman"/>
                <w:color w:val="auto"/>
                <w:kern w:val="0"/>
                <w:sz w:val="24"/>
                <w:szCs w:val="24"/>
                <w:highlight w:val="none"/>
                <w:lang w:val="en-US" w:eastAsia="zh-CN" w:bidi="ar"/>
              </w:rPr>
              <w:t xml:space="preserve">C2926 </w:t>
            </w:r>
            <w:r>
              <w:rPr>
                <w:rFonts w:hint="eastAsia" w:ascii="宋体" w:hAnsi="宋体" w:eastAsia="宋体" w:cs="宋体"/>
                <w:color w:val="auto"/>
                <w:kern w:val="0"/>
                <w:sz w:val="24"/>
                <w:szCs w:val="24"/>
                <w:highlight w:val="none"/>
                <w:lang w:val="en-US" w:eastAsia="zh-CN" w:bidi="ar"/>
              </w:rPr>
              <w:t>塑料包装箱及容器制造</w:t>
            </w:r>
          </w:p>
        </w:tc>
        <w:tc>
          <w:tcPr>
            <w:tcW w:w="2167" w:type="dxa"/>
            <w:vAlign w:val="center"/>
          </w:tcPr>
          <w:p w14:paraId="5D2D80ED">
            <w:pPr>
              <w:adjustRightInd w:val="0"/>
              <w:snapToGrid w:val="0"/>
              <w:jc w:val="center"/>
              <w:rPr>
                <w:b/>
                <w:color w:val="auto"/>
                <w:sz w:val="24"/>
                <w:highlight w:val="none"/>
              </w:rPr>
            </w:pPr>
            <w:bookmarkStart w:id="2" w:name="_Hlk49843745"/>
            <w:r>
              <w:rPr>
                <w:b/>
                <w:color w:val="auto"/>
                <w:sz w:val="24"/>
                <w:highlight w:val="none"/>
              </w:rPr>
              <w:t>建设项目</w:t>
            </w:r>
          </w:p>
          <w:p w14:paraId="4175C2D3">
            <w:pPr>
              <w:adjustRightInd w:val="0"/>
              <w:snapToGrid w:val="0"/>
              <w:jc w:val="center"/>
              <w:rPr>
                <w:color w:val="auto"/>
                <w:sz w:val="24"/>
                <w:highlight w:val="none"/>
              </w:rPr>
            </w:pPr>
            <w:r>
              <w:rPr>
                <w:b/>
                <w:color w:val="auto"/>
                <w:sz w:val="24"/>
                <w:highlight w:val="none"/>
              </w:rPr>
              <w:t>行业类别</w:t>
            </w:r>
            <w:bookmarkEnd w:id="2"/>
          </w:p>
        </w:tc>
        <w:tc>
          <w:tcPr>
            <w:tcW w:w="2870" w:type="dxa"/>
            <w:vAlign w:val="center"/>
          </w:tcPr>
          <w:p w14:paraId="47CE4DEC">
            <w:pPr>
              <w:numPr>
                <w:ilvl w:val="0"/>
                <w:numId w:val="3"/>
              </w:numPr>
              <w:adjustRightInd w:val="0"/>
              <w:snapToGrid w:val="0"/>
              <w:jc w:val="center"/>
              <w:rPr>
                <w:rFonts w:hint="eastAsia"/>
                <w:color w:val="auto"/>
                <w:sz w:val="24"/>
                <w:highlight w:val="none"/>
              </w:rPr>
            </w:pPr>
            <w:r>
              <w:rPr>
                <w:rFonts w:hint="eastAsia"/>
                <w:color w:val="auto"/>
                <w:sz w:val="24"/>
                <w:highlight w:val="none"/>
              </w:rPr>
              <w:t>酒、饮料制造业</w:t>
            </w:r>
            <w:r>
              <w:rPr>
                <w:rFonts w:hint="eastAsia"/>
                <w:color w:val="auto"/>
                <w:sz w:val="24"/>
                <w:highlight w:val="none"/>
                <w:lang w:val="en-US" w:eastAsia="zh-CN"/>
              </w:rPr>
              <w:t xml:space="preserve"> </w:t>
            </w:r>
            <w:r>
              <w:rPr>
                <w:rFonts w:hint="eastAsia"/>
                <w:color w:val="auto"/>
                <w:sz w:val="24"/>
                <w:highlight w:val="none"/>
              </w:rPr>
              <w:t>15</w:t>
            </w:r>
            <w:r>
              <w:rPr>
                <w:rFonts w:hint="eastAsia"/>
                <w:color w:val="auto"/>
                <w:sz w:val="24"/>
                <w:highlight w:val="none"/>
                <w:lang w:val="en-US" w:eastAsia="zh-CN"/>
              </w:rPr>
              <w:t xml:space="preserve"> </w:t>
            </w:r>
            <w:r>
              <w:rPr>
                <w:rFonts w:hint="eastAsia"/>
                <w:color w:val="auto"/>
                <w:sz w:val="24"/>
                <w:highlight w:val="none"/>
              </w:rPr>
              <w:t>饮料制造 152*</w:t>
            </w:r>
          </w:p>
          <w:p w14:paraId="2E1F94DB">
            <w:pPr>
              <w:keepNext w:val="0"/>
              <w:keepLines w:val="0"/>
              <w:widowControl/>
              <w:suppressLineNumbers w:val="0"/>
              <w:jc w:val="left"/>
              <w:rPr>
                <w:rFonts w:hint="eastAsia"/>
                <w:color w:val="auto"/>
                <w:sz w:val="24"/>
                <w:highlight w:val="none"/>
              </w:rPr>
            </w:pPr>
            <w:r>
              <w:rPr>
                <w:rFonts w:hint="eastAsia" w:ascii="宋体" w:hAnsi="宋体" w:eastAsia="宋体" w:cs="宋体"/>
                <w:color w:val="auto"/>
                <w:kern w:val="0"/>
                <w:sz w:val="24"/>
                <w:szCs w:val="24"/>
                <w:highlight w:val="none"/>
                <w:lang w:val="en-US" w:eastAsia="zh-CN" w:bidi="ar"/>
              </w:rPr>
              <w:t xml:space="preserve">二十六、橡胶和塑料制品业 </w:t>
            </w:r>
            <w:r>
              <w:rPr>
                <w:rFonts w:hint="default" w:ascii="Times New Roman" w:hAnsi="Times New Roman" w:eastAsia="宋体" w:cs="Times New Roman"/>
                <w:color w:val="auto"/>
                <w:kern w:val="0"/>
                <w:sz w:val="24"/>
                <w:szCs w:val="24"/>
                <w:highlight w:val="none"/>
                <w:lang w:val="en-US" w:eastAsia="zh-CN" w:bidi="ar"/>
              </w:rPr>
              <w:t>29</w:t>
            </w:r>
            <w:r>
              <w:rPr>
                <w:rFonts w:hint="eastAsia" w:ascii="宋体" w:hAnsi="宋体" w:eastAsia="宋体" w:cs="宋体"/>
                <w:color w:val="auto"/>
                <w:kern w:val="0"/>
                <w:sz w:val="24"/>
                <w:szCs w:val="24"/>
                <w:highlight w:val="none"/>
                <w:lang w:val="en-US" w:eastAsia="zh-CN" w:bidi="ar"/>
              </w:rPr>
              <w:t xml:space="preserve">塑料制品业 </w:t>
            </w:r>
            <w:r>
              <w:rPr>
                <w:rFonts w:hint="default" w:ascii="Times New Roman" w:hAnsi="Times New Roman" w:eastAsia="宋体" w:cs="Times New Roman"/>
                <w:color w:val="auto"/>
                <w:kern w:val="0"/>
                <w:sz w:val="24"/>
                <w:szCs w:val="24"/>
                <w:highlight w:val="none"/>
                <w:lang w:val="en-US" w:eastAsia="zh-CN" w:bidi="ar"/>
              </w:rPr>
              <w:t>292</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其他</w:t>
            </w:r>
          </w:p>
        </w:tc>
      </w:tr>
      <w:tr w14:paraId="1D1B0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23" w:hRule="atLeast"/>
          <w:jc w:val="center"/>
        </w:trPr>
        <w:tc>
          <w:tcPr>
            <w:tcW w:w="1769" w:type="dxa"/>
            <w:tcMar>
              <w:top w:w="16" w:type="dxa"/>
              <w:left w:w="16" w:type="dxa"/>
              <w:right w:w="16" w:type="dxa"/>
            </w:tcMar>
            <w:vAlign w:val="center"/>
          </w:tcPr>
          <w:p w14:paraId="6013B579">
            <w:pPr>
              <w:adjustRightInd w:val="0"/>
              <w:snapToGrid w:val="0"/>
              <w:jc w:val="center"/>
              <w:rPr>
                <w:b/>
                <w:color w:val="auto"/>
                <w:sz w:val="24"/>
                <w:highlight w:val="none"/>
              </w:rPr>
            </w:pPr>
            <w:r>
              <w:rPr>
                <w:b/>
                <w:color w:val="auto"/>
                <w:sz w:val="24"/>
                <w:highlight w:val="none"/>
              </w:rPr>
              <w:t>建设性质</w:t>
            </w:r>
          </w:p>
        </w:tc>
        <w:tc>
          <w:tcPr>
            <w:tcW w:w="2750" w:type="dxa"/>
            <w:vAlign w:val="center"/>
          </w:tcPr>
          <w:p w14:paraId="26A8DB4B">
            <w:pPr>
              <w:jc w:val="left"/>
              <w:rPr>
                <w:color w:val="auto"/>
                <w:sz w:val="24"/>
                <w:highlight w:val="none"/>
              </w:rPr>
            </w:pPr>
            <w:r>
              <w:rPr>
                <w:rFonts w:hint="eastAsia"/>
                <w:color w:val="auto"/>
                <w:sz w:val="24"/>
                <w:highlight w:val="none"/>
                <w:lang w:eastAsia="zh-CN"/>
              </w:rPr>
              <w:t>☑</w:t>
            </w:r>
            <w:r>
              <w:rPr>
                <w:color w:val="auto"/>
                <w:sz w:val="24"/>
                <w:highlight w:val="none"/>
              </w:rPr>
              <w:t>新建（迁建）</w:t>
            </w:r>
          </w:p>
          <w:p w14:paraId="3FADF4C2">
            <w:pPr>
              <w:jc w:val="left"/>
              <w:rPr>
                <w:color w:val="auto"/>
                <w:sz w:val="24"/>
                <w:highlight w:val="none"/>
              </w:rPr>
            </w:pPr>
            <w:r>
              <w:rPr>
                <w:rFonts w:hint="eastAsia"/>
                <w:color w:val="auto"/>
                <w:sz w:val="24"/>
                <w:highlight w:val="none"/>
                <w:lang w:eastAsia="zh-CN"/>
              </w:rPr>
              <w:t>□</w:t>
            </w:r>
            <w:r>
              <w:rPr>
                <w:color w:val="auto"/>
                <w:sz w:val="24"/>
                <w:highlight w:val="none"/>
              </w:rPr>
              <w:t>改建</w:t>
            </w:r>
          </w:p>
          <w:p w14:paraId="46C10ECA">
            <w:pPr>
              <w:rPr>
                <w:color w:val="auto"/>
                <w:sz w:val="24"/>
                <w:highlight w:val="none"/>
              </w:rPr>
            </w:pPr>
            <w:r>
              <w:rPr>
                <w:rFonts w:hint="eastAsia"/>
                <w:color w:val="auto"/>
                <w:sz w:val="24"/>
                <w:highlight w:val="none"/>
                <w:lang w:eastAsia="zh-CN"/>
              </w:rPr>
              <w:t>□</w:t>
            </w:r>
            <w:r>
              <w:rPr>
                <w:color w:val="auto"/>
                <w:sz w:val="24"/>
                <w:highlight w:val="none"/>
              </w:rPr>
              <w:t>扩建</w:t>
            </w:r>
          </w:p>
          <w:p w14:paraId="3537C85E">
            <w:pPr>
              <w:jc w:val="left"/>
              <w:rPr>
                <w:color w:val="auto"/>
                <w:sz w:val="24"/>
                <w:highlight w:val="none"/>
              </w:rPr>
            </w:pPr>
            <w:r>
              <w:rPr>
                <w:rFonts w:hint="eastAsia"/>
                <w:color w:val="auto"/>
                <w:sz w:val="24"/>
                <w:highlight w:val="none"/>
                <w:lang w:eastAsia="zh-CN"/>
              </w:rPr>
              <w:t>□</w:t>
            </w:r>
            <w:r>
              <w:rPr>
                <w:color w:val="auto"/>
                <w:sz w:val="24"/>
                <w:highlight w:val="none"/>
              </w:rPr>
              <w:t>技术改造</w:t>
            </w:r>
          </w:p>
        </w:tc>
        <w:tc>
          <w:tcPr>
            <w:tcW w:w="2167" w:type="dxa"/>
            <w:vAlign w:val="center"/>
          </w:tcPr>
          <w:p w14:paraId="79D5B22E">
            <w:pPr>
              <w:adjustRightInd w:val="0"/>
              <w:snapToGrid w:val="0"/>
              <w:jc w:val="center"/>
              <w:rPr>
                <w:b/>
                <w:color w:val="auto"/>
                <w:sz w:val="24"/>
                <w:highlight w:val="none"/>
              </w:rPr>
            </w:pPr>
            <w:r>
              <w:rPr>
                <w:b/>
                <w:color w:val="auto"/>
                <w:sz w:val="24"/>
                <w:highlight w:val="none"/>
              </w:rPr>
              <w:t>建设项目</w:t>
            </w:r>
          </w:p>
          <w:p w14:paraId="4FB6EC32">
            <w:pPr>
              <w:adjustRightInd w:val="0"/>
              <w:snapToGrid w:val="0"/>
              <w:jc w:val="center"/>
              <w:rPr>
                <w:color w:val="auto"/>
                <w:sz w:val="24"/>
                <w:highlight w:val="none"/>
              </w:rPr>
            </w:pPr>
            <w:r>
              <w:rPr>
                <w:b/>
                <w:color w:val="auto"/>
                <w:sz w:val="24"/>
                <w:highlight w:val="none"/>
              </w:rPr>
              <w:t>申报情形</w:t>
            </w:r>
          </w:p>
        </w:tc>
        <w:tc>
          <w:tcPr>
            <w:tcW w:w="2870" w:type="dxa"/>
            <w:vAlign w:val="center"/>
          </w:tcPr>
          <w:p w14:paraId="3B49F805">
            <w:pPr>
              <w:jc w:val="left"/>
              <w:rPr>
                <w:color w:val="auto"/>
                <w:sz w:val="24"/>
                <w:highlight w:val="none"/>
              </w:rPr>
            </w:pPr>
            <w:r>
              <w:rPr>
                <w:color w:val="auto"/>
                <w:sz w:val="24"/>
                <w:highlight w:val="none"/>
              </w:rPr>
              <w:t>☑首次申报项目</w:t>
            </w:r>
          </w:p>
          <w:p w14:paraId="18B5650E">
            <w:pPr>
              <w:jc w:val="left"/>
              <w:rPr>
                <w:color w:val="auto"/>
                <w:sz w:val="24"/>
                <w:highlight w:val="none"/>
              </w:rPr>
            </w:pPr>
            <w:r>
              <w:rPr>
                <w:color w:val="auto"/>
                <w:sz w:val="24"/>
                <w:highlight w:val="none"/>
              </w:rPr>
              <w:t>□不予批准后再次申报项目</w:t>
            </w:r>
          </w:p>
          <w:p w14:paraId="741A65DF">
            <w:pPr>
              <w:jc w:val="left"/>
              <w:rPr>
                <w:color w:val="auto"/>
                <w:sz w:val="24"/>
                <w:highlight w:val="none"/>
              </w:rPr>
            </w:pPr>
            <w:r>
              <w:rPr>
                <w:color w:val="auto"/>
                <w:sz w:val="24"/>
                <w:highlight w:val="none"/>
              </w:rPr>
              <w:t>□超五年重新审核项目</w:t>
            </w:r>
          </w:p>
          <w:p w14:paraId="1B8DF071">
            <w:pPr>
              <w:jc w:val="left"/>
              <w:rPr>
                <w:color w:val="auto"/>
                <w:sz w:val="24"/>
                <w:highlight w:val="none"/>
              </w:rPr>
            </w:pPr>
            <w:r>
              <w:rPr>
                <w:color w:val="auto"/>
                <w:sz w:val="24"/>
                <w:highlight w:val="none"/>
              </w:rPr>
              <w:t>□重大变动重新报批项目</w:t>
            </w:r>
          </w:p>
        </w:tc>
      </w:tr>
      <w:tr w14:paraId="7169A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69" w:type="dxa"/>
            <w:tcMar>
              <w:top w:w="16" w:type="dxa"/>
              <w:left w:w="16" w:type="dxa"/>
              <w:right w:w="16" w:type="dxa"/>
            </w:tcMar>
            <w:vAlign w:val="center"/>
          </w:tcPr>
          <w:p w14:paraId="3AC89155">
            <w:pPr>
              <w:adjustRightInd w:val="0"/>
              <w:snapToGrid w:val="0"/>
              <w:jc w:val="center"/>
              <w:rPr>
                <w:b/>
                <w:color w:val="auto"/>
                <w:sz w:val="24"/>
                <w:highlight w:val="none"/>
              </w:rPr>
            </w:pPr>
            <w:r>
              <w:rPr>
                <w:b/>
                <w:color w:val="auto"/>
                <w:sz w:val="24"/>
                <w:highlight w:val="none"/>
              </w:rPr>
              <w:t>项目审批（核准/备案）部门</w:t>
            </w:r>
          </w:p>
          <w:p w14:paraId="5C1AA99B">
            <w:pPr>
              <w:adjustRightInd w:val="0"/>
              <w:snapToGrid w:val="0"/>
              <w:jc w:val="center"/>
              <w:rPr>
                <w:b/>
                <w:color w:val="auto"/>
                <w:sz w:val="24"/>
                <w:highlight w:val="none"/>
              </w:rPr>
            </w:pPr>
            <w:r>
              <w:rPr>
                <w:b/>
                <w:color w:val="auto"/>
                <w:sz w:val="24"/>
                <w:highlight w:val="none"/>
              </w:rPr>
              <w:t>（选填）</w:t>
            </w:r>
          </w:p>
        </w:tc>
        <w:tc>
          <w:tcPr>
            <w:tcW w:w="2750" w:type="dxa"/>
            <w:vAlign w:val="center"/>
          </w:tcPr>
          <w:p w14:paraId="74D15BD3">
            <w:pPr>
              <w:adjustRightInd w:val="0"/>
              <w:snapToGrid w:val="0"/>
              <w:jc w:val="center"/>
              <w:rPr>
                <w:color w:val="auto"/>
                <w:sz w:val="24"/>
                <w:highlight w:val="none"/>
              </w:rPr>
            </w:pPr>
            <w:r>
              <w:rPr>
                <w:color w:val="auto"/>
                <w:sz w:val="24"/>
                <w:highlight w:val="none"/>
              </w:rPr>
              <w:t>宿州市埇桥区发展和改革委员会</w:t>
            </w:r>
          </w:p>
        </w:tc>
        <w:tc>
          <w:tcPr>
            <w:tcW w:w="2167" w:type="dxa"/>
            <w:vAlign w:val="center"/>
          </w:tcPr>
          <w:p w14:paraId="6E1BCDB1">
            <w:pPr>
              <w:adjustRightInd w:val="0"/>
              <w:snapToGrid w:val="0"/>
              <w:jc w:val="center"/>
              <w:rPr>
                <w:b/>
                <w:color w:val="auto"/>
                <w:sz w:val="24"/>
                <w:highlight w:val="none"/>
              </w:rPr>
            </w:pPr>
            <w:r>
              <w:rPr>
                <w:b/>
                <w:color w:val="auto"/>
                <w:sz w:val="24"/>
                <w:highlight w:val="none"/>
              </w:rPr>
              <w:t>项目审批（核准/</w:t>
            </w:r>
          </w:p>
          <w:p w14:paraId="1280B1C3">
            <w:pPr>
              <w:adjustRightInd w:val="0"/>
              <w:snapToGrid w:val="0"/>
              <w:jc w:val="center"/>
              <w:rPr>
                <w:color w:val="auto"/>
                <w:sz w:val="24"/>
                <w:highlight w:val="none"/>
              </w:rPr>
            </w:pPr>
            <w:r>
              <w:rPr>
                <w:b/>
                <w:color w:val="auto"/>
                <w:sz w:val="24"/>
                <w:highlight w:val="none"/>
              </w:rPr>
              <w:t>备案）文号（选填）</w:t>
            </w:r>
          </w:p>
        </w:tc>
        <w:tc>
          <w:tcPr>
            <w:tcW w:w="2870" w:type="dxa"/>
            <w:vAlign w:val="center"/>
          </w:tcPr>
          <w:p w14:paraId="62BA7ADB">
            <w:pPr>
              <w:adjustRightInd w:val="0"/>
              <w:snapToGrid w:val="0"/>
              <w:jc w:val="center"/>
              <w:rPr>
                <w:color w:val="auto"/>
                <w:sz w:val="24"/>
                <w:highlight w:val="none"/>
              </w:rPr>
            </w:pPr>
            <w:r>
              <w:rPr>
                <w:rFonts w:hint="eastAsia"/>
                <w:color w:val="auto"/>
                <w:sz w:val="24"/>
                <w:highlight w:val="none"/>
              </w:rPr>
              <w:t>/</w:t>
            </w:r>
          </w:p>
        </w:tc>
      </w:tr>
      <w:tr w14:paraId="2996D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769" w:type="dxa"/>
            <w:tcMar>
              <w:top w:w="16" w:type="dxa"/>
              <w:left w:w="16" w:type="dxa"/>
              <w:right w:w="16" w:type="dxa"/>
            </w:tcMar>
            <w:vAlign w:val="center"/>
          </w:tcPr>
          <w:p w14:paraId="43AAE31C">
            <w:pPr>
              <w:adjustRightInd w:val="0"/>
              <w:snapToGrid w:val="0"/>
              <w:jc w:val="center"/>
              <w:rPr>
                <w:b/>
                <w:color w:val="auto"/>
                <w:sz w:val="24"/>
                <w:highlight w:val="none"/>
              </w:rPr>
            </w:pPr>
            <w:r>
              <w:rPr>
                <w:b/>
                <w:color w:val="auto"/>
                <w:sz w:val="24"/>
                <w:highlight w:val="none"/>
              </w:rPr>
              <w:t>总投资（万元）</w:t>
            </w:r>
          </w:p>
        </w:tc>
        <w:tc>
          <w:tcPr>
            <w:tcW w:w="2750" w:type="dxa"/>
            <w:vAlign w:val="center"/>
          </w:tcPr>
          <w:p w14:paraId="078FB4EE">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260</w:t>
            </w:r>
          </w:p>
        </w:tc>
        <w:tc>
          <w:tcPr>
            <w:tcW w:w="2167" w:type="dxa"/>
            <w:tcMar>
              <w:top w:w="16" w:type="dxa"/>
              <w:left w:w="16" w:type="dxa"/>
              <w:right w:w="16" w:type="dxa"/>
            </w:tcMar>
            <w:vAlign w:val="center"/>
          </w:tcPr>
          <w:p w14:paraId="215E02E7">
            <w:pPr>
              <w:adjustRightInd w:val="0"/>
              <w:snapToGrid w:val="0"/>
              <w:jc w:val="center"/>
              <w:rPr>
                <w:b/>
                <w:color w:val="auto"/>
                <w:sz w:val="24"/>
                <w:highlight w:val="none"/>
              </w:rPr>
            </w:pPr>
            <w:r>
              <w:rPr>
                <w:b/>
                <w:color w:val="auto"/>
                <w:sz w:val="24"/>
                <w:highlight w:val="none"/>
              </w:rPr>
              <w:t>环保投资（万元）</w:t>
            </w:r>
          </w:p>
        </w:tc>
        <w:tc>
          <w:tcPr>
            <w:tcW w:w="2870" w:type="dxa"/>
            <w:vAlign w:val="center"/>
          </w:tcPr>
          <w:p w14:paraId="3C2FAF00">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16</w:t>
            </w:r>
          </w:p>
        </w:tc>
      </w:tr>
      <w:tr w14:paraId="058B7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1769" w:type="dxa"/>
            <w:tcMar>
              <w:top w:w="16" w:type="dxa"/>
              <w:left w:w="16" w:type="dxa"/>
              <w:right w:w="16" w:type="dxa"/>
            </w:tcMar>
            <w:vAlign w:val="center"/>
          </w:tcPr>
          <w:p w14:paraId="14873275">
            <w:pPr>
              <w:adjustRightInd w:val="0"/>
              <w:snapToGrid w:val="0"/>
              <w:jc w:val="center"/>
              <w:rPr>
                <w:b/>
                <w:color w:val="auto"/>
                <w:sz w:val="24"/>
                <w:highlight w:val="none"/>
              </w:rPr>
            </w:pPr>
            <w:r>
              <w:rPr>
                <w:b/>
                <w:color w:val="auto"/>
                <w:sz w:val="24"/>
                <w:highlight w:val="none"/>
              </w:rPr>
              <w:t>环保投资占比（%）</w:t>
            </w:r>
          </w:p>
        </w:tc>
        <w:tc>
          <w:tcPr>
            <w:tcW w:w="2750" w:type="dxa"/>
            <w:vAlign w:val="center"/>
          </w:tcPr>
          <w:p w14:paraId="5D96354A">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6.15</w:t>
            </w:r>
          </w:p>
        </w:tc>
        <w:tc>
          <w:tcPr>
            <w:tcW w:w="2167" w:type="dxa"/>
            <w:tcMar>
              <w:top w:w="16" w:type="dxa"/>
              <w:left w:w="16" w:type="dxa"/>
              <w:right w:w="16" w:type="dxa"/>
            </w:tcMar>
            <w:vAlign w:val="center"/>
          </w:tcPr>
          <w:p w14:paraId="12AC8F91">
            <w:pPr>
              <w:adjustRightInd w:val="0"/>
              <w:snapToGrid w:val="0"/>
              <w:jc w:val="center"/>
              <w:rPr>
                <w:b/>
                <w:color w:val="auto"/>
                <w:sz w:val="24"/>
                <w:highlight w:val="none"/>
              </w:rPr>
            </w:pPr>
            <w:r>
              <w:rPr>
                <w:b/>
                <w:color w:val="auto"/>
                <w:sz w:val="24"/>
                <w:highlight w:val="none"/>
              </w:rPr>
              <w:t>施工工期</w:t>
            </w:r>
          </w:p>
        </w:tc>
        <w:tc>
          <w:tcPr>
            <w:tcW w:w="2870" w:type="dxa"/>
            <w:vAlign w:val="center"/>
          </w:tcPr>
          <w:p w14:paraId="00B969D7">
            <w:pPr>
              <w:adjustRightInd w:val="0"/>
              <w:snapToGrid w:val="0"/>
              <w:jc w:val="center"/>
              <w:rPr>
                <w:color w:val="auto"/>
                <w:sz w:val="24"/>
                <w:highlight w:val="none"/>
              </w:rPr>
            </w:pPr>
            <w:r>
              <w:rPr>
                <w:rFonts w:hint="eastAsia"/>
                <w:color w:val="auto"/>
                <w:sz w:val="24"/>
                <w:highlight w:val="none"/>
                <w:lang w:val="en-US" w:eastAsia="zh-CN"/>
              </w:rPr>
              <w:t>4</w:t>
            </w:r>
            <w:r>
              <w:rPr>
                <w:color w:val="auto"/>
                <w:sz w:val="24"/>
                <w:highlight w:val="none"/>
              </w:rPr>
              <w:t>个月</w:t>
            </w:r>
          </w:p>
        </w:tc>
      </w:tr>
      <w:tr w14:paraId="01F9B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1769" w:type="dxa"/>
            <w:tcMar>
              <w:top w:w="16" w:type="dxa"/>
              <w:left w:w="16" w:type="dxa"/>
              <w:right w:w="16" w:type="dxa"/>
            </w:tcMar>
            <w:vAlign w:val="center"/>
          </w:tcPr>
          <w:p w14:paraId="5A0BA660">
            <w:pPr>
              <w:adjustRightInd w:val="0"/>
              <w:snapToGrid w:val="0"/>
              <w:jc w:val="center"/>
              <w:rPr>
                <w:b/>
                <w:color w:val="auto"/>
                <w:sz w:val="24"/>
                <w:highlight w:val="none"/>
              </w:rPr>
            </w:pPr>
            <w:r>
              <w:rPr>
                <w:b/>
                <w:color w:val="auto"/>
                <w:sz w:val="24"/>
                <w:highlight w:val="none"/>
              </w:rPr>
              <w:t>是否开工建设</w:t>
            </w:r>
          </w:p>
        </w:tc>
        <w:tc>
          <w:tcPr>
            <w:tcW w:w="2750" w:type="dxa"/>
            <w:vAlign w:val="center"/>
          </w:tcPr>
          <w:p w14:paraId="186D3F0E">
            <w:pPr>
              <w:jc w:val="left"/>
              <w:rPr>
                <w:color w:val="auto"/>
                <w:sz w:val="24"/>
                <w:highlight w:val="none"/>
              </w:rPr>
            </w:pPr>
            <w:r>
              <w:rPr>
                <w:color w:val="auto"/>
                <w:sz w:val="24"/>
                <w:highlight w:val="none"/>
              </w:rPr>
              <w:t>☑否</w:t>
            </w:r>
          </w:p>
          <w:p w14:paraId="0AFEE40E">
            <w:pPr>
              <w:jc w:val="left"/>
              <w:rPr>
                <w:color w:val="auto"/>
                <w:sz w:val="24"/>
                <w:highlight w:val="none"/>
              </w:rPr>
            </w:pPr>
            <w:r>
              <w:rPr>
                <w:color w:val="auto"/>
                <w:sz w:val="24"/>
                <w:highlight w:val="none"/>
              </w:rPr>
              <w:t>□是：</w:t>
            </w:r>
          </w:p>
        </w:tc>
        <w:tc>
          <w:tcPr>
            <w:tcW w:w="2167" w:type="dxa"/>
            <w:tcMar>
              <w:top w:w="16" w:type="dxa"/>
              <w:left w:w="16" w:type="dxa"/>
              <w:right w:w="16" w:type="dxa"/>
            </w:tcMar>
            <w:vAlign w:val="center"/>
          </w:tcPr>
          <w:p w14:paraId="74CDEE37">
            <w:pPr>
              <w:adjustRightInd w:val="0"/>
              <w:snapToGrid w:val="0"/>
              <w:jc w:val="center"/>
              <w:rPr>
                <w:b/>
                <w:color w:val="auto"/>
                <w:spacing w:val="-6"/>
                <w:sz w:val="24"/>
                <w:highlight w:val="none"/>
              </w:rPr>
            </w:pPr>
            <w:r>
              <w:rPr>
                <w:b/>
                <w:color w:val="auto"/>
                <w:spacing w:val="-6"/>
                <w:sz w:val="24"/>
                <w:highlight w:val="none"/>
              </w:rPr>
              <w:t>用地面积</w:t>
            </w:r>
          </w:p>
          <w:p w14:paraId="3C043F17">
            <w:pPr>
              <w:adjustRightInd w:val="0"/>
              <w:snapToGrid w:val="0"/>
              <w:jc w:val="center"/>
              <w:rPr>
                <w:color w:val="auto"/>
                <w:sz w:val="24"/>
                <w:highlight w:val="none"/>
              </w:rPr>
            </w:pPr>
            <w:r>
              <w:rPr>
                <w:b/>
                <w:color w:val="auto"/>
                <w:spacing w:val="-6"/>
                <w:sz w:val="24"/>
                <w:highlight w:val="none"/>
              </w:rPr>
              <w:t>（m</w:t>
            </w:r>
            <w:r>
              <w:rPr>
                <w:b/>
                <w:color w:val="auto"/>
                <w:spacing w:val="-6"/>
                <w:sz w:val="24"/>
                <w:highlight w:val="none"/>
                <w:vertAlign w:val="superscript"/>
              </w:rPr>
              <w:t>2</w:t>
            </w:r>
            <w:r>
              <w:rPr>
                <w:b/>
                <w:color w:val="auto"/>
                <w:spacing w:val="-6"/>
                <w:sz w:val="24"/>
                <w:highlight w:val="none"/>
              </w:rPr>
              <w:t>）</w:t>
            </w:r>
          </w:p>
        </w:tc>
        <w:tc>
          <w:tcPr>
            <w:tcW w:w="2870" w:type="dxa"/>
            <w:vAlign w:val="center"/>
          </w:tcPr>
          <w:p w14:paraId="6037A7FC">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2032</w:t>
            </w:r>
          </w:p>
        </w:tc>
      </w:tr>
      <w:tr w14:paraId="5BEBA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769" w:type="dxa"/>
            <w:vAlign w:val="center"/>
          </w:tcPr>
          <w:p w14:paraId="3AB092DD">
            <w:pPr>
              <w:autoSpaceDE w:val="0"/>
              <w:autoSpaceDN w:val="0"/>
              <w:adjustRightInd w:val="0"/>
              <w:snapToGrid w:val="0"/>
              <w:jc w:val="center"/>
              <w:rPr>
                <w:b/>
                <w:color w:val="auto"/>
                <w:kern w:val="0"/>
                <w:sz w:val="24"/>
                <w:highlight w:val="none"/>
              </w:rPr>
            </w:pPr>
            <w:r>
              <w:rPr>
                <w:b/>
                <w:color w:val="auto"/>
                <w:kern w:val="0"/>
                <w:sz w:val="24"/>
                <w:highlight w:val="none"/>
              </w:rPr>
              <w:t>专项评价设置情况</w:t>
            </w:r>
          </w:p>
        </w:tc>
        <w:tc>
          <w:tcPr>
            <w:tcW w:w="7787" w:type="dxa"/>
            <w:gridSpan w:val="3"/>
            <w:vAlign w:val="center"/>
          </w:tcPr>
          <w:p w14:paraId="5A1A8047">
            <w:pPr>
              <w:pStyle w:val="364"/>
              <w:bidi w:val="0"/>
              <w:rPr>
                <w:rFonts w:hint="eastAsia"/>
                <w:color w:val="auto"/>
                <w:highlight w:val="none"/>
                <w:lang w:val="en-US" w:eastAsia="zh-CN"/>
              </w:rPr>
            </w:pPr>
            <w:r>
              <w:rPr>
                <w:rFonts w:hint="eastAsia"/>
                <w:color w:val="auto"/>
                <w:highlight w:val="none"/>
                <w:lang w:val="en-US" w:eastAsia="zh-CN"/>
              </w:rPr>
              <w:t>依据《建设项目环境影响报告表编制技术指南（污染影响类）》专项评价设置原则表：</w:t>
            </w:r>
          </w:p>
          <w:p w14:paraId="16B3D9B4">
            <w:pPr>
              <w:bidi w:val="0"/>
              <w:jc w:val="center"/>
              <w:rPr>
                <w:rFonts w:hint="eastAsia"/>
                <w:color w:val="auto"/>
                <w:highlight w:val="none"/>
                <w:lang w:val="en-US" w:eastAsia="zh-CN"/>
              </w:rPr>
            </w:pPr>
            <w:r>
              <w:rPr>
                <w:rFonts w:hint="eastAsia"/>
                <w:b/>
                <w:bCs/>
                <w:color w:val="auto"/>
                <w:sz w:val="24"/>
                <w:szCs w:val="32"/>
                <w:highlight w:val="none"/>
                <w:lang w:val="en-US" w:eastAsia="zh-CN"/>
              </w:rPr>
              <w:t>表1-1 本项目专项评价情况一览表</w:t>
            </w:r>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46"/>
              <w:gridCol w:w="2824"/>
              <w:gridCol w:w="898"/>
            </w:tblGrid>
            <w:tr w14:paraId="4F80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4" w:type="pct"/>
                  <w:tcBorders>
                    <w:tl2br w:val="nil"/>
                    <w:tr2bl w:val="nil"/>
                  </w:tcBorders>
                  <w:noWrap w:val="0"/>
                  <w:vAlign w:val="center"/>
                </w:tcPr>
                <w:p w14:paraId="2CF9ECC4">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专项评价类别</w:t>
                  </w:r>
                </w:p>
              </w:tc>
              <w:tc>
                <w:tcPr>
                  <w:tcW w:w="1883" w:type="pct"/>
                  <w:tcBorders>
                    <w:tl2br w:val="nil"/>
                    <w:tr2bl w:val="nil"/>
                  </w:tcBorders>
                  <w:noWrap w:val="0"/>
                  <w:vAlign w:val="center"/>
                </w:tcPr>
                <w:p w14:paraId="0C47748C">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设置原则</w:t>
                  </w:r>
                </w:p>
              </w:tc>
              <w:tc>
                <w:tcPr>
                  <w:tcW w:w="1869" w:type="pct"/>
                  <w:tcBorders>
                    <w:tl2br w:val="nil"/>
                    <w:tr2bl w:val="nil"/>
                  </w:tcBorders>
                  <w:noWrap w:val="0"/>
                  <w:vAlign w:val="center"/>
                </w:tcPr>
                <w:p w14:paraId="3E59FC2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本项目情况</w:t>
                  </w:r>
                </w:p>
              </w:tc>
              <w:tc>
                <w:tcPr>
                  <w:tcW w:w="592" w:type="pct"/>
                  <w:tcBorders>
                    <w:tl2br w:val="nil"/>
                    <w:tr2bl w:val="nil"/>
                  </w:tcBorders>
                  <w:noWrap w:val="0"/>
                  <w:vAlign w:val="center"/>
                </w:tcPr>
                <w:p w14:paraId="7D041238">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设置</w:t>
                  </w:r>
                </w:p>
                <w:p w14:paraId="4037AEE9">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情况</w:t>
                  </w:r>
                </w:p>
              </w:tc>
            </w:tr>
            <w:tr w14:paraId="55CA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4" w:type="pct"/>
                  <w:tcBorders>
                    <w:tl2br w:val="nil"/>
                    <w:tr2bl w:val="nil"/>
                  </w:tcBorders>
                  <w:noWrap w:val="0"/>
                  <w:vAlign w:val="center"/>
                </w:tcPr>
                <w:p w14:paraId="33A26DA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大气</w:t>
                  </w:r>
                </w:p>
              </w:tc>
              <w:tc>
                <w:tcPr>
                  <w:tcW w:w="1883" w:type="pct"/>
                  <w:tcBorders>
                    <w:tl2br w:val="nil"/>
                    <w:tr2bl w:val="nil"/>
                  </w:tcBorders>
                  <w:noWrap w:val="0"/>
                  <w:vAlign w:val="center"/>
                </w:tcPr>
                <w:p w14:paraId="5EFC4B67">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排放废气含有毒有害污染物</w:t>
                  </w:r>
                  <w:r>
                    <w:rPr>
                      <w:rFonts w:hint="eastAsia" w:ascii="Times New Roman" w:hAnsi="Times New Roman" w:eastAsia="宋体" w:cs="Times New Roman"/>
                      <w:color w:val="auto"/>
                      <w:sz w:val="21"/>
                      <w:szCs w:val="21"/>
                      <w:highlight w:val="none"/>
                      <w:vertAlign w:val="superscript"/>
                      <w:lang w:val="en-US" w:eastAsia="zh-CN"/>
                    </w:rPr>
                    <w:t>1</w:t>
                  </w:r>
                  <w:r>
                    <w:rPr>
                      <w:rFonts w:hint="eastAsia"/>
                      <w:color w:val="auto"/>
                      <w:sz w:val="21"/>
                      <w:szCs w:val="21"/>
                      <w:highlight w:val="none"/>
                      <w:lang w:val="en-US" w:eastAsia="zh-CN"/>
                    </w:rPr>
                    <w:t>、二噁英、苯并[a]芘、氰化物、氯气且厂界外500米范围内有环境空气保护目标</w:t>
                  </w:r>
                  <w:r>
                    <w:rPr>
                      <w:rFonts w:hint="eastAsia" w:ascii="Times New Roman" w:hAnsi="Times New Roman" w:eastAsia="宋体" w:cs="Times New Roman"/>
                      <w:color w:val="auto"/>
                      <w:sz w:val="21"/>
                      <w:szCs w:val="21"/>
                      <w:highlight w:val="none"/>
                      <w:vertAlign w:val="superscript"/>
                      <w:lang w:val="en-US" w:eastAsia="zh-CN"/>
                    </w:rPr>
                    <w:t>2</w:t>
                  </w:r>
                  <w:r>
                    <w:rPr>
                      <w:rFonts w:hint="eastAsia"/>
                      <w:color w:val="auto"/>
                      <w:sz w:val="21"/>
                      <w:szCs w:val="21"/>
                      <w:highlight w:val="none"/>
                      <w:lang w:val="en-US" w:eastAsia="zh-CN"/>
                    </w:rPr>
                    <w:t>的建设项目</w:t>
                  </w:r>
                </w:p>
              </w:tc>
              <w:tc>
                <w:tcPr>
                  <w:tcW w:w="1869" w:type="pct"/>
                  <w:tcBorders>
                    <w:tl2br w:val="nil"/>
                    <w:tr2bl w:val="nil"/>
                  </w:tcBorders>
                  <w:noWrap w:val="0"/>
                  <w:vAlign w:val="center"/>
                </w:tcPr>
                <w:p w14:paraId="26C9E71C">
                  <w:pPr>
                    <w:bidi w:val="0"/>
                    <w:jc w:val="center"/>
                    <w:rPr>
                      <w:rFonts w:hint="default"/>
                      <w:color w:val="auto"/>
                      <w:sz w:val="21"/>
                      <w:szCs w:val="21"/>
                      <w:highlight w:val="none"/>
                      <w:lang w:val="en-US" w:eastAsia="zh-CN"/>
                    </w:rPr>
                  </w:pPr>
                  <w:r>
                    <w:rPr>
                      <w:rFonts w:hint="default"/>
                      <w:color w:val="auto"/>
                      <w:highlight w:val="none"/>
                      <w:lang w:val="en-US" w:eastAsia="zh-CN"/>
                    </w:rPr>
                    <w:t>本项目</w:t>
                  </w:r>
                  <w:r>
                    <w:rPr>
                      <w:rFonts w:hint="eastAsia"/>
                      <w:color w:val="auto"/>
                      <w:highlight w:val="none"/>
                      <w:lang w:val="en-US" w:eastAsia="zh-CN"/>
                    </w:rPr>
                    <w:t>不</w:t>
                  </w:r>
                  <w:r>
                    <w:rPr>
                      <w:rFonts w:hint="default"/>
                      <w:color w:val="auto"/>
                      <w:highlight w:val="none"/>
                      <w:lang w:val="en-US" w:eastAsia="zh-CN"/>
                    </w:rPr>
                    <w:t>涉及</w:t>
                  </w:r>
                  <w:r>
                    <w:rPr>
                      <w:rFonts w:hint="eastAsia"/>
                      <w:color w:val="auto"/>
                      <w:sz w:val="21"/>
                      <w:szCs w:val="21"/>
                      <w:highlight w:val="none"/>
                      <w:lang w:val="en-US" w:eastAsia="zh-CN"/>
                    </w:rPr>
                    <w:t>有毒有害污染物</w:t>
                  </w:r>
                  <w:r>
                    <w:rPr>
                      <w:rFonts w:hint="eastAsia" w:ascii="Times New Roman" w:hAnsi="Times New Roman" w:eastAsia="宋体" w:cs="Times New Roman"/>
                      <w:color w:val="auto"/>
                      <w:sz w:val="21"/>
                      <w:szCs w:val="21"/>
                      <w:highlight w:val="none"/>
                      <w:vertAlign w:val="superscript"/>
                      <w:lang w:val="en-US" w:eastAsia="zh-CN"/>
                    </w:rPr>
                    <w:t>1</w:t>
                  </w:r>
                  <w:r>
                    <w:rPr>
                      <w:rFonts w:hint="eastAsia"/>
                      <w:color w:val="auto"/>
                      <w:sz w:val="21"/>
                      <w:szCs w:val="21"/>
                      <w:highlight w:val="none"/>
                      <w:lang w:val="en-US" w:eastAsia="zh-CN"/>
                    </w:rPr>
                    <w:t>、二噁英、苯并[a]芘、氰化物、氯气</w:t>
                  </w:r>
                </w:p>
              </w:tc>
              <w:tc>
                <w:tcPr>
                  <w:tcW w:w="592" w:type="pct"/>
                  <w:tcBorders>
                    <w:tl2br w:val="nil"/>
                    <w:tr2bl w:val="nil"/>
                  </w:tcBorders>
                  <w:noWrap w:val="0"/>
                  <w:vAlign w:val="center"/>
                </w:tcPr>
                <w:p w14:paraId="43A8DBA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不需要设置专项</w:t>
                  </w:r>
                </w:p>
              </w:tc>
            </w:tr>
            <w:tr w14:paraId="26F9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4" w:type="pct"/>
                  <w:tcBorders>
                    <w:tl2br w:val="nil"/>
                    <w:tr2bl w:val="nil"/>
                  </w:tcBorders>
                  <w:noWrap w:val="0"/>
                  <w:vAlign w:val="center"/>
                </w:tcPr>
                <w:p w14:paraId="0161F452">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地表水</w:t>
                  </w:r>
                </w:p>
              </w:tc>
              <w:tc>
                <w:tcPr>
                  <w:tcW w:w="1883" w:type="pct"/>
                  <w:tcBorders>
                    <w:tl2br w:val="nil"/>
                    <w:tr2bl w:val="nil"/>
                  </w:tcBorders>
                  <w:noWrap w:val="0"/>
                  <w:vAlign w:val="center"/>
                </w:tcPr>
                <w:p w14:paraId="26970DE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新增工业废水直排建设项目（槽罐车外送污水处理厂的除外）；新增废水直排的污水集中处理厂</w:t>
                  </w:r>
                </w:p>
              </w:tc>
              <w:tc>
                <w:tcPr>
                  <w:tcW w:w="1869" w:type="pct"/>
                  <w:tcBorders>
                    <w:tl2br w:val="nil"/>
                    <w:tr2bl w:val="nil"/>
                  </w:tcBorders>
                  <w:noWrap w:val="0"/>
                  <w:vAlign w:val="center"/>
                </w:tcPr>
                <w:p w14:paraId="5A3A546D">
                  <w:pPr>
                    <w:bidi w:val="0"/>
                    <w:jc w:val="center"/>
                    <w:rPr>
                      <w:rFonts w:hint="default"/>
                      <w:color w:val="auto"/>
                      <w:sz w:val="21"/>
                      <w:szCs w:val="21"/>
                      <w:highlight w:val="none"/>
                      <w:lang w:val="en-US" w:eastAsia="zh-CN"/>
                    </w:rPr>
                  </w:pPr>
                  <w:r>
                    <w:rPr>
                      <w:rFonts w:hint="default"/>
                      <w:color w:val="auto"/>
                      <w:sz w:val="21"/>
                      <w:szCs w:val="21"/>
                      <w:highlight w:val="none"/>
                      <w:lang w:val="en-US" w:eastAsia="zh-CN"/>
                    </w:rPr>
                    <w:t>本项目废水经处理后排入</w:t>
                  </w:r>
                  <w:r>
                    <w:rPr>
                      <w:rFonts w:hint="eastAsia"/>
                      <w:color w:val="auto"/>
                      <w:sz w:val="21"/>
                      <w:szCs w:val="21"/>
                      <w:highlight w:val="none"/>
                      <w:lang w:val="en-US" w:eastAsia="zh-CN"/>
                    </w:rPr>
                    <w:t>宿州市循环经济示范园</w:t>
                  </w:r>
                  <w:r>
                    <w:rPr>
                      <w:rFonts w:hint="default"/>
                      <w:color w:val="auto"/>
                      <w:sz w:val="21"/>
                      <w:szCs w:val="21"/>
                      <w:highlight w:val="none"/>
                      <w:lang w:val="en-US" w:eastAsia="zh-CN"/>
                    </w:rPr>
                    <w:t>污水处理厂，属于间接排放</w:t>
                  </w:r>
                </w:p>
              </w:tc>
              <w:tc>
                <w:tcPr>
                  <w:tcW w:w="592" w:type="pct"/>
                  <w:tcBorders>
                    <w:tl2br w:val="nil"/>
                    <w:tr2bl w:val="nil"/>
                  </w:tcBorders>
                  <w:noWrap w:val="0"/>
                  <w:vAlign w:val="center"/>
                </w:tcPr>
                <w:p w14:paraId="1E8C9A86">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不需要设置专项</w:t>
                  </w:r>
                </w:p>
              </w:tc>
            </w:tr>
            <w:tr w14:paraId="1011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4" w:type="pct"/>
                  <w:tcBorders>
                    <w:tl2br w:val="nil"/>
                    <w:tr2bl w:val="nil"/>
                  </w:tcBorders>
                  <w:noWrap w:val="0"/>
                  <w:vAlign w:val="center"/>
                </w:tcPr>
                <w:p w14:paraId="47A23881">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环境</w:t>
                  </w:r>
                </w:p>
                <w:p w14:paraId="66F31FA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风险</w:t>
                  </w:r>
                </w:p>
              </w:tc>
              <w:tc>
                <w:tcPr>
                  <w:tcW w:w="1883" w:type="pct"/>
                  <w:tcBorders>
                    <w:tl2br w:val="nil"/>
                    <w:tr2bl w:val="nil"/>
                  </w:tcBorders>
                  <w:noWrap w:val="0"/>
                  <w:vAlign w:val="center"/>
                </w:tcPr>
                <w:p w14:paraId="3B39732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有毒有害和易燃易爆危险物质存储量超过临界量</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的建设项目</w:t>
                  </w:r>
                </w:p>
              </w:tc>
              <w:tc>
                <w:tcPr>
                  <w:tcW w:w="1869" w:type="pct"/>
                  <w:tcBorders>
                    <w:tl2br w:val="nil"/>
                    <w:tr2bl w:val="nil"/>
                  </w:tcBorders>
                  <w:noWrap w:val="0"/>
                  <w:vAlign w:val="center"/>
                </w:tcPr>
                <w:p w14:paraId="1036FAEB">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本项目</w:t>
                  </w:r>
                  <w:r>
                    <w:rPr>
                      <w:rFonts w:hint="default"/>
                      <w:color w:val="auto"/>
                      <w:sz w:val="21"/>
                      <w:szCs w:val="21"/>
                      <w:highlight w:val="none"/>
                      <w:lang w:val="en-US" w:eastAsia="zh-CN"/>
                    </w:rPr>
                    <w:t>风险物质全厂的最大存在量未超过《建设项目环境风险评价技术导则》（HJ169-2018）表 B.1 突发环境事件风险物质的临界量</w:t>
                  </w:r>
                </w:p>
              </w:tc>
              <w:tc>
                <w:tcPr>
                  <w:tcW w:w="592" w:type="pct"/>
                  <w:tcBorders>
                    <w:tl2br w:val="nil"/>
                    <w:tr2bl w:val="nil"/>
                  </w:tcBorders>
                  <w:noWrap w:val="0"/>
                  <w:vAlign w:val="center"/>
                </w:tcPr>
                <w:p w14:paraId="5F16BB55">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不需要设置专项</w:t>
                  </w:r>
                </w:p>
              </w:tc>
            </w:tr>
            <w:tr w14:paraId="66E2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4" w:type="pct"/>
                  <w:tcBorders>
                    <w:tl2br w:val="nil"/>
                    <w:tr2bl w:val="nil"/>
                  </w:tcBorders>
                  <w:noWrap w:val="0"/>
                  <w:vAlign w:val="center"/>
                </w:tcPr>
                <w:p w14:paraId="24BBB15E">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生态</w:t>
                  </w:r>
                </w:p>
              </w:tc>
              <w:tc>
                <w:tcPr>
                  <w:tcW w:w="1883" w:type="pct"/>
                  <w:tcBorders>
                    <w:tl2br w:val="nil"/>
                    <w:tr2bl w:val="nil"/>
                  </w:tcBorders>
                  <w:noWrap w:val="0"/>
                  <w:vAlign w:val="center"/>
                </w:tcPr>
                <w:p w14:paraId="3B44326C">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取水口下游500米范围内有重要水生生物的自然产卵场、索饵场、越冬场和洄游通道的新增河道取水的污染类建设项目</w:t>
                  </w:r>
                </w:p>
              </w:tc>
              <w:tc>
                <w:tcPr>
                  <w:tcW w:w="1869" w:type="pct"/>
                  <w:tcBorders>
                    <w:tl2br w:val="nil"/>
                    <w:tr2bl w:val="nil"/>
                  </w:tcBorders>
                  <w:noWrap w:val="0"/>
                  <w:vAlign w:val="center"/>
                </w:tcPr>
                <w:p w14:paraId="58202274">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本项目不涉及</w:t>
                  </w:r>
                </w:p>
              </w:tc>
              <w:tc>
                <w:tcPr>
                  <w:tcW w:w="592" w:type="pct"/>
                  <w:tcBorders>
                    <w:tl2br w:val="nil"/>
                    <w:tr2bl w:val="nil"/>
                  </w:tcBorders>
                  <w:noWrap w:val="0"/>
                  <w:vAlign w:val="center"/>
                </w:tcPr>
                <w:p w14:paraId="2DA127F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不需要设置专项</w:t>
                  </w:r>
                </w:p>
              </w:tc>
            </w:tr>
            <w:tr w14:paraId="5F08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tcBorders>
                    <w:tl2br w:val="nil"/>
                    <w:tr2bl w:val="nil"/>
                  </w:tcBorders>
                  <w:noWrap w:val="0"/>
                  <w:vAlign w:val="center"/>
                </w:tcPr>
                <w:p w14:paraId="1C95D427">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注：1.废气中有毒有害污染物指纳入《有毒有害大气污染物名录》的污染物（不包括无排放标准的污染物）。2.环境空气保护目标指自然保护区、风景名胜区、居住区、文化区和农村地区中人群较集中的区域。3.临界量及其计算方法可参考《建设项目环境风险评价技术导则》（HJ169）附录B、附录C。</w:t>
                  </w:r>
                </w:p>
              </w:tc>
            </w:tr>
          </w:tbl>
          <w:p w14:paraId="72494D66">
            <w:pPr>
              <w:autoSpaceDE w:val="0"/>
              <w:autoSpaceDN w:val="0"/>
              <w:adjustRightInd w:val="0"/>
              <w:snapToGrid w:val="0"/>
              <w:spacing w:line="288" w:lineRule="auto"/>
              <w:ind w:firstLine="480" w:firstLineChars="200"/>
              <w:jc w:val="left"/>
              <w:rPr>
                <w:color w:val="auto"/>
                <w:kern w:val="0"/>
                <w:sz w:val="24"/>
                <w:highlight w:val="none"/>
              </w:rPr>
            </w:pPr>
            <w:r>
              <w:rPr>
                <w:rFonts w:hint="eastAsia"/>
                <w:color w:val="auto"/>
                <w:sz w:val="24"/>
                <w:szCs w:val="32"/>
                <w:highlight w:val="none"/>
                <w:lang w:val="en-US" w:eastAsia="zh-CN"/>
              </w:rPr>
              <w:t>因此本项目不需要设置专项评价</w:t>
            </w:r>
            <w:r>
              <w:rPr>
                <w:rFonts w:hint="eastAsia"/>
                <w:color w:val="auto"/>
                <w:highlight w:val="none"/>
                <w:lang w:val="en-US" w:eastAsia="zh-CN"/>
              </w:rPr>
              <w:t>。</w:t>
            </w:r>
          </w:p>
        </w:tc>
      </w:tr>
      <w:tr w14:paraId="68AF6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769" w:type="dxa"/>
            <w:vAlign w:val="center"/>
          </w:tcPr>
          <w:p w14:paraId="645ED25D">
            <w:pPr>
              <w:autoSpaceDE w:val="0"/>
              <w:autoSpaceDN w:val="0"/>
              <w:adjustRightInd w:val="0"/>
              <w:snapToGrid w:val="0"/>
              <w:jc w:val="center"/>
              <w:rPr>
                <w:b/>
                <w:bCs/>
                <w:color w:val="auto"/>
                <w:kern w:val="0"/>
                <w:sz w:val="24"/>
                <w:highlight w:val="none"/>
              </w:rPr>
            </w:pPr>
            <w:r>
              <w:rPr>
                <w:b/>
                <w:bCs/>
                <w:color w:val="auto"/>
                <w:sz w:val="24"/>
                <w:highlight w:val="none"/>
              </w:rPr>
              <w:t>规划情况</w:t>
            </w:r>
          </w:p>
        </w:tc>
        <w:tc>
          <w:tcPr>
            <w:tcW w:w="7787" w:type="dxa"/>
            <w:gridSpan w:val="3"/>
            <w:vAlign w:val="center"/>
          </w:tcPr>
          <w:p w14:paraId="58739814">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highlight w:val="none"/>
                <w:lang w:eastAsia="zh-CN"/>
              </w:rPr>
            </w:pPr>
            <w:r>
              <w:rPr>
                <w:rFonts w:hint="eastAsia"/>
                <w:color w:val="auto"/>
                <w:sz w:val="24"/>
                <w:szCs w:val="32"/>
                <w:highlight w:val="none"/>
                <w:lang w:eastAsia="zh-CN"/>
              </w:rPr>
              <w:t>无</w:t>
            </w:r>
          </w:p>
        </w:tc>
      </w:tr>
      <w:tr w14:paraId="3DCA0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9" w:type="dxa"/>
            <w:vAlign w:val="center"/>
          </w:tcPr>
          <w:p w14:paraId="5BDBF85E">
            <w:pPr>
              <w:adjustRightInd w:val="0"/>
              <w:snapToGrid w:val="0"/>
              <w:jc w:val="center"/>
              <w:rPr>
                <w:b/>
                <w:bCs/>
                <w:color w:val="auto"/>
                <w:kern w:val="0"/>
                <w:sz w:val="24"/>
                <w:highlight w:val="none"/>
              </w:rPr>
            </w:pPr>
            <w:r>
              <w:rPr>
                <w:b/>
                <w:bCs/>
                <w:color w:val="auto"/>
                <w:sz w:val="24"/>
                <w:highlight w:val="none"/>
              </w:rPr>
              <w:t>规划环境影响评价情况</w:t>
            </w:r>
          </w:p>
        </w:tc>
        <w:tc>
          <w:tcPr>
            <w:tcW w:w="7787" w:type="dxa"/>
            <w:gridSpan w:val="3"/>
            <w:vAlign w:val="center"/>
          </w:tcPr>
          <w:p w14:paraId="764C6D8B">
            <w:pPr>
              <w:bidi w:val="0"/>
              <w:jc w:val="center"/>
              <w:rPr>
                <w:color w:val="auto"/>
                <w:highlight w:val="none"/>
              </w:rPr>
            </w:pPr>
            <w:r>
              <w:rPr>
                <w:color w:val="auto"/>
                <w:highlight w:val="none"/>
              </w:rPr>
              <w:t>无</w:t>
            </w:r>
          </w:p>
        </w:tc>
      </w:tr>
      <w:tr w14:paraId="76CC9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9" w:type="dxa"/>
            <w:vAlign w:val="center"/>
          </w:tcPr>
          <w:p w14:paraId="2031E9C5">
            <w:pPr>
              <w:autoSpaceDE w:val="0"/>
              <w:autoSpaceDN w:val="0"/>
              <w:adjustRightInd w:val="0"/>
              <w:snapToGrid w:val="0"/>
              <w:ind w:left="-84" w:leftChars="-40" w:right="-84" w:rightChars="-40"/>
              <w:jc w:val="center"/>
              <w:rPr>
                <w:color w:val="auto"/>
                <w:kern w:val="0"/>
                <w:sz w:val="24"/>
                <w:highlight w:val="none"/>
              </w:rPr>
            </w:pPr>
            <w:r>
              <w:rPr>
                <w:b/>
                <w:bCs/>
                <w:color w:val="auto"/>
                <w:kern w:val="0"/>
                <w:sz w:val="24"/>
                <w:highlight w:val="none"/>
              </w:rPr>
              <w:t>规划及规划环境影响评价符合性分析</w:t>
            </w:r>
          </w:p>
        </w:tc>
        <w:tc>
          <w:tcPr>
            <w:tcW w:w="7787" w:type="dxa"/>
            <w:gridSpan w:val="3"/>
            <w:vAlign w:val="center"/>
          </w:tcPr>
          <w:p w14:paraId="774A7C27">
            <w:pPr>
              <w:spacing w:line="360" w:lineRule="auto"/>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无</w:t>
            </w:r>
          </w:p>
        </w:tc>
      </w:tr>
      <w:tr w14:paraId="3C214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69" w:type="dxa"/>
            <w:vAlign w:val="center"/>
          </w:tcPr>
          <w:p w14:paraId="0F6F9763">
            <w:pPr>
              <w:autoSpaceDE w:val="0"/>
              <w:autoSpaceDN w:val="0"/>
              <w:adjustRightInd w:val="0"/>
              <w:snapToGrid w:val="0"/>
              <w:spacing w:line="360" w:lineRule="auto"/>
              <w:jc w:val="center"/>
              <w:rPr>
                <w:b/>
                <w:color w:val="auto"/>
                <w:kern w:val="0"/>
                <w:sz w:val="24"/>
                <w:highlight w:val="none"/>
              </w:rPr>
            </w:pPr>
            <w:r>
              <w:rPr>
                <w:b/>
                <w:color w:val="auto"/>
                <w:kern w:val="0"/>
                <w:sz w:val="24"/>
                <w:highlight w:val="none"/>
              </w:rPr>
              <w:t>其他符合性</w:t>
            </w:r>
          </w:p>
          <w:p w14:paraId="724F6A65">
            <w:pPr>
              <w:autoSpaceDE w:val="0"/>
              <w:autoSpaceDN w:val="0"/>
              <w:adjustRightInd w:val="0"/>
              <w:snapToGrid w:val="0"/>
              <w:spacing w:line="360" w:lineRule="auto"/>
              <w:jc w:val="center"/>
              <w:rPr>
                <w:b/>
                <w:color w:val="auto"/>
                <w:kern w:val="0"/>
                <w:sz w:val="24"/>
                <w:highlight w:val="none"/>
              </w:rPr>
            </w:pPr>
            <w:r>
              <w:rPr>
                <w:b/>
                <w:color w:val="auto"/>
                <w:kern w:val="0"/>
                <w:sz w:val="24"/>
                <w:highlight w:val="none"/>
              </w:rPr>
              <w:t>分析</w:t>
            </w:r>
          </w:p>
        </w:tc>
        <w:tc>
          <w:tcPr>
            <w:tcW w:w="7787" w:type="dxa"/>
            <w:gridSpan w:val="3"/>
            <w:vAlign w:val="center"/>
          </w:tcPr>
          <w:p w14:paraId="33FABC4E">
            <w:pPr>
              <w:spacing w:line="360" w:lineRule="auto"/>
              <w:rPr>
                <w:b/>
                <w:color w:val="auto"/>
                <w:sz w:val="24"/>
                <w:highlight w:val="none"/>
              </w:rPr>
            </w:pPr>
            <w:r>
              <w:rPr>
                <w:b/>
                <w:color w:val="auto"/>
                <w:sz w:val="24"/>
                <w:highlight w:val="none"/>
              </w:rPr>
              <w:t>1、产业政策符合性分析</w:t>
            </w:r>
          </w:p>
          <w:p w14:paraId="5E74F259">
            <w:pPr>
              <w:autoSpaceDE w:val="0"/>
              <w:autoSpaceDN w:val="0"/>
              <w:adjustRightInd w:val="0"/>
              <w:snapToGrid w:val="0"/>
              <w:spacing w:line="360" w:lineRule="auto"/>
              <w:ind w:firstLine="480" w:firstLineChars="200"/>
              <w:jc w:val="left"/>
              <w:rPr>
                <w:color w:val="auto"/>
                <w:sz w:val="24"/>
                <w:highlight w:val="none"/>
              </w:rPr>
            </w:pPr>
            <w:r>
              <w:rPr>
                <w:rFonts w:hint="eastAsia"/>
                <w:color w:val="auto"/>
                <w:sz w:val="24"/>
                <w:szCs w:val="32"/>
                <w:highlight w:val="none"/>
              </w:rPr>
              <w:t>根据《产业结构调整指导目录（2024年本）》，本项目属于允许类。</w:t>
            </w:r>
            <w:r>
              <w:rPr>
                <w:color w:val="auto"/>
                <w:sz w:val="24"/>
                <w:highlight w:val="none"/>
              </w:rPr>
              <w:t>根据《国民经济行业分类》（GB/T4754-2017），本</w:t>
            </w:r>
            <w:r>
              <w:rPr>
                <w:rFonts w:hint="eastAsia"/>
                <w:color w:val="auto"/>
                <w:sz w:val="24"/>
                <w:szCs w:val="32"/>
                <w:highlight w:val="none"/>
              </w:rPr>
              <w:t>项目主要进行包装</w:t>
            </w:r>
            <w:r>
              <w:rPr>
                <w:rFonts w:hint="eastAsia"/>
                <w:color w:val="auto"/>
                <w:sz w:val="24"/>
                <w:szCs w:val="32"/>
                <w:highlight w:val="none"/>
                <w:lang w:eastAsia="zh-CN"/>
              </w:rPr>
              <w:t>纯净水</w:t>
            </w:r>
            <w:r>
              <w:rPr>
                <w:rFonts w:hint="eastAsia"/>
                <w:color w:val="auto"/>
                <w:sz w:val="24"/>
                <w:szCs w:val="32"/>
                <w:highlight w:val="none"/>
              </w:rPr>
              <w:t>生产，</w:t>
            </w:r>
            <w:r>
              <w:rPr>
                <w:rFonts w:hint="eastAsia"/>
                <w:color w:val="auto"/>
                <w:sz w:val="24"/>
                <w:szCs w:val="32"/>
                <w:highlight w:val="none"/>
                <w:lang w:eastAsia="zh-CN"/>
              </w:rPr>
              <w:t>属于C1522</w:t>
            </w:r>
            <w:r>
              <w:rPr>
                <w:rFonts w:hint="eastAsia"/>
                <w:color w:val="auto"/>
                <w:sz w:val="24"/>
                <w:szCs w:val="32"/>
                <w:highlight w:val="none"/>
                <w:lang w:val="en-US" w:eastAsia="zh-CN"/>
              </w:rPr>
              <w:t xml:space="preserve"> </w:t>
            </w:r>
            <w:r>
              <w:rPr>
                <w:rFonts w:hint="eastAsia"/>
                <w:color w:val="auto"/>
                <w:sz w:val="24"/>
                <w:szCs w:val="32"/>
                <w:highlight w:val="none"/>
                <w:lang w:eastAsia="zh-CN"/>
              </w:rPr>
              <w:t>瓶（罐）装饮用水制造，</w:t>
            </w:r>
            <w:r>
              <w:rPr>
                <w:rFonts w:hint="eastAsia"/>
                <w:color w:val="auto"/>
                <w:sz w:val="24"/>
                <w:szCs w:val="32"/>
                <w:highlight w:val="none"/>
              </w:rPr>
              <w:t>目前已通过了</w:t>
            </w:r>
            <w:r>
              <w:rPr>
                <w:rFonts w:hint="eastAsia"/>
                <w:color w:val="auto"/>
                <w:sz w:val="24"/>
                <w:szCs w:val="32"/>
                <w:highlight w:val="none"/>
                <w:lang w:eastAsia="zh-CN"/>
              </w:rPr>
              <w:t>埇桥区</w:t>
            </w:r>
            <w:r>
              <w:rPr>
                <w:rFonts w:hint="eastAsia"/>
                <w:color w:val="auto"/>
                <w:sz w:val="24"/>
                <w:szCs w:val="32"/>
                <w:highlight w:val="none"/>
              </w:rPr>
              <w:t>发展和改革局备案。</w:t>
            </w:r>
            <w:r>
              <w:rPr>
                <w:color w:val="auto"/>
                <w:sz w:val="24"/>
                <w:highlight w:val="none"/>
              </w:rPr>
              <w:t>因此，项目符合国家产业政策要求</w:t>
            </w:r>
            <w:r>
              <w:rPr>
                <w:rFonts w:hint="eastAsia"/>
                <w:color w:val="auto"/>
                <w:kern w:val="24"/>
                <w:sz w:val="24"/>
                <w:highlight w:val="none"/>
              </w:rPr>
              <w:t>。</w:t>
            </w:r>
          </w:p>
          <w:p w14:paraId="1AD200A3">
            <w:pPr>
              <w:spacing w:line="360" w:lineRule="auto"/>
              <w:rPr>
                <w:b/>
                <w:color w:val="auto"/>
                <w:sz w:val="24"/>
                <w:highlight w:val="none"/>
              </w:rPr>
            </w:pPr>
            <w:r>
              <w:rPr>
                <w:rFonts w:hint="eastAsia"/>
                <w:b/>
                <w:color w:val="auto"/>
                <w:sz w:val="24"/>
                <w:highlight w:val="none"/>
              </w:rPr>
              <w:t>2</w:t>
            </w:r>
            <w:r>
              <w:rPr>
                <w:b/>
                <w:color w:val="auto"/>
                <w:sz w:val="24"/>
                <w:highlight w:val="none"/>
              </w:rPr>
              <w:t>、选址环境相容性分析</w:t>
            </w:r>
          </w:p>
          <w:p w14:paraId="2DBAC2AC">
            <w:pPr>
              <w:spacing w:line="360" w:lineRule="auto"/>
              <w:ind w:firstLine="480" w:firstLineChars="200"/>
              <w:rPr>
                <w:color w:val="auto"/>
                <w:kern w:val="0"/>
                <w:sz w:val="24"/>
                <w:highlight w:val="none"/>
              </w:rPr>
            </w:pPr>
            <w:r>
              <w:rPr>
                <w:color w:val="auto"/>
                <w:sz w:val="24"/>
                <w:highlight w:val="none"/>
              </w:rPr>
              <w:t>本项目选址位于</w:t>
            </w:r>
            <w:r>
              <w:rPr>
                <w:color w:val="auto"/>
                <w:sz w:val="24"/>
                <w:szCs w:val="32"/>
                <w:highlight w:val="none"/>
              </w:rPr>
              <w:t>宿州市埇桥区</w:t>
            </w:r>
            <w:r>
              <w:rPr>
                <w:rFonts w:hint="eastAsia"/>
                <w:color w:val="auto"/>
                <w:sz w:val="24"/>
                <w:szCs w:val="32"/>
                <w:highlight w:val="none"/>
                <w:lang w:eastAsia="zh-CN"/>
              </w:rPr>
              <w:t>朱仙庄镇镇西村</w:t>
            </w:r>
            <w:r>
              <w:rPr>
                <w:color w:val="auto"/>
                <w:sz w:val="24"/>
                <w:highlight w:val="none"/>
              </w:rPr>
              <w:t>。</w:t>
            </w:r>
            <w:r>
              <w:rPr>
                <w:color w:val="auto"/>
                <w:kern w:val="0"/>
                <w:sz w:val="24"/>
                <w:highlight w:val="none"/>
              </w:rPr>
              <w:t>对照国土资源部、国家发改委关于发布实施的《限制用地项目目录（2012年本）》和《禁止用地项目目录（2012年本）》，本项目不在限制用地项目目录和禁止用地项目目录内。</w:t>
            </w:r>
          </w:p>
          <w:p w14:paraId="33ACF09D">
            <w:pPr>
              <w:spacing w:line="360" w:lineRule="auto"/>
              <w:ind w:firstLine="480" w:firstLineChars="200"/>
              <w:rPr>
                <w:color w:val="auto"/>
                <w:sz w:val="24"/>
                <w:highlight w:val="none"/>
              </w:rPr>
            </w:pPr>
            <w:r>
              <w:rPr>
                <w:rFonts w:hint="eastAsia"/>
                <w:color w:val="auto"/>
                <w:sz w:val="24"/>
                <w:highlight w:val="none"/>
              </w:rPr>
              <w:t>项目</w:t>
            </w:r>
            <w:r>
              <w:rPr>
                <w:rFonts w:hint="eastAsia"/>
                <w:color w:val="auto"/>
                <w:sz w:val="24"/>
                <w:highlight w:val="none"/>
                <w:lang w:eastAsia="zh-CN"/>
              </w:rPr>
              <w:t>东</w:t>
            </w:r>
            <w:r>
              <w:rPr>
                <w:rFonts w:hint="eastAsia"/>
                <w:color w:val="auto"/>
                <w:sz w:val="24"/>
                <w:highlight w:val="none"/>
              </w:rPr>
              <w:t>侧为</w:t>
            </w:r>
            <w:r>
              <w:rPr>
                <w:rFonts w:hint="eastAsia"/>
                <w:color w:val="auto"/>
                <w:sz w:val="24"/>
                <w:highlight w:val="none"/>
                <w:lang w:eastAsia="zh-CN"/>
              </w:rPr>
              <w:t>农田，北侧为葡萄大棚，西侧和南侧为零散房屋</w:t>
            </w:r>
            <w:r>
              <w:rPr>
                <w:rFonts w:hint="eastAsia"/>
                <w:color w:val="auto"/>
                <w:sz w:val="24"/>
                <w:highlight w:val="none"/>
              </w:rPr>
              <w:t>，根据项目土地证，项目用地为工业用地，见附件4。</w:t>
            </w:r>
            <w:r>
              <w:rPr>
                <w:bCs/>
                <w:color w:val="auto"/>
                <w:kern w:val="0"/>
                <w:sz w:val="24"/>
                <w:highlight w:val="none"/>
              </w:rPr>
              <w:t>本项目厂区</w:t>
            </w:r>
            <w:r>
              <w:rPr>
                <w:color w:val="auto"/>
                <w:sz w:val="24"/>
                <w:highlight w:val="none"/>
              </w:rPr>
              <w:t>靠近</w:t>
            </w:r>
            <w:r>
              <w:rPr>
                <w:rFonts w:hint="eastAsia"/>
                <w:color w:val="auto"/>
                <w:sz w:val="24"/>
                <w:highlight w:val="none"/>
                <w:lang w:val="en-US" w:eastAsia="zh-CN"/>
              </w:rPr>
              <w:t>3</w:t>
            </w:r>
            <w:r>
              <w:rPr>
                <w:rFonts w:hint="eastAsia"/>
                <w:color w:val="auto"/>
                <w:sz w:val="24"/>
                <w:highlight w:val="none"/>
              </w:rPr>
              <w:t>06</w:t>
            </w:r>
            <w:r>
              <w:rPr>
                <w:rFonts w:hint="eastAsia"/>
                <w:color w:val="auto"/>
                <w:sz w:val="24"/>
                <w:highlight w:val="none"/>
                <w:lang w:eastAsia="zh-CN"/>
              </w:rPr>
              <w:t>省</w:t>
            </w:r>
            <w:r>
              <w:rPr>
                <w:color w:val="auto"/>
                <w:sz w:val="24"/>
                <w:highlight w:val="none"/>
              </w:rPr>
              <w:t>道，</w:t>
            </w:r>
            <w:r>
              <w:rPr>
                <w:bCs/>
                <w:color w:val="auto"/>
                <w:kern w:val="0"/>
                <w:sz w:val="24"/>
                <w:highlight w:val="none"/>
              </w:rPr>
              <w:t>交通运输便捷；</w:t>
            </w:r>
            <w:r>
              <w:rPr>
                <w:color w:val="auto"/>
                <w:sz w:val="24"/>
                <w:highlight w:val="none"/>
              </w:rPr>
              <w:t>项目所在地周边无风景名胜区、自然保护区、国家重点文物保护区、历史文化保护地等敏感点</w:t>
            </w:r>
            <w:r>
              <w:rPr>
                <w:rFonts w:hint="eastAsia"/>
                <w:color w:val="auto"/>
                <w:sz w:val="24"/>
                <w:highlight w:val="none"/>
              </w:rPr>
              <w:t>，最近居民点为</w:t>
            </w:r>
            <w:r>
              <w:rPr>
                <w:rFonts w:hint="eastAsia"/>
                <w:color w:val="auto"/>
                <w:sz w:val="24"/>
                <w:highlight w:val="none"/>
                <w:lang w:eastAsia="zh-CN"/>
              </w:rPr>
              <w:t>西侧和南侧的零散房屋</w:t>
            </w:r>
            <w:r>
              <w:rPr>
                <w:rFonts w:hint="eastAsia"/>
                <w:color w:val="auto"/>
                <w:sz w:val="24"/>
                <w:highlight w:val="none"/>
              </w:rPr>
              <w:t>，本项目对其影响较小</w:t>
            </w:r>
            <w:r>
              <w:rPr>
                <w:color w:val="auto"/>
                <w:sz w:val="24"/>
                <w:highlight w:val="none"/>
              </w:rPr>
              <w:t>。本项目废气污染物进行收集处理，废水排</w:t>
            </w:r>
            <w:r>
              <w:rPr>
                <w:rFonts w:hint="eastAsia"/>
                <w:color w:val="auto"/>
                <w:sz w:val="24"/>
                <w:highlight w:val="none"/>
                <w:lang w:eastAsia="zh-CN"/>
              </w:rPr>
              <w:t>入宿州市循环经济示范园污水处理厂</w:t>
            </w:r>
            <w:r>
              <w:rPr>
                <w:color w:val="auto"/>
                <w:sz w:val="24"/>
                <w:highlight w:val="none"/>
              </w:rPr>
              <w:t>，采取降噪措施，固废均进行妥善处理处置，在采取相应污染防治措施并且各项污染物达标排放的前提下，</w:t>
            </w:r>
            <w:r>
              <w:rPr>
                <w:rStyle w:val="46"/>
                <w:color w:val="auto"/>
                <w:kern w:val="0"/>
                <w:sz w:val="24"/>
                <w:highlight w:val="none"/>
              </w:rPr>
              <w:t>污染物排放</w:t>
            </w:r>
            <w:r>
              <w:rPr>
                <w:color w:val="auto"/>
                <w:sz w:val="24"/>
                <w:highlight w:val="none"/>
              </w:rPr>
              <w:t>对周围环境影响较小。项目所在地地质条件良好，其周围地表水、大气、声环境的环境质量现状均能满足相应的环境质量标准要求。因此建设项目选址是可行的。</w:t>
            </w:r>
          </w:p>
          <w:p w14:paraId="25BE0EEB">
            <w:pPr>
              <w:spacing w:line="360" w:lineRule="auto"/>
              <w:rPr>
                <w:b/>
                <w:bCs/>
                <w:color w:val="auto"/>
                <w:sz w:val="24"/>
                <w:highlight w:val="none"/>
              </w:rPr>
            </w:pPr>
            <w:r>
              <w:rPr>
                <w:b/>
                <w:color w:val="auto"/>
                <w:sz w:val="24"/>
                <w:highlight w:val="none"/>
              </w:rPr>
              <w:t>4、</w:t>
            </w:r>
            <w:r>
              <w:rPr>
                <w:b/>
                <w:bCs/>
                <w:color w:val="auto"/>
                <w:sz w:val="24"/>
                <w:highlight w:val="none"/>
              </w:rPr>
              <w:t>与</w:t>
            </w:r>
            <w:r>
              <w:rPr>
                <w:rFonts w:hint="eastAsia"/>
                <w:b/>
                <w:bCs/>
                <w:color w:val="auto"/>
                <w:sz w:val="24"/>
                <w:highlight w:val="none"/>
                <w:lang w:eastAsia="zh-CN"/>
              </w:rPr>
              <w:t>宿州</w:t>
            </w:r>
            <w:r>
              <w:rPr>
                <w:b/>
                <w:bCs/>
                <w:color w:val="auto"/>
                <w:sz w:val="24"/>
                <w:highlight w:val="none"/>
              </w:rPr>
              <w:t>市</w:t>
            </w:r>
            <w:r>
              <w:rPr>
                <w:rFonts w:hint="eastAsia"/>
                <w:b/>
                <w:bCs/>
                <w:color w:val="auto"/>
                <w:sz w:val="24"/>
                <w:highlight w:val="none"/>
              </w:rPr>
              <w:t>生态环境分区管控要求</w:t>
            </w:r>
            <w:r>
              <w:rPr>
                <w:b/>
                <w:bCs/>
                <w:color w:val="auto"/>
                <w:sz w:val="24"/>
                <w:highlight w:val="none"/>
              </w:rPr>
              <w:t>相符性分析</w:t>
            </w:r>
          </w:p>
          <w:p w14:paraId="0C1F25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32"/>
                <w:highlight w:val="none"/>
                <w:lang w:eastAsia="zh-CN"/>
              </w:rPr>
            </w:pPr>
            <w:r>
              <w:rPr>
                <w:rFonts w:hint="eastAsia"/>
                <w:color w:val="auto"/>
                <w:sz w:val="24"/>
                <w:szCs w:val="32"/>
                <w:highlight w:val="none"/>
                <w:lang w:val="en-US" w:eastAsia="zh-CN"/>
              </w:rPr>
              <w:t>1）与</w:t>
            </w:r>
            <w:r>
              <w:rPr>
                <w:color w:val="auto"/>
                <w:sz w:val="24"/>
                <w:szCs w:val="32"/>
                <w:highlight w:val="none"/>
              </w:rPr>
              <w:t>生态</w:t>
            </w:r>
            <w:r>
              <w:rPr>
                <w:rFonts w:hint="eastAsia"/>
                <w:color w:val="auto"/>
                <w:sz w:val="24"/>
                <w:szCs w:val="32"/>
                <w:highlight w:val="none"/>
              </w:rPr>
              <w:t>红线</w:t>
            </w:r>
            <w:r>
              <w:rPr>
                <w:rFonts w:hint="eastAsia"/>
                <w:color w:val="auto"/>
                <w:sz w:val="24"/>
                <w:szCs w:val="32"/>
                <w:highlight w:val="none"/>
                <w:lang w:eastAsia="zh-CN"/>
              </w:rPr>
              <w:t>区域保护规划的相符性</w:t>
            </w:r>
          </w:p>
          <w:p w14:paraId="106500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32"/>
                <w:highlight w:val="none"/>
              </w:rPr>
            </w:pPr>
            <w:r>
              <w:rPr>
                <w:color w:val="auto"/>
                <w:sz w:val="24"/>
                <w:szCs w:val="32"/>
                <w:highlight w:val="none"/>
              </w:rPr>
              <w:t>本项目位于</w:t>
            </w:r>
            <w:r>
              <w:rPr>
                <w:rFonts w:hint="eastAsia"/>
                <w:color w:val="auto"/>
                <w:sz w:val="24"/>
                <w:szCs w:val="32"/>
                <w:highlight w:val="none"/>
              </w:rPr>
              <w:t>安徽省</w:t>
            </w:r>
            <w:r>
              <w:rPr>
                <w:rFonts w:hint="eastAsia"/>
                <w:color w:val="auto"/>
                <w:sz w:val="24"/>
                <w:szCs w:val="32"/>
                <w:highlight w:val="none"/>
                <w:lang w:eastAsia="zh-CN"/>
              </w:rPr>
              <w:t>宿州市埇桥区朱仙庄镇镇西村</w:t>
            </w:r>
            <w:r>
              <w:rPr>
                <w:color w:val="auto"/>
                <w:sz w:val="24"/>
                <w:szCs w:val="32"/>
                <w:highlight w:val="none"/>
              </w:rPr>
              <w:t>，用地性质为工业用地，厂区周边无自然保护区、饮用水源保护区等生态保护目标，根据与最新“三区三线”成果分析，本项目选址不位于生态保护红线内，根据《安徽省生态红线区域划定方案》、《</w:t>
            </w:r>
            <w:r>
              <w:rPr>
                <w:rFonts w:hint="eastAsia"/>
                <w:color w:val="auto"/>
                <w:sz w:val="24"/>
                <w:szCs w:val="32"/>
                <w:highlight w:val="none"/>
                <w:lang w:eastAsia="zh-CN"/>
              </w:rPr>
              <w:t>宿州市</w:t>
            </w:r>
            <w:r>
              <w:rPr>
                <w:color w:val="auto"/>
                <w:sz w:val="24"/>
                <w:szCs w:val="32"/>
                <w:highlight w:val="none"/>
              </w:rPr>
              <w:t>生态</w:t>
            </w:r>
            <w:r>
              <w:rPr>
                <w:rFonts w:hint="eastAsia"/>
                <w:color w:val="auto"/>
                <w:sz w:val="24"/>
                <w:szCs w:val="32"/>
                <w:highlight w:val="none"/>
                <w:lang w:eastAsia="zh-CN"/>
              </w:rPr>
              <w:t>空间</w:t>
            </w:r>
            <w:r>
              <w:rPr>
                <w:color w:val="auto"/>
                <w:sz w:val="24"/>
                <w:szCs w:val="32"/>
                <w:highlight w:val="none"/>
              </w:rPr>
              <w:t>》，本项目不在国家级和省级禁止开发区域、以及其他有必要严格保护的各类保护地，符合生态保护红线要求。</w:t>
            </w:r>
          </w:p>
          <w:p w14:paraId="558D8D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32"/>
                <w:highlight w:val="none"/>
                <w:lang w:eastAsia="zh-CN"/>
              </w:rPr>
            </w:pPr>
            <w:r>
              <w:rPr>
                <w:color w:val="auto"/>
                <w:sz w:val="24"/>
                <w:szCs w:val="32"/>
                <w:highlight w:val="none"/>
              </w:rPr>
              <w:t>2）</w:t>
            </w:r>
            <w:r>
              <w:rPr>
                <w:rFonts w:hint="eastAsia"/>
                <w:color w:val="auto"/>
                <w:sz w:val="24"/>
                <w:szCs w:val="32"/>
                <w:highlight w:val="none"/>
              </w:rPr>
              <w:t>分区管控</w:t>
            </w:r>
            <w:r>
              <w:rPr>
                <w:rFonts w:hint="eastAsia"/>
                <w:color w:val="auto"/>
                <w:sz w:val="24"/>
                <w:szCs w:val="32"/>
                <w:highlight w:val="none"/>
                <w:lang w:eastAsia="zh-CN"/>
              </w:rPr>
              <w:t>相符性</w:t>
            </w:r>
          </w:p>
          <w:p w14:paraId="6B86DA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根据安徽省三线一单成果，全省建立“1+5+16+N”的四级清单管控体系。省级建立并发布省级清单、区域清单；初步确定市级清单，制作管控单元清单模板，市级清单、管控单元清单在市级“三线一单”编制过程中进一步细化。</w:t>
            </w:r>
          </w:p>
          <w:p w14:paraId="746EBA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lang w:eastAsia="zh-CN"/>
              </w:rPr>
              <w:t>根据安徽省"三线一单"公众服务平台，经与“三线一单”成果数据分析，与</w:t>
            </w:r>
            <w:r>
              <w:rPr>
                <w:rFonts w:hint="default"/>
                <w:color w:val="auto"/>
                <w:sz w:val="24"/>
                <w:szCs w:val="32"/>
                <w:highlight w:val="none"/>
                <w:lang w:val="en-US" w:eastAsia="zh-CN"/>
              </w:rPr>
              <w:t>1</w:t>
            </w:r>
            <w:r>
              <w:rPr>
                <w:rFonts w:hint="default"/>
                <w:color w:val="auto"/>
                <w:sz w:val="24"/>
                <w:szCs w:val="32"/>
                <w:highlight w:val="none"/>
                <w:lang w:eastAsia="zh-CN"/>
              </w:rPr>
              <w:t>个环境管控单元存在交叠，其中优先保护类</w:t>
            </w:r>
            <w:r>
              <w:rPr>
                <w:rFonts w:hint="default"/>
                <w:color w:val="auto"/>
                <w:sz w:val="24"/>
                <w:szCs w:val="32"/>
                <w:highlight w:val="none"/>
                <w:lang w:val="en-US" w:eastAsia="zh-CN"/>
              </w:rPr>
              <w:t>0</w:t>
            </w:r>
            <w:r>
              <w:rPr>
                <w:rFonts w:hint="default"/>
                <w:color w:val="auto"/>
                <w:sz w:val="24"/>
                <w:szCs w:val="32"/>
                <w:highlight w:val="none"/>
                <w:lang w:eastAsia="zh-CN"/>
              </w:rPr>
              <w:t>个，重点管控类</w:t>
            </w:r>
            <w:r>
              <w:rPr>
                <w:rFonts w:hint="default"/>
                <w:color w:val="auto"/>
                <w:sz w:val="24"/>
                <w:szCs w:val="32"/>
                <w:highlight w:val="none"/>
                <w:lang w:val="en-US" w:eastAsia="zh-CN"/>
              </w:rPr>
              <w:t>1</w:t>
            </w:r>
            <w:r>
              <w:rPr>
                <w:rFonts w:hint="default"/>
                <w:color w:val="auto"/>
                <w:sz w:val="24"/>
                <w:szCs w:val="32"/>
                <w:highlight w:val="none"/>
                <w:lang w:eastAsia="zh-CN"/>
              </w:rPr>
              <w:t>个，一般管控类</w:t>
            </w:r>
            <w:r>
              <w:rPr>
                <w:rFonts w:hint="default"/>
                <w:color w:val="auto"/>
                <w:sz w:val="24"/>
                <w:szCs w:val="32"/>
                <w:highlight w:val="none"/>
                <w:lang w:val="en-US" w:eastAsia="zh-CN"/>
              </w:rPr>
              <w:t>0</w:t>
            </w:r>
            <w:r>
              <w:rPr>
                <w:rFonts w:hint="default"/>
                <w:color w:val="auto"/>
                <w:sz w:val="24"/>
                <w:szCs w:val="32"/>
                <w:highlight w:val="none"/>
                <w:lang w:eastAsia="zh-CN"/>
              </w:rPr>
              <w:t>个，重点管控单元编号编码为</w:t>
            </w:r>
            <w:r>
              <w:rPr>
                <w:rFonts w:hint="default"/>
                <w:color w:val="auto"/>
                <w:sz w:val="24"/>
                <w:szCs w:val="32"/>
                <w:highlight w:val="none"/>
                <w:lang w:val="en-US" w:eastAsia="zh-CN"/>
              </w:rPr>
              <w:t>ZH34130220013</w:t>
            </w:r>
            <w:r>
              <w:rPr>
                <w:rFonts w:hint="default"/>
                <w:color w:val="auto"/>
                <w:sz w:val="24"/>
                <w:szCs w:val="32"/>
                <w:highlight w:val="none"/>
              </w:rPr>
              <w:t>。本项目在安徽省综合管控单元中的位置见附图</w:t>
            </w:r>
            <w:r>
              <w:rPr>
                <w:rFonts w:hint="eastAsia"/>
                <w:color w:val="auto"/>
                <w:sz w:val="24"/>
                <w:szCs w:val="32"/>
                <w:highlight w:val="none"/>
                <w:lang w:val="en-US" w:eastAsia="zh-CN"/>
              </w:rPr>
              <w:t>2</w:t>
            </w:r>
            <w:r>
              <w:rPr>
                <w:rFonts w:hint="default"/>
                <w:color w:val="auto"/>
                <w:sz w:val="24"/>
                <w:szCs w:val="32"/>
                <w:highlight w:val="none"/>
              </w:rPr>
              <w:t>。</w:t>
            </w:r>
          </w:p>
          <w:p w14:paraId="72E9ABCD">
            <w:pPr>
              <w:spacing w:line="240" w:lineRule="auto"/>
              <w:jc w:val="center"/>
              <w:rPr>
                <w:color w:val="auto"/>
                <w:sz w:val="24"/>
                <w:highlight w:val="none"/>
              </w:rPr>
            </w:pPr>
            <w:r>
              <w:rPr>
                <w:rFonts w:hint="default" w:ascii="Times New Roman" w:hAnsi="Times New Roman" w:cs="Times New Roman"/>
                <w:b/>
                <w:bCs/>
                <w:color w:val="auto"/>
                <w:sz w:val="24"/>
                <w:highlight w:val="none"/>
                <w:lang w:eastAsia="zh-CN"/>
              </w:rPr>
              <w:t>表</w:t>
            </w:r>
            <w:r>
              <w:rPr>
                <w:rFonts w:hint="default" w:ascii="Times New Roman" w:hAnsi="Times New Roman" w:cs="Times New Roman"/>
                <w:b/>
                <w:bCs/>
                <w:color w:val="auto"/>
                <w:sz w:val="24"/>
                <w:highlight w:val="none"/>
                <w:lang w:val="en-US" w:eastAsia="zh-CN"/>
              </w:rPr>
              <w:t>1-</w:t>
            </w:r>
            <w:r>
              <w:rPr>
                <w:rFonts w:hint="eastAsia" w:cs="Times New Roman"/>
                <w:b/>
                <w:bCs/>
                <w:color w:val="auto"/>
                <w:sz w:val="24"/>
                <w:highlight w:val="none"/>
                <w:lang w:val="en-US" w:eastAsia="zh-CN"/>
              </w:rPr>
              <w:t>2</w:t>
            </w:r>
            <w:r>
              <w:rPr>
                <w:rFonts w:hint="default" w:ascii="Times New Roman" w:hAnsi="Times New Roman" w:cs="Times New Roman"/>
                <w:b/>
                <w:bCs/>
                <w:color w:val="auto"/>
                <w:sz w:val="24"/>
                <w:highlight w:val="none"/>
                <w:lang w:val="en-US" w:eastAsia="zh-CN"/>
              </w:rPr>
              <w:t xml:space="preserve"> 与管控单元的符合性分析</w:t>
            </w:r>
          </w:p>
          <w:tbl>
            <w:tblPr>
              <w:tblStyle w:val="4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058"/>
              <w:gridCol w:w="4462"/>
              <w:gridCol w:w="957"/>
            </w:tblGrid>
            <w:tr w14:paraId="139E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noWrap w:val="0"/>
                  <w:vAlign w:val="center"/>
                </w:tcPr>
                <w:p w14:paraId="6B1258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环境管控单元分类/区域管控要求</w:t>
                  </w:r>
                </w:p>
              </w:tc>
              <w:tc>
                <w:tcPr>
                  <w:tcW w:w="700" w:type="pct"/>
                  <w:noWrap w:val="0"/>
                  <w:vAlign w:val="center"/>
                </w:tcPr>
                <w:p w14:paraId="5758C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管控类别</w:t>
                  </w:r>
                </w:p>
              </w:tc>
              <w:tc>
                <w:tcPr>
                  <w:tcW w:w="2952" w:type="pct"/>
                  <w:noWrap w:val="0"/>
                  <w:vAlign w:val="center"/>
                </w:tcPr>
                <w:p w14:paraId="0C1BC7DF">
                  <w:pPr>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管控要求</w:t>
                  </w:r>
                </w:p>
              </w:tc>
              <w:tc>
                <w:tcPr>
                  <w:tcW w:w="633" w:type="pct"/>
                  <w:noWrap w:val="0"/>
                  <w:vAlign w:val="center"/>
                </w:tcPr>
                <w:p w14:paraId="1929D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本项目情况</w:t>
                  </w:r>
                </w:p>
              </w:tc>
            </w:tr>
            <w:tr w14:paraId="1032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noWrap w:val="0"/>
                  <w:vAlign w:val="center"/>
                </w:tcPr>
                <w:p w14:paraId="410BEC70">
                  <w:pPr>
                    <w:bidi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环境管控单元管控要求-重点管控</w:t>
                  </w:r>
                </w:p>
              </w:tc>
              <w:tc>
                <w:tcPr>
                  <w:tcW w:w="700" w:type="pct"/>
                  <w:noWrap w:val="0"/>
                  <w:vAlign w:val="center"/>
                </w:tcPr>
                <w:p w14:paraId="399A20E0">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空间布局约束</w:t>
                  </w:r>
                </w:p>
              </w:tc>
              <w:tc>
                <w:tcPr>
                  <w:tcW w:w="2952" w:type="pct"/>
                  <w:noWrap w:val="0"/>
                  <w:vAlign w:val="center"/>
                </w:tcPr>
                <w:p w14:paraId="1C4292BA">
                  <w:pPr>
                    <w:bidi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严格城市规划蓝线管理，城市规划区范围内应保留一定比例的水域面积，现有水域面积不得减少。新建项目一律不得违规占用水域。2落实磷石膏综合利用途径，综合利用不畅的可利用现有磷石膏库堆存，不得新建、扩建磷石膏库(暂存场除外)。3坚持以水定城、以水定地、以水定人、以水定产，严格控制缺水地区、水污染严重地区和敏感区域高耗水、高污染行业发展，鼓励推动高耗水企业向水资源条件允许的工业园区集中。4引导石化、化工、钢铁、建材、有色金属等重点行业合理布局，提高化</w:t>
                  </w:r>
                </w:p>
                <w:p w14:paraId="0A1ADE0B">
                  <w:pPr>
                    <w:bidi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有色金属、农副食品加工、印染、制革、原料药制造、电镀等行业集聚水平。5严格控制缺水地区、水污染严重地区和敏感区域高耗水、高污染行业发展，鼓励推动高耗水企业向水资源条件允许的工业园区集中。6新建、扩建磷化工项目应布设在依法合规设立的化工园区或具有化工定位的产业园区内，所在化工园区或产业园区应依法开展规划环境影响评价工作，磷化工建设项目应符合园区规划及规划环评要求。7持续开展涉水“散乱污”企业清理整治，严把能耗、环保等标准，促使一批达不到标准或淘汰类产能的企业，依法依规关停退出。8推动污染企业退出。城市建成区内现有钢铁、有色金属、造纸、印染、原料药制造、化工等污染较重的企业应有序搬迁改造或依法关闭。10国家禁止新建不符合国家产业政策的小型造纸、制革、印染、染料、炼焦、炼硫、炼砷、炼汞、炼油、电镀、农药、石棉、水泥、玻璃、钢铁、火电以及其他严重污染水环境的生产项目。禁止开发建设活动的要求:1在城市城区及其近郊禁止新建、扩建钢铁、有色、石化、水泥、化工等重污染企业。2禁止新建燃料类煤气发生炉（园区现有企业统一建设的清洁煤制气中心除外）。3严禁新增钢铁、焦化、电解铝、铸造、水泥和平板玻璃等产能；严格执行钢铁、水泥、平板玻璃等行业产能置换实施办法。4严格执行国家关于“两高”产业准入目录和产能总量控制政策措施。严禁新增钢铁、焦化、电解铝、铸造、水泥和平板玻璃等产能；新、改、扩建涉及大宗物料运输的建设项目，原则上不得采用公路运输。9严格控制新增“两高”项目审批，认真分析评估拟建项目必要性、可行性和对产业高质量发展、能耗双控、碳排放和环境质量的影响，严格审查项目是否符合产业政策、产业规划、“三线一单”、规划环评要求，是否依法依规落实产能置换、能耗置换、煤炭消费减量替代、污染物排放区域削减等要求。对已建成投产的存量“两高”项目，有节能减排潜力的加快改造升级，属于落后产能的加快淘汰。10禁止建设生产和使用高挥发性有机物含量涂料、油墨、胶粘剂、清洗剂等项目。11禁止新建不符合国家规定的燃煤发电机组、燃油发电机组和燃煤热电机组。12禁止新建、扩建分散燃煤供热锅炉。13在城市规划区内禁止新建、扩建大气污染严重的建设项目。20严禁钢铁、水泥、电解铝、平板玻璃等行业新增产能，对确有必要新建的必须实施等量或减量置换。21禁止淘汰落后类的产业进入开发区</w:t>
                  </w:r>
                  <w:r>
                    <w:rPr>
                      <w:rFonts w:hint="eastAsia" w:cs="Times New Roman"/>
                      <w:color w:val="auto"/>
                      <w:sz w:val="21"/>
                      <w:szCs w:val="21"/>
                      <w:highlight w:val="none"/>
                      <w:lang w:val="en-US" w:eastAsia="zh-CN"/>
                    </w:rPr>
                    <w:t>。</w:t>
                  </w:r>
                </w:p>
              </w:tc>
              <w:tc>
                <w:tcPr>
                  <w:tcW w:w="633" w:type="pct"/>
                  <w:noWrap w:val="0"/>
                  <w:vAlign w:val="center"/>
                </w:tcPr>
                <w:p w14:paraId="7C2BB1BE">
                  <w:pPr>
                    <w:adjustRightInd w:val="0"/>
                    <w:snapToGrid w:val="0"/>
                    <w:jc w:val="center"/>
                    <w:rPr>
                      <w:rFonts w:hint="eastAsia"/>
                      <w:color w:val="auto"/>
                      <w:sz w:val="21"/>
                      <w:szCs w:val="21"/>
                      <w:highlight w:val="none"/>
                    </w:rPr>
                  </w:pPr>
                  <w:r>
                    <w:rPr>
                      <w:rFonts w:hint="eastAsia" w:cs="Times New Roman"/>
                      <w:color w:val="auto"/>
                      <w:sz w:val="21"/>
                      <w:szCs w:val="21"/>
                      <w:highlight w:val="none"/>
                      <w:lang w:val="en-US" w:eastAsia="zh-CN"/>
                    </w:rPr>
                    <w:t>本项目为</w:t>
                  </w:r>
                  <w:r>
                    <w:rPr>
                      <w:rFonts w:hint="eastAsia"/>
                      <w:color w:val="auto"/>
                      <w:sz w:val="21"/>
                      <w:szCs w:val="21"/>
                      <w:highlight w:val="none"/>
                    </w:rPr>
                    <w:t>C1522瓶（罐）装饮用</w:t>
                  </w:r>
                </w:p>
                <w:p w14:paraId="5D9FD0D7">
                  <w:pPr>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color w:val="auto"/>
                      <w:sz w:val="21"/>
                      <w:szCs w:val="21"/>
                      <w:highlight w:val="none"/>
                    </w:rPr>
                    <w:t>水制造</w:t>
                  </w:r>
                  <w:r>
                    <w:rPr>
                      <w:rFonts w:hint="eastAsia"/>
                      <w:color w:val="auto"/>
                      <w:sz w:val="21"/>
                      <w:szCs w:val="21"/>
                      <w:highlight w:val="none"/>
                      <w:lang w:eastAsia="zh-CN"/>
                    </w:rPr>
                    <w:t>，不属于</w:t>
                  </w:r>
                  <w:r>
                    <w:rPr>
                      <w:rFonts w:hint="default" w:ascii="Times New Roman" w:hAnsi="Times New Roman" w:eastAsia="宋体" w:cs="Times New Roman"/>
                      <w:color w:val="auto"/>
                      <w:sz w:val="21"/>
                      <w:szCs w:val="21"/>
                      <w:highlight w:val="none"/>
                      <w:lang w:val="en-US" w:eastAsia="zh-CN"/>
                    </w:rPr>
                    <w:t>石化、化工、钢铁、建材、有色金属等重点行业</w:t>
                  </w:r>
                  <w:r>
                    <w:rPr>
                      <w:rFonts w:hint="eastAsia" w:ascii="Times New Roman" w:hAnsi="Times New Roman" w:eastAsia="宋体" w:cs="Times New Roman"/>
                      <w:color w:val="auto"/>
                      <w:sz w:val="21"/>
                      <w:szCs w:val="21"/>
                      <w:highlight w:val="none"/>
                      <w:lang w:val="en-US" w:eastAsia="zh-CN"/>
                    </w:rPr>
                    <w:t>，不属于“两高”项目。不</w:t>
                  </w:r>
                  <w:r>
                    <w:rPr>
                      <w:rFonts w:hint="default" w:ascii="Times New Roman" w:hAnsi="Times New Roman" w:eastAsia="宋体" w:cs="Times New Roman"/>
                      <w:color w:val="auto"/>
                      <w:sz w:val="21"/>
                      <w:szCs w:val="21"/>
                      <w:highlight w:val="none"/>
                      <w:lang w:val="en-US" w:eastAsia="zh-CN"/>
                    </w:rPr>
                    <w:t>生产和使用高挥发性有机物含量涂料、油墨、胶粘剂、清洗剂等</w:t>
                  </w:r>
                  <w:r>
                    <w:rPr>
                      <w:rFonts w:hint="eastAsia" w:ascii="Times New Roman" w:hAnsi="Times New Roman" w:eastAsia="宋体" w:cs="Times New Roman"/>
                      <w:color w:val="auto"/>
                      <w:sz w:val="21"/>
                      <w:szCs w:val="21"/>
                      <w:highlight w:val="none"/>
                      <w:lang w:val="en-US" w:eastAsia="zh-CN"/>
                    </w:rPr>
                    <w:t>。</w:t>
                  </w:r>
                </w:p>
              </w:tc>
            </w:tr>
            <w:tr w14:paraId="160A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noWrap w:val="0"/>
                  <w:vAlign w:val="center"/>
                </w:tcPr>
                <w:p w14:paraId="7603E8D0">
                  <w:pPr>
                    <w:bidi w:val="0"/>
                    <w:jc w:val="center"/>
                    <w:rPr>
                      <w:rFonts w:hint="default" w:ascii="Times New Roman" w:hAnsi="Times New Roman" w:eastAsia="宋体" w:cs="Times New Roman"/>
                      <w:color w:val="auto"/>
                      <w:sz w:val="21"/>
                      <w:szCs w:val="21"/>
                      <w:highlight w:val="none"/>
                      <w:lang w:val="en-US" w:eastAsia="zh-CN"/>
                    </w:rPr>
                  </w:pPr>
                </w:p>
              </w:tc>
              <w:tc>
                <w:tcPr>
                  <w:tcW w:w="700" w:type="pct"/>
                  <w:noWrap w:val="0"/>
                  <w:vAlign w:val="center"/>
                </w:tcPr>
                <w:p w14:paraId="06BB9C47">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污染物排放管控</w:t>
                  </w:r>
                </w:p>
              </w:tc>
              <w:tc>
                <w:tcPr>
                  <w:tcW w:w="2952" w:type="pct"/>
                  <w:noWrap w:val="0"/>
                  <w:vAlign w:val="center"/>
                </w:tcPr>
                <w:p w14:paraId="3940E79B">
                  <w:pPr>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2积极推进清洁生产审核，对焦化、有色金属、石化、化工、电镀、制革、石油开采、造纸、印染、农副食品加工等行业，全面推进清洁生产改造或清洁化改造。4专项整治十大重点行业。制定造纸、焦化、氮肥、有色金属、印染、农副食品加工、原料药制造、制革、农药、电镀等行业专项治理方案，对重点行业企业实施清洁化改造。6所有排污单位必须依法实现全面达标排放。逐一排查工业企业排污情况，达标企业应采取措施确保稳定达标；对超标和超总量的企业予以“黄牌”警示，一律限制生产或停产整治；对整治仍不能达到要求且情节严重的企业予以“红牌”处罚，一律停业、关闭。允许排放量要求:1环境空气质量持续改善，全省细颗粒物（PM2.5）浓度总体达标，基本消除重污染天气，优良天数比率进一步提升。3严格合理控制煤炭消费增长，大气污染防治重点区域内新、改、扩建用煤项目实施煤炭消费等量或减量替代。重点削减非电力用煤，各市将减煤目标按年度分解落实到重点耗煤企业，实施“一企一策”减煤诊断。4新建、改建、扩建排放重点大气污染物的项目不符合总量控制要求的，不得通过环境影响评价。区域大气污染物削减/替代要求:9全面推动挥发性有机物纳入排污许可管理。禁止建设生产和使用高挥发性有机物含量涂料、油墨、胶粘剂、清洗剂等项目。加快推进石化、化工、涂装、医药、包装印刷和油品储运销等重点行业挥发性有机物深度治理，全面提升废气收集率、治理设施同步运行率和去除率，提高水性、高固体分、无溶剂、粉末、辐射固化等低挥发性有机物含量产品的比重。加大工业涂装、包装印刷等行业低挥发性有机物含量原辅材料替代力度，严格执行涂料、油墨、胶粘剂、清洗剂挥发性有机物含量限值标准，确保生产、销售、进口、使用符合标准的产品。到2025年，溶剂型工业涂料、油墨使用比例分别降低20个、10个百分点。溶剂型胶粘剂使用量降低20%。10实行重点排放源排放浓度与去除效率双重控制。车间或生产设施收集排放的废气，VOCs初始排放速率大于等于2千克/小时的，应加大控制力度，除确保排放浓度稳定达标外，还应实行去除效率控制，去除效率不低于80%；采用的原辅材料符合国家有关低VOCs含量产品规定的除外，有行业排放标准的按其相关规定执行。11使用粉末、水性、高固体分、辐射固化等低VOCs含量的涂料替代溶剂型涂料。其他污染物排放管控要求:21强化工业企业无组织排放管理，推进挥发性有</w:t>
                  </w:r>
                </w:p>
                <w:p w14:paraId="648A6CF2">
                  <w:pPr>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机物排放综合整治，开展大气氨排放控制试点。22依法严禁秸秆露天焚烧，全面推进综合利用。</w:t>
                  </w:r>
                </w:p>
                <w:p w14:paraId="7CF99A25">
                  <w:pPr>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23深化工业污染治理，工业污染源全面达标排放，未达标排放的企业一律依法停产整治。</w:t>
                  </w:r>
                </w:p>
              </w:tc>
              <w:tc>
                <w:tcPr>
                  <w:tcW w:w="633" w:type="pct"/>
                  <w:noWrap w:val="0"/>
                  <w:vAlign w:val="center"/>
                </w:tcPr>
                <w:p w14:paraId="2EE23248">
                  <w:pPr>
                    <w:adjustRightInd w:val="0"/>
                    <w:snapToGrid w:val="0"/>
                    <w:jc w:val="center"/>
                    <w:rPr>
                      <w:rFonts w:hint="eastAsia"/>
                      <w:color w:val="auto"/>
                      <w:sz w:val="21"/>
                      <w:szCs w:val="21"/>
                      <w:highlight w:val="none"/>
                    </w:rPr>
                  </w:pPr>
                  <w:r>
                    <w:rPr>
                      <w:rFonts w:hint="eastAsia" w:cs="Times New Roman"/>
                      <w:color w:val="auto"/>
                      <w:sz w:val="21"/>
                      <w:szCs w:val="21"/>
                      <w:highlight w:val="none"/>
                      <w:lang w:val="en-US" w:eastAsia="zh-CN"/>
                    </w:rPr>
                    <w:t>本项目为</w:t>
                  </w:r>
                  <w:r>
                    <w:rPr>
                      <w:rFonts w:hint="eastAsia"/>
                      <w:color w:val="auto"/>
                      <w:sz w:val="21"/>
                      <w:szCs w:val="21"/>
                      <w:highlight w:val="none"/>
                    </w:rPr>
                    <w:t>C1522瓶（罐）装饮用</w:t>
                  </w:r>
                </w:p>
                <w:p w14:paraId="6146043F">
                  <w:pPr>
                    <w:bidi w:val="0"/>
                    <w:jc w:val="center"/>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rPr>
                    <w:t>水制造</w:t>
                  </w:r>
                  <w:r>
                    <w:rPr>
                      <w:rFonts w:hint="eastAsia"/>
                      <w:color w:val="auto"/>
                      <w:sz w:val="21"/>
                      <w:szCs w:val="21"/>
                      <w:highlight w:val="none"/>
                      <w:lang w:eastAsia="zh-CN"/>
                    </w:rPr>
                    <w:t>，</w:t>
                  </w:r>
                  <w:r>
                    <w:rPr>
                      <w:rFonts w:hint="eastAsia" w:cs="Times New Roman"/>
                      <w:color w:val="auto"/>
                      <w:sz w:val="21"/>
                      <w:szCs w:val="21"/>
                      <w:highlight w:val="none"/>
                      <w:lang w:val="en-US" w:eastAsia="zh-CN"/>
                    </w:rPr>
                    <w:t>不属于</w:t>
                  </w:r>
                  <w:r>
                    <w:rPr>
                      <w:rFonts w:hint="default" w:ascii="Times New Roman" w:hAnsi="Times New Roman" w:eastAsia="宋体" w:cs="Times New Roman"/>
                      <w:color w:val="auto"/>
                      <w:highlight w:val="none"/>
                      <w:lang w:val="en-US" w:eastAsia="zh-CN"/>
                    </w:rPr>
                    <w:t>焦化、有色金属、石化、化工、电镀、制革、石油开采、造纸、印染、农副食品加工等行业</w:t>
                  </w:r>
                  <w:r>
                    <w:rPr>
                      <w:rFonts w:hint="eastAsia" w:ascii="Times New Roman" w:hAnsi="Times New Roman" w:eastAsia="宋体" w:cs="Times New Roman"/>
                      <w:color w:val="auto"/>
                      <w:highlight w:val="none"/>
                      <w:lang w:val="en-US" w:eastAsia="zh-CN"/>
                    </w:rPr>
                    <w:t>，不使用煤炭、</w:t>
                  </w:r>
                  <w:r>
                    <w:rPr>
                      <w:rFonts w:hint="default" w:ascii="Times New Roman" w:hAnsi="Times New Roman" w:eastAsia="宋体" w:cs="Times New Roman"/>
                      <w:color w:val="auto"/>
                      <w:highlight w:val="none"/>
                      <w:lang w:val="en-US" w:eastAsia="zh-CN"/>
                    </w:rPr>
                    <w:t>高挥发性有机物含量涂料、油墨、胶粘剂、清洗剂等</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sz w:val="21"/>
                      <w:szCs w:val="21"/>
                      <w:highlight w:val="none"/>
                      <w:lang w:val="en-US" w:eastAsia="zh-CN"/>
                    </w:rPr>
                    <w:t>，废气经收集后通过二级活性炭吸附装置处置后排放，项目废水收集后排入宿州市循环经济示范园污水处理厂。</w:t>
                  </w:r>
                </w:p>
              </w:tc>
            </w:tr>
          </w:tbl>
          <w:p w14:paraId="3B3BAB9A">
            <w:pPr>
              <w:spacing w:line="360" w:lineRule="auto"/>
              <w:rPr>
                <w:color w:val="auto"/>
                <w:sz w:val="24"/>
                <w:highlight w:val="none"/>
              </w:rPr>
            </w:pPr>
            <w:r>
              <w:rPr>
                <w:b/>
                <w:color w:val="auto"/>
                <w:sz w:val="24"/>
                <w:highlight w:val="none"/>
              </w:rPr>
              <w:t>5</w:t>
            </w:r>
            <w:r>
              <w:rPr>
                <w:b/>
                <w:bCs w:val="0"/>
                <w:color w:val="auto"/>
                <w:sz w:val="24"/>
                <w:highlight w:val="none"/>
              </w:rPr>
              <w:t>、与《挥发性有机物（VOC</w:t>
            </w:r>
            <w:r>
              <w:rPr>
                <w:b/>
                <w:bCs w:val="0"/>
                <w:color w:val="auto"/>
                <w:sz w:val="24"/>
                <w:highlight w:val="none"/>
                <w:vertAlign w:val="subscript"/>
              </w:rPr>
              <w:t>S</w:t>
            </w:r>
            <w:r>
              <w:rPr>
                <w:b/>
                <w:bCs w:val="0"/>
                <w:color w:val="auto"/>
                <w:sz w:val="24"/>
                <w:highlight w:val="none"/>
              </w:rPr>
              <w:t>）污染防治技术政策》（公告2013年第31号）符合性分析</w:t>
            </w:r>
          </w:p>
          <w:p w14:paraId="6879F4B5">
            <w:pPr>
              <w:jc w:val="center"/>
              <w:rPr>
                <w:b/>
                <w:bCs/>
                <w:color w:val="auto"/>
                <w:sz w:val="24"/>
                <w:highlight w:val="none"/>
              </w:rPr>
            </w:pPr>
            <w:r>
              <w:rPr>
                <w:rFonts w:hint="eastAsia"/>
                <w:b/>
                <w:bCs/>
                <w:color w:val="auto"/>
                <w:sz w:val="24"/>
                <w:highlight w:val="none"/>
              </w:rPr>
              <w:t>表1-</w:t>
            </w:r>
            <w:r>
              <w:rPr>
                <w:rFonts w:hint="eastAsia"/>
                <w:b/>
                <w:bCs/>
                <w:color w:val="auto"/>
                <w:sz w:val="24"/>
                <w:highlight w:val="none"/>
                <w:lang w:val="en-US" w:eastAsia="zh-CN"/>
              </w:rPr>
              <w:t>3</w:t>
            </w:r>
            <w:r>
              <w:rPr>
                <w:rFonts w:hint="eastAsia"/>
                <w:b/>
                <w:bCs/>
                <w:color w:val="auto"/>
                <w:sz w:val="24"/>
                <w:highlight w:val="none"/>
              </w:rPr>
              <w:t xml:space="preserve"> </w:t>
            </w:r>
            <w:r>
              <w:rPr>
                <w:b/>
                <w:bCs/>
                <w:color w:val="auto"/>
                <w:sz w:val="24"/>
                <w:highlight w:val="none"/>
              </w:rPr>
              <w:t>与《挥发性有机物（VOC</w:t>
            </w:r>
            <w:r>
              <w:rPr>
                <w:rFonts w:hint="eastAsia"/>
                <w:b/>
                <w:bCs/>
                <w:color w:val="auto"/>
                <w:sz w:val="24"/>
                <w:highlight w:val="none"/>
              </w:rPr>
              <w:t>s</w:t>
            </w:r>
            <w:r>
              <w:rPr>
                <w:b/>
                <w:bCs/>
                <w:color w:val="auto"/>
                <w:sz w:val="24"/>
                <w:highlight w:val="none"/>
              </w:rPr>
              <w:t>）污染防治技术政策》符合性分析</w:t>
            </w:r>
          </w:p>
          <w:tbl>
            <w:tblPr>
              <w:tblStyle w:val="39"/>
              <w:tblW w:w="498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740"/>
              <w:gridCol w:w="2102"/>
              <w:gridCol w:w="684"/>
            </w:tblGrid>
            <w:tr w14:paraId="48320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149" w:type="pct"/>
                  <w:vAlign w:val="center"/>
                </w:tcPr>
                <w:p w14:paraId="58272B8F">
                  <w:pPr>
                    <w:keepNext w:val="0"/>
                    <w:keepLines w:val="0"/>
                    <w:pageBreakBefore w:val="0"/>
                    <w:widowControl w:val="0"/>
                    <w:kinsoku/>
                    <w:wordWrap/>
                    <w:overflowPunct/>
                    <w:topLinePunct w:val="0"/>
                    <w:autoSpaceDE w:val="0"/>
                    <w:autoSpaceDN w:val="0"/>
                    <w:bidi w:val="0"/>
                    <w:adjustRightInd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政策要求</w:t>
                  </w:r>
                </w:p>
              </w:tc>
              <w:tc>
                <w:tcPr>
                  <w:tcW w:w="1396" w:type="pct"/>
                  <w:vAlign w:val="center"/>
                </w:tcPr>
                <w:p w14:paraId="19635DE0">
                  <w:pPr>
                    <w:keepNext w:val="0"/>
                    <w:keepLines w:val="0"/>
                    <w:pageBreakBefore w:val="0"/>
                    <w:widowControl w:val="0"/>
                    <w:kinsoku/>
                    <w:wordWrap/>
                    <w:overflowPunct/>
                    <w:topLinePunct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本项目情况</w:t>
                  </w:r>
                </w:p>
              </w:tc>
              <w:tc>
                <w:tcPr>
                  <w:tcW w:w="454" w:type="pct"/>
                  <w:vAlign w:val="center"/>
                </w:tcPr>
                <w:p w14:paraId="74AAAE4E">
                  <w:pPr>
                    <w:keepNext w:val="0"/>
                    <w:keepLines w:val="0"/>
                    <w:pageBreakBefore w:val="0"/>
                    <w:widowControl w:val="0"/>
                    <w:kinsoku/>
                    <w:wordWrap/>
                    <w:overflowPunct/>
                    <w:topLinePunct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符合性</w:t>
                  </w:r>
                </w:p>
              </w:tc>
            </w:tr>
            <w:tr w14:paraId="5AB74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149" w:type="pct"/>
                  <w:vAlign w:val="center"/>
                </w:tcPr>
                <w:p w14:paraId="6B6242EF">
                  <w:pPr>
                    <w:keepNext w:val="0"/>
                    <w:keepLines w:val="0"/>
                    <w:pageBreakBefore w:val="0"/>
                    <w:widowControl w:val="0"/>
                    <w:kinsoku/>
                    <w:wordWrap/>
                    <w:overflowPunct/>
                    <w:topLinePunct w:val="0"/>
                    <w:autoSpaceDE w:val="0"/>
                    <w:autoSpaceDN w:val="0"/>
                    <w:bidi w:val="0"/>
                    <w:adjustRightInd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对生产装置排放的含VOCs工艺排气宜优先回收利用，不能（或不能完全）回收利用的经处理后达标排放；应急情况下的泄放气可导入燃烧塔（火炬），经过充分燃烧后排放</w:t>
                  </w:r>
                </w:p>
              </w:tc>
              <w:tc>
                <w:tcPr>
                  <w:tcW w:w="1396" w:type="pct"/>
                  <w:vMerge w:val="restart"/>
                  <w:vAlign w:val="center"/>
                </w:tcPr>
                <w:p w14:paraId="54274705">
                  <w:pPr>
                    <w:keepNext w:val="0"/>
                    <w:keepLines w:val="0"/>
                    <w:pageBreakBefore w:val="0"/>
                    <w:widowControl w:val="0"/>
                    <w:kinsoku/>
                    <w:wordWrap/>
                    <w:overflowPunct/>
                    <w:topLinePunct w:val="0"/>
                    <w:autoSpaceDE w:val="0"/>
                    <w:autoSpaceDN w:val="0"/>
                    <w:bidi w:val="0"/>
                    <w:adjustRightInd w:val="0"/>
                    <w:snapToGrid/>
                    <w:ind w:left="0" w:leftChars="0" w:right="0" w:rightChars="0" w:firstLine="0" w:firstLineChars="0"/>
                    <w:jc w:val="center"/>
                    <w:textAlignment w:val="auto"/>
                    <w:rPr>
                      <w:rFonts w:hint="eastAsia" w:eastAsia="宋体"/>
                      <w:color w:val="auto"/>
                      <w:sz w:val="21"/>
                      <w:szCs w:val="21"/>
                      <w:highlight w:val="none"/>
                      <w:lang w:eastAsia="zh-CN"/>
                    </w:rPr>
                  </w:pPr>
                  <w:r>
                    <w:rPr>
                      <w:rFonts w:hint="eastAsia"/>
                      <w:color w:val="auto"/>
                      <w:sz w:val="21"/>
                      <w:szCs w:val="21"/>
                      <w:highlight w:val="none"/>
                      <w:lang w:eastAsia="zh-CN"/>
                    </w:rPr>
                    <w:t>本项目吹瓶产生的有机废气经集气罩收集后通过二级活性炭吸附装置处理后排放</w:t>
                  </w:r>
                </w:p>
              </w:tc>
              <w:tc>
                <w:tcPr>
                  <w:tcW w:w="454" w:type="pct"/>
                  <w:vMerge w:val="restart"/>
                  <w:vAlign w:val="center"/>
                </w:tcPr>
                <w:p w14:paraId="0C1F2433">
                  <w:pPr>
                    <w:keepNext w:val="0"/>
                    <w:keepLines w:val="0"/>
                    <w:pageBreakBefore w:val="0"/>
                    <w:widowControl w:val="0"/>
                    <w:kinsoku/>
                    <w:wordWrap/>
                    <w:overflowPunct/>
                    <w:topLinePunct w:val="0"/>
                    <w:autoSpaceDE w:val="0"/>
                    <w:autoSpaceDN w:val="0"/>
                    <w:bidi w:val="0"/>
                    <w:adjustRightInd w:val="0"/>
                    <w:snapToGrid/>
                    <w:ind w:left="0" w:leftChars="0" w:right="0" w:rightChars="0" w:firstLine="0" w:firstLineChars="0"/>
                    <w:jc w:val="center"/>
                    <w:textAlignment w:val="auto"/>
                    <w:rPr>
                      <w:rFonts w:hint="eastAsia" w:eastAsia="宋体"/>
                      <w:color w:val="auto"/>
                      <w:sz w:val="21"/>
                      <w:szCs w:val="21"/>
                      <w:highlight w:val="none"/>
                      <w:lang w:eastAsia="zh-CN"/>
                    </w:rPr>
                  </w:pPr>
                  <w:r>
                    <w:rPr>
                      <w:rFonts w:hint="eastAsia"/>
                      <w:color w:val="auto"/>
                      <w:sz w:val="21"/>
                      <w:szCs w:val="21"/>
                      <w:highlight w:val="none"/>
                      <w:lang w:eastAsia="zh-CN"/>
                    </w:rPr>
                    <w:t>符合</w:t>
                  </w:r>
                </w:p>
              </w:tc>
            </w:tr>
            <w:tr w14:paraId="61F90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149" w:type="pct"/>
                  <w:vAlign w:val="center"/>
                </w:tcPr>
                <w:p w14:paraId="5820EB1C">
                  <w:pPr>
                    <w:keepNext w:val="0"/>
                    <w:keepLines w:val="0"/>
                    <w:pageBreakBefore w:val="0"/>
                    <w:widowControl w:val="0"/>
                    <w:kinsoku/>
                    <w:wordWrap/>
                    <w:overflowPunct/>
                    <w:topLinePunct w:val="0"/>
                    <w:autoSpaceDE w:val="0"/>
                    <w:autoSpaceDN w:val="0"/>
                    <w:bidi w:val="0"/>
                    <w:adjustRightInd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过程控制：含VOCs产品的使用过程中，应采取废气收集措施，提高废气收集效率，减少废气的无组织排放和散逸，并对收集后的废气进行回收或处理后达标排放</w:t>
                  </w:r>
                </w:p>
              </w:tc>
              <w:tc>
                <w:tcPr>
                  <w:tcW w:w="1396" w:type="pct"/>
                  <w:vMerge w:val="continue"/>
                  <w:vAlign w:val="center"/>
                </w:tcPr>
                <w:p w14:paraId="237A11A9">
                  <w:pPr>
                    <w:keepNext w:val="0"/>
                    <w:keepLines w:val="0"/>
                    <w:pageBreakBefore w:val="0"/>
                    <w:widowControl w:val="0"/>
                    <w:kinsoku/>
                    <w:wordWrap/>
                    <w:overflowPunct/>
                    <w:topLinePunct w:val="0"/>
                    <w:autoSpaceDE w:val="0"/>
                    <w:autoSpaceDN w:val="0"/>
                    <w:bidi w:val="0"/>
                    <w:adjustRightInd w:val="0"/>
                    <w:snapToGrid/>
                    <w:ind w:left="0" w:leftChars="0" w:right="0" w:rightChars="0" w:firstLine="0" w:firstLineChars="0"/>
                    <w:jc w:val="center"/>
                    <w:textAlignment w:val="auto"/>
                    <w:rPr>
                      <w:color w:val="auto"/>
                      <w:sz w:val="21"/>
                      <w:szCs w:val="21"/>
                      <w:highlight w:val="none"/>
                    </w:rPr>
                  </w:pPr>
                </w:p>
              </w:tc>
              <w:tc>
                <w:tcPr>
                  <w:tcW w:w="454" w:type="pct"/>
                  <w:vMerge w:val="continue"/>
                  <w:vAlign w:val="center"/>
                </w:tcPr>
                <w:p w14:paraId="0E76F3F9">
                  <w:pPr>
                    <w:keepNext w:val="0"/>
                    <w:keepLines w:val="0"/>
                    <w:pageBreakBefore w:val="0"/>
                    <w:widowControl w:val="0"/>
                    <w:kinsoku/>
                    <w:wordWrap/>
                    <w:overflowPunct/>
                    <w:topLinePunct w:val="0"/>
                    <w:autoSpaceDE w:val="0"/>
                    <w:autoSpaceDN w:val="0"/>
                    <w:bidi w:val="0"/>
                    <w:adjustRightInd w:val="0"/>
                    <w:snapToGrid/>
                    <w:ind w:left="0" w:leftChars="0" w:right="0" w:rightChars="0" w:firstLine="0" w:firstLineChars="0"/>
                    <w:jc w:val="center"/>
                    <w:textAlignment w:val="auto"/>
                    <w:rPr>
                      <w:color w:val="auto"/>
                      <w:sz w:val="21"/>
                      <w:szCs w:val="21"/>
                      <w:highlight w:val="none"/>
                    </w:rPr>
                  </w:pPr>
                </w:p>
              </w:tc>
            </w:tr>
            <w:tr w14:paraId="5BA5F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149" w:type="pct"/>
                  <w:vAlign w:val="center"/>
                </w:tcPr>
                <w:p w14:paraId="1537E1D7">
                  <w:pPr>
                    <w:keepNext w:val="0"/>
                    <w:keepLines w:val="0"/>
                    <w:pageBreakBefore w:val="0"/>
                    <w:widowControl w:val="0"/>
                    <w:kinsoku/>
                    <w:wordWrap/>
                    <w:overflowPunct/>
                    <w:topLinePunct w:val="0"/>
                    <w:autoSpaceDE w:val="0"/>
                    <w:autoSpaceDN w:val="0"/>
                    <w:bidi w:val="0"/>
                    <w:adjustRightInd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末端治理与综合利用：对于含低浓度VOCs的废气，有回收价值时可采用吸附技术、吸收技术对有机溶剂回收后达标排放；不宜回收时，可采用吸附浓缩燃烧技术、生物技术、吸附技术、等离子体技术或紫外光高级氧化技术等净化后达标排放</w:t>
                  </w:r>
                </w:p>
              </w:tc>
              <w:tc>
                <w:tcPr>
                  <w:tcW w:w="1396" w:type="pct"/>
                  <w:vMerge w:val="continue"/>
                  <w:vAlign w:val="center"/>
                </w:tcPr>
                <w:p w14:paraId="0340B5AA">
                  <w:pPr>
                    <w:keepNext w:val="0"/>
                    <w:keepLines w:val="0"/>
                    <w:pageBreakBefore w:val="0"/>
                    <w:widowControl w:val="0"/>
                    <w:kinsoku/>
                    <w:wordWrap/>
                    <w:overflowPunct/>
                    <w:topLinePunct w:val="0"/>
                    <w:autoSpaceDE w:val="0"/>
                    <w:autoSpaceDN w:val="0"/>
                    <w:bidi w:val="0"/>
                    <w:adjustRightInd w:val="0"/>
                    <w:snapToGrid/>
                    <w:ind w:left="0" w:leftChars="0" w:right="0" w:rightChars="0" w:firstLine="0" w:firstLineChars="0"/>
                    <w:jc w:val="center"/>
                    <w:textAlignment w:val="auto"/>
                    <w:rPr>
                      <w:color w:val="auto"/>
                      <w:sz w:val="21"/>
                      <w:szCs w:val="21"/>
                      <w:highlight w:val="none"/>
                    </w:rPr>
                  </w:pPr>
                </w:p>
              </w:tc>
              <w:tc>
                <w:tcPr>
                  <w:tcW w:w="454" w:type="pct"/>
                  <w:vMerge w:val="continue"/>
                  <w:vAlign w:val="center"/>
                </w:tcPr>
                <w:p w14:paraId="5759306D">
                  <w:pPr>
                    <w:keepNext w:val="0"/>
                    <w:keepLines w:val="0"/>
                    <w:pageBreakBefore w:val="0"/>
                    <w:widowControl w:val="0"/>
                    <w:kinsoku/>
                    <w:wordWrap/>
                    <w:overflowPunct/>
                    <w:topLinePunct w:val="0"/>
                    <w:autoSpaceDE w:val="0"/>
                    <w:autoSpaceDN w:val="0"/>
                    <w:bidi w:val="0"/>
                    <w:adjustRightInd w:val="0"/>
                    <w:snapToGrid/>
                    <w:ind w:left="0" w:leftChars="0" w:right="0" w:rightChars="0" w:firstLine="0" w:firstLineChars="0"/>
                    <w:jc w:val="center"/>
                    <w:textAlignment w:val="auto"/>
                    <w:rPr>
                      <w:color w:val="auto"/>
                      <w:sz w:val="21"/>
                      <w:szCs w:val="21"/>
                      <w:highlight w:val="none"/>
                    </w:rPr>
                  </w:pPr>
                </w:p>
              </w:tc>
            </w:tr>
          </w:tbl>
          <w:p w14:paraId="792EE9C8">
            <w:pPr>
              <w:numPr>
                <w:ilvl w:val="0"/>
                <w:numId w:val="0"/>
              </w:numPr>
              <w:tabs>
                <w:tab w:val="left" w:pos="420"/>
              </w:tabs>
              <w:spacing w:line="360" w:lineRule="auto"/>
              <w:ind w:leftChars="0"/>
              <w:rPr>
                <w:color w:val="auto"/>
                <w:sz w:val="24"/>
                <w:highlight w:val="none"/>
              </w:rPr>
            </w:pPr>
            <w:r>
              <w:rPr>
                <w:rFonts w:hint="eastAsia"/>
                <w:b/>
                <w:bCs/>
                <w:color w:val="auto"/>
                <w:sz w:val="24"/>
                <w:highlight w:val="none"/>
                <w:lang w:val="en-US" w:eastAsia="zh-CN"/>
              </w:rPr>
              <w:t>6、</w:t>
            </w:r>
            <w:r>
              <w:rPr>
                <w:b/>
                <w:bCs/>
                <w:color w:val="auto"/>
                <w:sz w:val="24"/>
                <w:highlight w:val="none"/>
              </w:rPr>
              <w:t>与《挥发性有机物无组织排放控制标准》（GB 37822-2019）符合性分析</w:t>
            </w:r>
          </w:p>
          <w:p w14:paraId="420B3DAF">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b/>
                <w:bCs/>
                <w:color w:val="auto"/>
                <w:sz w:val="24"/>
                <w:highlight w:val="none"/>
              </w:rPr>
            </w:pPr>
            <w:r>
              <w:rPr>
                <w:rFonts w:hint="eastAsia"/>
                <w:b/>
                <w:bCs/>
                <w:color w:val="auto"/>
                <w:sz w:val="24"/>
                <w:highlight w:val="none"/>
                <w:lang w:eastAsia="zh-CN"/>
              </w:rPr>
              <w:t>表</w:t>
            </w:r>
            <w:r>
              <w:rPr>
                <w:rFonts w:hint="eastAsia"/>
                <w:b/>
                <w:bCs/>
                <w:color w:val="auto"/>
                <w:sz w:val="24"/>
                <w:highlight w:val="none"/>
                <w:lang w:val="en-US" w:eastAsia="zh-CN"/>
              </w:rPr>
              <w:t xml:space="preserve">1-4 </w:t>
            </w:r>
            <w:r>
              <w:rPr>
                <w:b/>
                <w:bCs/>
                <w:color w:val="auto"/>
                <w:sz w:val="24"/>
                <w:highlight w:val="none"/>
              </w:rPr>
              <w:t>与《挥发性</w:t>
            </w:r>
            <w:r>
              <w:rPr>
                <w:b/>
                <w:color w:val="auto"/>
                <w:sz w:val="24"/>
                <w:highlight w:val="none"/>
              </w:rPr>
              <w:t>有机物</w:t>
            </w:r>
            <w:r>
              <w:rPr>
                <w:b/>
                <w:bCs/>
                <w:color w:val="auto"/>
                <w:sz w:val="24"/>
                <w:highlight w:val="none"/>
              </w:rPr>
              <w:t>无组织排放控制标准》符合性分析</w:t>
            </w:r>
          </w:p>
          <w:tbl>
            <w:tblPr>
              <w:tblStyle w:val="39"/>
              <w:tblW w:w="49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64"/>
              <w:gridCol w:w="1463"/>
              <w:gridCol w:w="704"/>
            </w:tblGrid>
            <w:tr w14:paraId="00DB8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3561" w:type="pct"/>
                  <w:vAlign w:val="center"/>
                </w:tcPr>
                <w:p w14:paraId="6BD33BBD">
                  <w:pPr>
                    <w:keepNext w:val="0"/>
                    <w:keepLines w:val="0"/>
                    <w:pageBreakBefore w:val="0"/>
                    <w:widowControl w:val="0"/>
                    <w:kinsoku/>
                    <w:wordWrap/>
                    <w:overflowPunct/>
                    <w:topLinePunct w:val="0"/>
                    <w:autoSpaceDE w:val="0"/>
                    <w:autoSpaceDN w:val="0"/>
                    <w:bidi w:val="0"/>
                    <w:adjustRightInd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政策要求</w:t>
                  </w:r>
                </w:p>
              </w:tc>
              <w:tc>
                <w:tcPr>
                  <w:tcW w:w="971" w:type="pct"/>
                  <w:vAlign w:val="center"/>
                </w:tcPr>
                <w:p w14:paraId="129DD8B6">
                  <w:pPr>
                    <w:keepNext w:val="0"/>
                    <w:keepLines w:val="0"/>
                    <w:pageBreakBefore w:val="0"/>
                    <w:widowControl w:val="0"/>
                    <w:kinsoku/>
                    <w:wordWrap/>
                    <w:overflowPunct/>
                    <w:topLinePunct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本项目情况</w:t>
                  </w:r>
                </w:p>
              </w:tc>
              <w:tc>
                <w:tcPr>
                  <w:tcW w:w="467" w:type="pct"/>
                  <w:vAlign w:val="center"/>
                </w:tcPr>
                <w:p w14:paraId="3747EB25">
                  <w:pPr>
                    <w:keepNext w:val="0"/>
                    <w:keepLines w:val="0"/>
                    <w:pageBreakBefore w:val="0"/>
                    <w:widowControl w:val="0"/>
                    <w:kinsoku/>
                    <w:wordWrap/>
                    <w:overflowPunct/>
                    <w:topLinePunct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符合性</w:t>
                  </w:r>
                </w:p>
              </w:tc>
            </w:tr>
            <w:tr w14:paraId="0D6B7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jc w:val="center"/>
              </w:trPr>
              <w:tc>
                <w:tcPr>
                  <w:tcW w:w="3561" w:type="pct"/>
                  <w:vAlign w:val="center"/>
                </w:tcPr>
                <w:p w14:paraId="6F908CE2">
                  <w:pPr>
                    <w:keepNext w:val="0"/>
                    <w:keepLines w:val="0"/>
                    <w:pageBreakBefore w:val="0"/>
                    <w:widowControl w:val="0"/>
                    <w:kinsoku/>
                    <w:wordWrap/>
                    <w:overflowPunct/>
                    <w:topLinePunct w:val="0"/>
                    <w:autoSpaceDE w:val="0"/>
                    <w:autoSpaceDN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5.1.1 VOCs物料应储存于密闭的容器、包装袋、储罐、储库、料仓中。</w:t>
                  </w:r>
                </w:p>
                <w:p w14:paraId="5240AE3A">
                  <w:pPr>
                    <w:keepNext w:val="0"/>
                    <w:keepLines w:val="0"/>
                    <w:pageBreakBefore w:val="0"/>
                    <w:widowControl w:val="0"/>
                    <w:kinsoku/>
                    <w:wordWrap/>
                    <w:overflowPunct/>
                    <w:topLinePunct w:val="0"/>
                    <w:autoSpaceDE w:val="0"/>
                    <w:autoSpaceDN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5.1.2 盛装VOCs物料的容器或包装袋应存放于室内，或存放于设置有雨棚、遮阳和防渗设施的专用场地。盛装VOCs物料的容器或包装袋在非取用状态时应加盖、封口，保持密闭。</w:t>
                  </w:r>
                </w:p>
                <w:p w14:paraId="5A1B51CB">
                  <w:pPr>
                    <w:keepNext w:val="0"/>
                    <w:keepLines w:val="0"/>
                    <w:pageBreakBefore w:val="0"/>
                    <w:widowControl w:val="0"/>
                    <w:kinsoku/>
                    <w:wordWrap/>
                    <w:overflowPunct/>
                    <w:topLinePunct w:val="0"/>
                    <w:autoSpaceDE w:val="0"/>
                    <w:autoSpaceDN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5.1.3 VOCs物料储罐应密封良好，其中挥发性有机液体储罐应符合5.2条规定。</w:t>
                  </w:r>
                </w:p>
                <w:p w14:paraId="36276464">
                  <w:pPr>
                    <w:keepNext w:val="0"/>
                    <w:keepLines w:val="0"/>
                    <w:pageBreakBefore w:val="0"/>
                    <w:widowControl w:val="0"/>
                    <w:kinsoku/>
                    <w:wordWrap/>
                    <w:overflowPunct/>
                    <w:topLinePunct w:val="0"/>
                    <w:autoSpaceDE w:val="0"/>
                    <w:autoSpaceDN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5.1.4 VOCs物料储库、料仓应满足3.6条对密闭空间的要求。</w:t>
                  </w:r>
                </w:p>
              </w:tc>
              <w:tc>
                <w:tcPr>
                  <w:tcW w:w="971" w:type="pct"/>
                  <w:vAlign w:val="center"/>
                </w:tcPr>
                <w:p w14:paraId="6CC86A91">
                  <w:pPr>
                    <w:keepNext w:val="0"/>
                    <w:keepLines w:val="0"/>
                    <w:pageBreakBefore w:val="0"/>
                    <w:widowControl w:val="0"/>
                    <w:kinsoku/>
                    <w:wordWrap/>
                    <w:overflowPunct/>
                    <w:topLinePunct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本项目</w:t>
                  </w:r>
                  <w:r>
                    <w:rPr>
                      <w:rFonts w:hint="eastAsia"/>
                      <w:color w:val="auto"/>
                      <w:sz w:val="21"/>
                      <w:szCs w:val="21"/>
                      <w:highlight w:val="none"/>
                      <w:lang w:eastAsia="zh-CN"/>
                    </w:rPr>
                    <w:t>瓶胚袋装放置于原料区</w:t>
                  </w:r>
                  <w:r>
                    <w:rPr>
                      <w:color w:val="auto"/>
                      <w:sz w:val="21"/>
                      <w:szCs w:val="21"/>
                      <w:highlight w:val="none"/>
                    </w:rPr>
                    <w:t>。</w:t>
                  </w:r>
                </w:p>
              </w:tc>
              <w:tc>
                <w:tcPr>
                  <w:tcW w:w="467" w:type="pct"/>
                  <w:vAlign w:val="center"/>
                </w:tcPr>
                <w:p w14:paraId="39D67E97">
                  <w:pPr>
                    <w:keepNext w:val="0"/>
                    <w:keepLines w:val="0"/>
                    <w:pageBreakBefore w:val="0"/>
                    <w:widowControl w:val="0"/>
                    <w:kinsoku/>
                    <w:wordWrap/>
                    <w:overflowPunct/>
                    <w:topLinePunct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266E4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jc w:val="center"/>
              </w:trPr>
              <w:tc>
                <w:tcPr>
                  <w:tcW w:w="3561" w:type="pct"/>
                  <w:vAlign w:val="center"/>
                </w:tcPr>
                <w:p w14:paraId="3D7954D4">
                  <w:pPr>
                    <w:keepNext w:val="0"/>
                    <w:keepLines w:val="0"/>
                    <w:pageBreakBefore w:val="0"/>
                    <w:widowControl w:val="0"/>
                    <w:kinsoku/>
                    <w:wordWrap/>
                    <w:overflowPunct/>
                    <w:topLinePunct w:val="0"/>
                    <w:autoSpaceDE w:val="0"/>
                    <w:autoSpaceDN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7.2.1 VOCs质量占比大于等于10%的含 VOCs 产品，其使用过程应采用密闭设备或在密闭空间内操作，废气应排至VOCs废气收集处理系统：无法密闭的，应采取局部气体收集措施，废气应排至 VOCs 废气收集处理系统。</w:t>
                  </w:r>
                </w:p>
              </w:tc>
              <w:tc>
                <w:tcPr>
                  <w:tcW w:w="971" w:type="pct"/>
                  <w:vAlign w:val="center"/>
                </w:tcPr>
                <w:p w14:paraId="0C4645BC">
                  <w:pPr>
                    <w:keepNext w:val="0"/>
                    <w:keepLines w:val="0"/>
                    <w:pageBreakBefore w:val="0"/>
                    <w:widowControl w:val="0"/>
                    <w:kinsoku/>
                    <w:wordWrap/>
                    <w:overflowPunct/>
                    <w:topLinePunct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项目废气采用集气罩收集</w:t>
                  </w:r>
                  <w:r>
                    <w:rPr>
                      <w:rFonts w:hint="eastAsia"/>
                      <w:color w:val="auto"/>
                      <w:sz w:val="21"/>
                      <w:szCs w:val="21"/>
                      <w:highlight w:val="none"/>
                    </w:rPr>
                    <w:t>，</w:t>
                  </w:r>
                  <w:r>
                    <w:rPr>
                      <w:color w:val="auto"/>
                      <w:sz w:val="21"/>
                      <w:szCs w:val="21"/>
                      <w:highlight w:val="none"/>
                    </w:rPr>
                    <w:t>收集效率均不小于90%。</w:t>
                  </w:r>
                </w:p>
              </w:tc>
              <w:tc>
                <w:tcPr>
                  <w:tcW w:w="467" w:type="pct"/>
                  <w:vAlign w:val="center"/>
                </w:tcPr>
                <w:p w14:paraId="6F261FEA">
                  <w:pPr>
                    <w:keepNext w:val="0"/>
                    <w:keepLines w:val="0"/>
                    <w:pageBreakBefore w:val="0"/>
                    <w:widowControl w:val="0"/>
                    <w:kinsoku/>
                    <w:wordWrap/>
                    <w:overflowPunct/>
                    <w:topLinePunct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0E0EF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jc w:val="center"/>
              </w:trPr>
              <w:tc>
                <w:tcPr>
                  <w:tcW w:w="3561" w:type="pct"/>
                  <w:vAlign w:val="center"/>
                </w:tcPr>
                <w:p w14:paraId="2495A4E8">
                  <w:pPr>
                    <w:keepNext w:val="0"/>
                    <w:keepLines w:val="0"/>
                    <w:pageBreakBefore w:val="0"/>
                    <w:widowControl w:val="0"/>
                    <w:kinsoku/>
                    <w:wordWrap/>
                    <w:overflowPunct/>
                    <w:topLinePunct w:val="0"/>
                    <w:autoSpaceDE w:val="0"/>
                    <w:autoSpaceDN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7.3.1 企业应建立台账，记录含VOCs原辅材料和含VOCs产品的名称、使用量、回收量、废弃量、去向以及VOCs含量等信息。台账保存期限不少于3年。</w:t>
                  </w:r>
                </w:p>
                <w:p w14:paraId="02B05832">
                  <w:pPr>
                    <w:keepNext w:val="0"/>
                    <w:keepLines w:val="0"/>
                    <w:pageBreakBefore w:val="0"/>
                    <w:widowControl w:val="0"/>
                    <w:kinsoku/>
                    <w:wordWrap/>
                    <w:overflowPunct/>
                    <w:topLinePunct w:val="0"/>
                    <w:autoSpaceDE w:val="0"/>
                    <w:autoSpaceDN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7.3.2 通风生产设备、操作工位、车间厂房等应在符合安全生产、职业卫生相关规定的前提下，根据行业作业规程与标准、工业建筑及洁净厂房通风设计规范等的要求，采用合理的通风量。</w:t>
                  </w:r>
                </w:p>
                <w:p w14:paraId="0E2180E8">
                  <w:pPr>
                    <w:keepNext w:val="0"/>
                    <w:keepLines w:val="0"/>
                    <w:pageBreakBefore w:val="0"/>
                    <w:widowControl w:val="0"/>
                    <w:kinsoku/>
                    <w:wordWrap/>
                    <w:overflowPunct/>
                    <w:topLinePunct w:val="0"/>
                    <w:autoSpaceDE w:val="0"/>
                    <w:autoSpaceDN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7.3.4 工艺过程产生的含VOCs废料（渣、液）应按照第5章、第6章的要求进行储存、转移和输送。盛装过VOCs物料的废包装容器应加盖密闭。</w:t>
                  </w:r>
                </w:p>
              </w:tc>
              <w:tc>
                <w:tcPr>
                  <w:tcW w:w="971" w:type="pct"/>
                  <w:vAlign w:val="center"/>
                </w:tcPr>
                <w:p w14:paraId="33C9BBCC">
                  <w:pPr>
                    <w:keepNext w:val="0"/>
                    <w:keepLines w:val="0"/>
                    <w:pageBreakBefore w:val="0"/>
                    <w:widowControl w:val="0"/>
                    <w:kinsoku/>
                    <w:wordWrap/>
                    <w:overflowPunct/>
                    <w:topLinePunct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环评要求企业建立台账，采用合理通风量，工艺过程产生的含VOCs废料按要求进行储存、转移和输送。</w:t>
                  </w:r>
                </w:p>
              </w:tc>
              <w:tc>
                <w:tcPr>
                  <w:tcW w:w="467" w:type="pct"/>
                  <w:vAlign w:val="center"/>
                </w:tcPr>
                <w:p w14:paraId="2B78ABC7">
                  <w:pPr>
                    <w:keepNext w:val="0"/>
                    <w:keepLines w:val="0"/>
                    <w:pageBreakBefore w:val="0"/>
                    <w:widowControl w:val="0"/>
                    <w:kinsoku/>
                    <w:wordWrap/>
                    <w:overflowPunct/>
                    <w:topLinePunct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3E654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jc w:val="center"/>
              </w:trPr>
              <w:tc>
                <w:tcPr>
                  <w:tcW w:w="3561" w:type="pct"/>
                  <w:vAlign w:val="center"/>
                </w:tcPr>
                <w:p w14:paraId="40444595">
                  <w:pPr>
                    <w:keepNext w:val="0"/>
                    <w:keepLines w:val="0"/>
                    <w:pageBreakBefore w:val="0"/>
                    <w:widowControl w:val="0"/>
                    <w:kinsoku/>
                    <w:wordWrap/>
                    <w:overflowPunct/>
                    <w:topLinePunct w:val="0"/>
                    <w:autoSpaceDE w:val="0"/>
                    <w:autoSpaceDN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10.3.1 VOCs废气收集处理系统污染物排放应符合GB 16297或相关行业排放标准的规定。</w:t>
                  </w:r>
                </w:p>
                <w:p w14:paraId="01661CAD">
                  <w:pPr>
                    <w:keepNext w:val="0"/>
                    <w:keepLines w:val="0"/>
                    <w:pageBreakBefore w:val="0"/>
                    <w:widowControl w:val="0"/>
                    <w:kinsoku/>
                    <w:wordWrap/>
                    <w:overflowPunct/>
                    <w:topLinePunct w:val="0"/>
                    <w:autoSpaceDE w:val="0"/>
                    <w:autoSpaceDN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10.3.2 收集的废气中 NMHC 初始排放速率≥3 kg/h 时，应配置VOCs处理设施，处理效率不应低于80%；对于重点地区，收集的废气中NMHC初始排放速率≥2kg/h时，应配置 VOCs 处理设施，处理效率不应低于80%；采用的原辅材料符合国家有关低VOCs含量产品规定的除外。</w:t>
                  </w:r>
                </w:p>
              </w:tc>
              <w:tc>
                <w:tcPr>
                  <w:tcW w:w="971" w:type="pct"/>
                  <w:vAlign w:val="center"/>
                </w:tcPr>
                <w:p w14:paraId="440439D3">
                  <w:pPr>
                    <w:keepNext w:val="0"/>
                    <w:keepLines w:val="0"/>
                    <w:pageBreakBefore w:val="0"/>
                    <w:widowControl w:val="0"/>
                    <w:kinsoku/>
                    <w:wordWrap/>
                    <w:overflowPunct/>
                    <w:topLinePunct w:val="0"/>
                    <w:bidi w:val="0"/>
                    <w:snapToGrid/>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lang w:eastAsia="zh-CN"/>
                    </w:rPr>
                    <w:t>本</w:t>
                  </w:r>
                  <w:r>
                    <w:rPr>
                      <w:color w:val="auto"/>
                      <w:sz w:val="21"/>
                      <w:szCs w:val="21"/>
                      <w:highlight w:val="none"/>
                    </w:rPr>
                    <w:t>项目有机废气</w:t>
                  </w:r>
                  <w:r>
                    <w:rPr>
                      <w:rFonts w:hint="eastAsia"/>
                      <w:color w:val="auto"/>
                      <w:sz w:val="21"/>
                      <w:szCs w:val="21"/>
                      <w:highlight w:val="none"/>
                      <w:lang w:eastAsia="zh-CN"/>
                    </w:rPr>
                    <w:t>经集气罩收集后通过二级活性炭吸附装置处理后排放</w:t>
                  </w:r>
                  <w:r>
                    <w:rPr>
                      <w:rFonts w:hint="eastAsia"/>
                      <w:color w:val="auto"/>
                      <w:sz w:val="21"/>
                      <w:szCs w:val="21"/>
                      <w:highlight w:val="none"/>
                    </w:rPr>
                    <w:t>。</w:t>
                  </w:r>
                </w:p>
              </w:tc>
              <w:tc>
                <w:tcPr>
                  <w:tcW w:w="467" w:type="pct"/>
                  <w:vAlign w:val="center"/>
                </w:tcPr>
                <w:p w14:paraId="42EA2872">
                  <w:pPr>
                    <w:keepNext w:val="0"/>
                    <w:keepLines w:val="0"/>
                    <w:pageBreakBefore w:val="0"/>
                    <w:widowControl w:val="0"/>
                    <w:kinsoku/>
                    <w:wordWrap/>
                    <w:overflowPunct/>
                    <w:topLinePunct w:val="0"/>
                    <w:bidi w:val="0"/>
                    <w:snapToGrid/>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bl>
          <w:p w14:paraId="230EA129">
            <w:pPr>
              <w:numPr>
                <w:ilvl w:val="0"/>
                <w:numId w:val="0"/>
              </w:numPr>
              <w:tabs>
                <w:tab w:val="left" w:pos="420"/>
              </w:tabs>
              <w:spacing w:line="360" w:lineRule="auto"/>
              <w:ind w:leftChars="0"/>
              <w:rPr>
                <w:b/>
                <w:bCs/>
                <w:color w:val="auto"/>
                <w:sz w:val="24"/>
                <w:highlight w:val="none"/>
              </w:rPr>
            </w:pPr>
            <w:r>
              <w:rPr>
                <w:rFonts w:hint="eastAsia"/>
                <w:b/>
                <w:bCs/>
                <w:color w:val="auto"/>
                <w:sz w:val="24"/>
                <w:highlight w:val="none"/>
                <w:lang w:val="en-US" w:eastAsia="zh-CN"/>
              </w:rPr>
              <w:t>7、</w:t>
            </w:r>
            <w:r>
              <w:rPr>
                <w:rFonts w:hint="eastAsia"/>
                <w:b/>
                <w:bCs/>
                <w:color w:val="auto"/>
                <w:sz w:val="24"/>
                <w:szCs w:val="24"/>
                <w:highlight w:val="none"/>
                <w:lang w:val="en-US" w:eastAsia="zh-CN"/>
              </w:rPr>
              <w:t>与</w:t>
            </w:r>
            <w:r>
              <w:rPr>
                <w:rFonts w:hint="eastAsia" w:ascii="宋体" w:hAnsi="宋体" w:cs="宋体"/>
                <w:b/>
                <w:bCs/>
                <w:i w:val="0"/>
                <w:iCs w:val="0"/>
                <w:color w:val="auto"/>
                <w:kern w:val="2"/>
                <w:sz w:val="24"/>
                <w:szCs w:val="24"/>
                <w:highlight w:val="none"/>
                <w:lang w:val="en-US" w:eastAsia="zh-CN" w:bidi="ar-SA"/>
              </w:rPr>
              <w:t>《</w:t>
            </w:r>
            <w:r>
              <w:rPr>
                <w:rFonts w:hint="eastAsia" w:ascii="宋体" w:hAnsi="宋体" w:eastAsia="宋体" w:cs="宋体"/>
                <w:b/>
                <w:bCs/>
                <w:color w:val="auto"/>
                <w:sz w:val="24"/>
                <w:szCs w:val="24"/>
                <w:highlight w:val="none"/>
                <w:vertAlign w:val="baseline"/>
                <w:lang w:val="en-US" w:eastAsia="zh-CN"/>
              </w:rPr>
              <w:t>地下水管理条例</w:t>
            </w:r>
            <w:r>
              <w:rPr>
                <w:rFonts w:hint="eastAsia" w:ascii="宋体" w:hAnsi="宋体" w:cs="宋体"/>
                <w:b/>
                <w:bCs/>
                <w:i w:val="0"/>
                <w:iCs w:val="0"/>
                <w:color w:val="auto"/>
                <w:kern w:val="2"/>
                <w:sz w:val="24"/>
                <w:szCs w:val="24"/>
                <w:highlight w:val="none"/>
                <w:lang w:val="en-US" w:eastAsia="zh-CN" w:bidi="ar-SA"/>
              </w:rPr>
              <w:t>》</w:t>
            </w:r>
            <w:r>
              <w:rPr>
                <w:rFonts w:hint="default" w:ascii="Times New Roman" w:hAnsi="Times New Roman" w:cs="Times New Roman"/>
                <w:b/>
                <w:bCs/>
                <w:i w:val="0"/>
                <w:iCs w:val="0"/>
                <w:color w:val="auto"/>
                <w:kern w:val="2"/>
                <w:sz w:val="24"/>
                <w:szCs w:val="24"/>
                <w:highlight w:val="none"/>
                <w:lang w:val="en-US" w:eastAsia="zh-CN" w:bidi="ar-SA"/>
              </w:rPr>
              <w:t>（</w:t>
            </w:r>
            <w:r>
              <w:rPr>
                <w:rFonts w:hint="default" w:ascii="Times New Roman" w:hAnsi="Times New Roman" w:eastAsia="宋体" w:cs="Times New Roman"/>
                <w:b/>
                <w:bCs/>
                <w:color w:val="auto"/>
                <w:sz w:val="24"/>
                <w:szCs w:val="24"/>
                <w:highlight w:val="none"/>
              </w:rPr>
              <w:t>国令第748号</w:t>
            </w:r>
            <w:r>
              <w:rPr>
                <w:rFonts w:hint="default" w:ascii="Times New Roman" w:hAnsi="Times New Roman" w:cs="Times New Roman"/>
                <w:b/>
                <w:bCs/>
                <w:i w:val="0"/>
                <w:iCs w:val="0"/>
                <w:color w:val="auto"/>
                <w:kern w:val="2"/>
                <w:sz w:val="24"/>
                <w:szCs w:val="24"/>
                <w:highlight w:val="none"/>
                <w:lang w:val="en-US" w:eastAsia="zh-CN" w:bidi="ar-SA"/>
              </w:rPr>
              <w:t>）</w:t>
            </w:r>
            <w:r>
              <w:rPr>
                <w:rFonts w:hint="eastAsia" w:ascii="宋体" w:hAnsi="宋体" w:cs="宋体"/>
                <w:b/>
                <w:bCs/>
                <w:i w:val="0"/>
                <w:iCs w:val="0"/>
                <w:color w:val="auto"/>
                <w:kern w:val="2"/>
                <w:sz w:val="24"/>
                <w:szCs w:val="24"/>
                <w:highlight w:val="none"/>
                <w:lang w:val="en-US" w:eastAsia="zh-CN" w:bidi="ar-SA"/>
              </w:rPr>
              <w:t>符合性</w:t>
            </w:r>
          </w:p>
          <w:p w14:paraId="4539721E">
            <w:pPr>
              <w:numPr>
                <w:ilvl w:val="0"/>
                <w:numId w:val="2"/>
              </w:numPr>
              <w:ind w:left="420" w:leftChars="200"/>
              <w:jc w:val="center"/>
              <w:rPr>
                <w:b/>
                <w:bCs/>
                <w:color w:val="auto"/>
                <w:sz w:val="24"/>
                <w:highlight w:val="none"/>
              </w:rPr>
            </w:pPr>
            <w:r>
              <w:rPr>
                <w:rFonts w:hint="eastAsia"/>
                <w:b/>
                <w:bCs/>
                <w:color w:val="auto"/>
                <w:sz w:val="24"/>
                <w:szCs w:val="24"/>
                <w:highlight w:val="none"/>
                <w:lang w:val="en-US" w:eastAsia="zh-CN"/>
              </w:rPr>
              <w:t>与</w:t>
            </w:r>
            <w:r>
              <w:rPr>
                <w:rFonts w:hint="eastAsia" w:ascii="宋体" w:hAnsi="宋体" w:cs="宋体"/>
                <w:b/>
                <w:bCs/>
                <w:i w:val="0"/>
                <w:iCs w:val="0"/>
                <w:color w:val="auto"/>
                <w:kern w:val="2"/>
                <w:sz w:val="24"/>
                <w:szCs w:val="24"/>
                <w:highlight w:val="none"/>
                <w:lang w:val="en-US" w:eastAsia="zh-CN" w:bidi="ar-SA"/>
              </w:rPr>
              <w:t>《</w:t>
            </w:r>
            <w:r>
              <w:rPr>
                <w:rFonts w:hint="eastAsia" w:ascii="宋体" w:hAnsi="宋体" w:eastAsia="宋体" w:cs="宋体"/>
                <w:b/>
                <w:bCs/>
                <w:color w:val="auto"/>
                <w:sz w:val="24"/>
                <w:szCs w:val="24"/>
                <w:highlight w:val="none"/>
                <w:vertAlign w:val="baseline"/>
                <w:lang w:val="en-US" w:eastAsia="zh-CN"/>
              </w:rPr>
              <w:t>地下水管理条例</w:t>
            </w:r>
            <w:r>
              <w:rPr>
                <w:rFonts w:hint="eastAsia" w:ascii="宋体" w:hAnsi="宋体" w:cs="宋体"/>
                <w:b/>
                <w:bCs/>
                <w:i w:val="0"/>
                <w:iCs w:val="0"/>
                <w:color w:val="auto"/>
                <w:kern w:val="2"/>
                <w:sz w:val="24"/>
                <w:szCs w:val="24"/>
                <w:highlight w:val="none"/>
                <w:lang w:val="en-US" w:eastAsia="zh-CN" w:bidi="ar-SA"/>
              </w:rPr>
              <w:t>》</w:t>
            </w:r>
            <w:r>
              <w:rPr>
                <w:rFonts w:hint="default" w:ascii="Times New Roman" w:hAnsi="Times New Roman" w:cs="Times New Roman"/>
                <w:b/>
                <w:bCs/>
                <w:i w:val="0"/>
                <w:iCs w:val="0"/>
                <w:color w:val="auto"/>
                <w:kern w:val="2"/>
                <w:sz w:val="24"/>
                <w:szCs w:val="24"/>
                <w:highlight w:val="none"/>
                <w:lang w:val="en-US" w:eastAsia="zh-CN" w:bidi="ar-SA"/>
              </w:rPr>
              <w:t>（</w:t>
            </w:r>
            <w:r>
              <w:rPr>
                <w:rFonts w:hint="default" w:ascii="Times New Roman" w:hAnsi="Times New Roman" w:eastAsia="宋体" w:cs="Times New Roman"/>
                <w:b/>
                <w:bCs/>
                <w:color w:val="auto"/>
                <w:sz w:val="24"/>
                <w:szCs w:val="24"/>
                <w:highlight w:val="none"/>
              </w:rPr>
              <w:t>国令第748号</w:t>
            </w:r>
            <w:r>
              <w:rPr>
                <w:rFonts w:hint="default" w:ascii="Times New Roman" w:hAnsi="Times New Roman" w:cs="Times New Roman"/>
                <w:b/>
                <w:bCs/>
                <w:i w:val="0"/>
                <w:iCs w:val="0"/>
                <w:color w:val="auto"/>
                <w:kern w:val="2"/>
                <w:sz w:val="24"/>
                <w:szCs w:val="24"/>
                <w:highlight w:val="none"/>
                <w:lang w:val="en-US" w:eastAsia="zh-CN" w:bidi="ar-SA"/>
              </w:rPr>
              <w:t>）</w:t>
            </w:r>
            <w:r>
              <w:rPr>
                <w:b/>
                <w:bCs/>
                <w:color w:val="auto"/>
                <w:sz w:val="24"/>
                <w:szCs w:val="24"/>
                <w:highlight w:val="none"/>
              </w:rPr>
              <w:t>符</w:t>
            </w:r>
            <w:r>
              <w:rPr>
                <w:b/>
                <w:bCs/>
                <w:color w:val="auto"/>
                <w:sz w:val="24"/>
                <w:highlight w:val="none"/>
              </w:rPr>
              <w:t>合性分析</w:t>
            </w:r>
          </w:p>
          <w:tbl>
            <w:tblPr>
              <w:tblStyle w:val="3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16"/>
              <w:gridCol w:w="2239"/>
              <w:gridCol w:w="703"/>
            </w:tblGrid>
            <w:tr w14:paraId="16465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3053" w:type="pct"/>
                  <w:vAlign w:val="center"/>
                </w:tcPr>
                <w:p w14:paraId="5248EDC0">
                  <w:pPr>
                    <w:keepNext w:val="0"/>
                    <w:keepLines w:val="0"/>
                    <w:pageBreakBefore w:val="0"/>
                    <w:kinsoku/>
                    <w:wordWrap/>
                    <w:overflowPunct/>
                    <w:topLinePunct w:val="0"/>
                    <w:autoSpaceDE w:val="0"/>
                    <w:autoSpaceDN w:val="0"/>
                    <w:bidi w:val="0"/>
                    <w:adjustRightInd w:val="0"/>
                    <w:snapToGrid/>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政策要求</w:t>
                  </w:r>
                </w:p>
              </w:tc>
              <w:tc>
                <w:tcPr>
                  <w:tcW w:w="1481" w:type="pct"/>
                  <w:vAlign w:val="center"/>
                </w:tcPr>
                <w:p w14:paraId="1106A004">
                  <w:pPr>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本项目情况</w:t>
                  </w:r>
                </w:p>
              </w:tc>
              <w:tc>
                <w:tcPr>
                  <w:tcW w:w="465" w:type="pct"/>
                  <w:vAlign w:val="center"/>
                </w:tcPr>
                <w:p w14:paraId="227A8317">
                  <w:pPr>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符合性</w:t>
                  </w:r>
                </w:p>
              </w:tc>
            </w:tr>
            <w:tr w14:paraId="795B5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jc w:val="center"/>
              </w:trPr>
              <w:tc>
                <w:tcPr>
                  <w:tcW w:w="3053" w:type="pct"/>
                  <w:vAlign w:val="center"/>
                </w:tcPr>
                <w:p w14:paraId="4C6659AB">
                  <w:pPr>
                    <w:keepNext w:val="0"/>
                    <w:keepLines w:val="0"/>
                    <w:pageBreakBefore w:val="0"/>
                    <w:kinsoku/>
                    <w:wordWrap/>
                    <w:overflowPunct/>
                    <w:topLinePunct w:val="0"/>
                    <w:autoSpaceDE w:val="0"/>
                    <w:autoSpaceDN w:val="0"/>
                    <w:bidi w:val="0"/>
                    <w:snapToGrid/>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省、自治区、直辖市人民政府水行政主管部门应当会同本级人民政府有关部门，根据国家下达的地下水取水总量控制指标，制定本行政区域内县级以上行政区域的地下水取水总量控制指标和地下水水位控制指标，经省、自治区、直辖市人民政府批准后下达实施，并报国务院水行政主管部门或者其授权的流域管理机构备案。</w:t>
                  </w:r>
                </w:p>
              </w:tc>
              <w:tc>
                <w:tcPr>
                  <w:tcW w:w="1481" w:type="pct"/>
                  <w:vAlign w:val="center"/>
                </w:tcPr>
                <w:p w14:paraId="36AD0A95">
                  <w:pPr>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本项目环评要求建设单位取得取水证之后才能进行地下水开采。</w:t>
                  </w:r>
                </w:p>
              </w:tc>
              <w:tc>
                <w:tcPr>
                  <w:tcW w:w="465" w:type="pct"/>
                  <w:vAlign w:val="center"/>
                </w:tcPr>
                <w:p w14:paraId="57640010">
                  <w:pPr>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w:t>
                  </w:r>
                </w:p>
              </w:tc>
            </w:tr>
            <w:tr w14:paraId="5635F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53" w:type="pct"/>
                  <w:vAlign w:val="center"/>
                </w:tcPr>
                <w:p w14:paraId="4029087A">
                  <w:pPr>
                    <w:pStyle w:val="35"/>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取用地下水的单位和个人应当遵守取水总量控制和定额管理要求，使用先进节约用水技术、工艺和设备，采取循环用水、综合利用及废水处理回用等措施，实施技术改造，降低用水消耗。</w:t>
                  </w:r>
                </w:p>
                <w:p w14:paraId="16BD7427">
                  <w:pPr>
                    <w:pStyle w:val="35"/>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对下列工艺、设备和产品，应当在规定的期限内停止生产、销售、进口或者使用：</w:t>
                  </w:r>
                </w:p>
                <w:p w14:paraId="4485EE57">
                  <w:pPr>
                    <w:pStyle w:val="35"/>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（一）列入淘汰落后的、耗水量高的工艺、设备和产品名录的；</w:t>
                  </w:r>
                </w:p>
                <w:p w14:paraId="0FFACDDE">
                  <w:pPr>
                    <w:pStyle w:val="35"/>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（二）列入限期禁止采用的严重污染水环境的工艺名录和限期禁止生产、销售、进口、使用的严重污染水环境的设备名录的。</w:t>
                  </w:r>
                </w:p>
              </w:tc>
              <w:tc>
                <w:tcPr>
                  <w:tcW w:w="1481" w:type="pct"/>
                  <w:vAlign w:val="center"/>
                </w:tcPr>
                <w:p w14:paraId="17D0BE0B">
                  <w:pPr>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本环评要求建设单位严格控制开采量；本</w:t>
                  </w:r>
                </w:p>
                <w:p w14:paraId="1191EFCE">
                  <w:pPr>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开采地下水位生产桶装、瓶装水</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要求建设单位禁止使用</w:t>
                  </w:r>
                  <w:r>
                    <w:rPr>
                      <w:rFonts w:hint="default" w:ascii="Times New Roman" w:hAnsi="Times New Roman" w:eastAsia="宋体" w:cs="Times New Roman"/>
                      <w:color w:val="auto"/>
                      <w:sz w:val="21"/>
                      <w:szCs w:val="21"/>
                      <w:highlight w:val="none"/>
                    </w:rPr>
                    <w:t>列入淘汰落后的、耗水量高的工艺、设备和产品名录的</w:t>
                  </w:r>
                  <w:r>
                    <w:rPr>
                      <w:rFonts w:hint="default" w:ascii="Times New Roman" w:hAnsi="Times New Roman" w:cs="Times New Roman"/>
                      <w:color w:val="auto"/>
                      <w:sz w:val="21"/>
                      <w:szCs w:val="21"/>
                      <w:highlight w:val="none"/>
                      <w:lang w:eastAsia="zh-CN"/>
                    </w:rPr>
                    <w:t>以及</w:t>
                  </w:r>
                  <w:r>
                    <w:rPr>
                      <w:rFonts w:hint="default" w:ascii="Times New Roman" w:hAnsi="Times New Roman" w:eastAsia="宋体" w:cs="Times New Roman"/>
                      <w:color w:val="auto"/>
                      <w:sz w:val="21"/>
                      <w:szCs w:val="21"/>
                      <w:highlight w:val="none"/>
                    </w:rPr>
                    <w:t>列入限期禁止采用的严重污染水环境的工艺名录和限期禁止生产、销售、进口、使用的严重污染水环境的设备名录的</w:t>
                  </w:r>
                  <w:r>
                    <w:rPr>
                      <w:rFonts w:hint="default" w:ascii="Times New Roman" w:hAnsi="Times New Roman" w:cs="Times New Roman"/>
                      <w:color w:val="auto"/>
                      <w:sz w:val="21"/>
                      <w:szCs w:val="21"/>
                      <w:highlight w:val="none"/>
                      <w:lang w:eastAsia="zh-CN"/>
                    </w:rPr>
                    <w:t>设备、工艺等</w:t>
                  </w:r>
                  <w:r>
                    <w:rPr>
                      <w:rFonts w:hint="default" w:ascii="Times New Roman" w:hAnsi="Times New Roman" w:cs="Times New Roman"/>
                      <w:color w:val="auto"/>
                      <w:sz w:val="21"/>
                      <w:szCs w:val="21"/>
                      <w:highlight w:val="none"/>
                    </w:rPr>
                    <w:t>。</w:t>
                  </w:r>
                </w:p>
              </w:tc>
              <w:tc>
                <w:tcPr>
                  <w:tcW w:w="465" w:type="pct"/>
                  <w:vAlign w:val="center"/>
                </w:tcPr>
                <w:p w14:paraId="3D87C5B5">
                  <w:pPr>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w:t>
                  </w:r>
                </w:p>
              </w:tc>
            </w:tr>
            <w:tr w14:paraId="12CC6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53" w:type="pct"/>
                  <w:vAlign w:val="center"/>
                </w:tcPr>
                <w:p w14:paraId="0C7DD1FB">
                  <w:pPr>
                    <w:pStyle w:val="35"/>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有下列情形之一的，对取用地下水的取水许可申请不予批准：</w:t>
                  </w:r>
                </w:p>
                <w:p w14:paraId="3F35C730">
                  <w:pPr>
                    <w:pStyle w:val="35"/>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（一）不符合地下水取水总量控制、地下水水位控制要求；</w:t>
                  </w:r>
                </w:p>
                <w:p w14:paraId="160388CF">
                  <w:pPr>
                    <w:pStyle w:val="35"/>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（二）不符合限制开采区取用水规定；</w:t>
                  </w:r>
                </w:p>
                <w:p w14:paraId="11564579">
                  <w:pPr>
                    <w:pStyle w:val="35"/>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（三）不符合行业用水定额和节水规定；</w:t>
                  </w:r>
                </w:p>
                <w:p w14:paraId="3E89ABBB">
                  <w:pPr>
                    <w:pStyle w:val="35"/>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（四）不符合强制性国家标准；</w:t>
                  </w:r>
                </w:p>
                <w:p w14:paraId="58CAFFBB">
                  <w:pPr>
                    <w:pStyle w:val="35"/>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（五）水资源紧缺或者生态脆弱地区新建、改建、扩建高耗水项目；</w:t>
                  </w:r>
                </w:p>
                <w:p w14:paraId="5EBB553A">
                  <w:pPr>
                    <w:pStyle w:val="35"/>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（六）违反法律、法规的规定开垦种植而取用地下水。</w:t>
                  </w:r>
                </w:p>
              </w:tc>
              <w:tc>
                <w:tcPr>
                  <w:tcW w:w="1481" w:type="pct"/>
                  <w:vAlign w:val="center"/>
                </w:tcPr>
                <w:p w14:paraId="060997D5">
                  <w:pPr>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本项目所在地不属于限制开采区，要求建设单位取得取水证后进行开采</w:t>
                  </w:r>
                </w:p>
              </w:tc>
              <w:tc>
                <w:tcPr>
                  <w:tcW w:w="465" w:type="pct"/>
                  <w:vAlign w:val="center"/>
                </w:tcPr>
                <w:p w14:paraId="2399A1C2">
                  <w:pPr>
                    <w:keepNext w:val="0"/>
                    <w:keepLines w:val="0"/>
                    <w:pageBreakBefore w:val="0"/>
                    <w:kinsoku/>
                    <w:wordWrap/>
                    <w:overflowPunct/>
                    <w:topLinePunct w:val="0"/>
                    <w:bidi w:val="0"/>
                    <w:snapToGrid/>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w:t>
                  </w:r>
                </w:p>
              </w:tc>
            </w:tr>
          </w:tbl>
          <w:p w14:paraId="02C283AD">
            <w:pPr>
              <w:rPr>
                <w:color w:val="auto"/>
                <w:kern w:val="0"/>
                <w:sz w:val="24"/>
                <w:highlight w:val="none"/>
              </w:rPr>
            </w:pPr>
          </w:p>
        </w:tc>
      </w:tr>
    </w:tbl>
    <w:p w14:paraId="4F7F1CC9">
      <w:pPr>
        <w:spacing w:line="360" w:lineRule="auto"/>
        <w:outlineLvl w:val="0"/>
        <w:rPr>
          <w:color w:val="auto"/>
          <w:sz w:val="30"/>
          <w:highlight w:val="none"/>
        </w:rPr>
        <w:sectPr>
          <w:headerReference r:id="rId5" w:type="default"/>
          <w:footerReference r:id="rId6" w:type="default"/>
          <w:pgSz w:w="11906" w:h="16838"/>
          <w:pgMar w:top="1418" w:right="1134" w:bottom="1418" w:left="1247" w:header="851" w:footer="1077" w:gutter="0"/>
          <w:pgNumType w:start="1"/>
          <w:cols w:space="720" w:num="1"/>
          <w:docGrid w:linePitch="312" w:charSpace="0"/>
        </w:sectPr>
      </w:pPr>
    </w:p>
    <w:p w14:paraId="22D71D27">
      <w:pPr>
        <w:pStyle w:val="35"/>
        <w:jc w:val="center"/>
        <w:outlineLvl w:val="0"/>
        <w:rPr>
          <w:rFonts w:ascii="Times New Roman" w:hAnsi="Times New Roman"/>
          <w:b/>
          <w:snapToGrid w:val="0"/>
          <w:color w:val="auto"/>
          <w:sz w:val="30"/>
          <w:szCs w:val="30"/>
          <w:highlight w:val="none"/>
        </w:rPr>
      </w:pPr>
      <w:r>
        <w:rPr>
          <w:rFonts w:ascii="Times New Roman" w:hAnsi="Times New Roman"/>
          <w:b/>
          <w:snapToGrid w:val="0"/>
          <w:color w:val="auto"/>
          <w:sz w:val="30"/>
          <w:szCs w:val="30"/>
          <w:highlight w:val="none"/>
        </w:rPr>
        <w:t>二、建设项目工程分析</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8447"/>
      </w:tblGrid>
      <w:tr w14:paraId="57858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658" w:type="dxa"/>
            <w:vAlign w:val="center"/>
          </w:tcPr>
          <w:p w14:paraId="2DEAF5CB">
            <w:pPr>
              <w:pStyle w:val="35"/>
              <w:adjustRightInd w:val="0"/>
              <w:snapToGrid w:val="0"/>
              <w:spacing w:before="0" w:beforeAutospacing="0" w:after="0" w:afterAutospacing="0"/>
              <w:jc w:val="center"/>
              <w:rPr>
                <w:rFonts w:ascii="Times New Roman" w:hAnsi="Times New Roman"/>
                <w:b/>
                <w:color w:val="auto"/>
                <w:szCs w:val="24"/>
                <w:highlight w:val="none"/>
              </w:rPr>
            </w:pPr>
            <w:r>
              <w:rPr>
                <w:rFonts w:ascii="Times New Roman" w:hAnsi="Times New Roman"/>
                <w:b/>
                <w:color w:val="auto"/>
                <w:szCs w:val="24"/>
                <w:highlight w:val="none"/>
              </w:rPr>
              <w:t>建设内容</w:t>
            </w:r>
          </w:p>
        </w:tc>
        <w:tc>
          <w:tcPr>
            <w:tcW w:w="8402" w:type="dxa"/>
          </w:tcPr>
          <w:p w14:paraId="4C20C86D">
            <w:pPr>
              <w:spacing w:line="360" w:lineRule="auto"/>
              <w:rPr>
                <w:b/>
                <w:color w:val="auto"/>
                <w:sz w:val="24"/>
                <w:highlight w:val="none"/>
              </w:rPr>
            </w:pPr>
            <w:r>
              <w:rPr>
                <w:b/>
                <w:color w:val="auto"/>
                <w:sz w:val="24"/>
                <w:highlight w:val="none"/>
              </w:rPr>
              <w:t>1、项目</w:t>
            </w:r>
            <w:r>
              <w:rPr>
                <w:rFonts w:hint="eastAsia"/>
                <w:b/>
                <w:color w:val="auto"/>
                <w:sz w:val="24"/>
                <w:highlight w:val="none"/>
              </w:rPr>
              <w:t>背景</w:t>
            </w:r>
          </w:p>
          <w:p w14:paraId="0BA1E985">
            <w:pPr>
              <w:spacing w:line="360" w:lineRule="auto"/>
              <w:ind w:firstLine="480" w:firstLineChars="200"/>
              <w:rPr>
                <w:color w:val="auto"/>
                <w:kern w:val="0"/>
                <w:sz w:val="24"/>
                <w:highlight w:val="none"/>
              </w:rPr>
            </w:pPr>
            <w:r>
              <w:rPr>
                <w:rFonts w:hint="eastAsia"/>
                <w:color w:val="auto"/>
                <w:sz w:val="24"/>
                <w:highlight w:val="none"/>
              </w:rPr>
              <w:t>宿州市瑞芸食品饮料有限公司</w:t>
            </w:r>
            <w:r>
              <w:rPr>
                <w:rFonts w:hint="eastAsia"/>
                <w:color w:val="auto"/>
                <w:kern w:val="0"/>
                <w:sz w:val="24"/>
                <w:highlight w:val="none"/>
                <w:lang w:eastAsia="zh-CN"/>
              </w:rPr>
              <w:t>成立于</w:t>
            </w:r>
            <w:r>
              <w:rPr>
                <w:rFonts w:hint="eastAsia"/>
                <w:color w:val="auto"/>
                <w:kern w:val="0"/>
                <w:sz w:val="24"/>
                <w:highlight w:val="none"/>
                <w:lang w:val="en-US" w:eastAsia="zh-CN"/>
              </w:rPr>
              <w:t>2024年11月25日，位于</w:t>
            </w:r>
            <w:r>
              <w:rPr>
                <w:rFonts w:ascii="宋体" w:hAnsi="宋体" w:eastAsia="宋体" w:cs="宋体"/>
                <w:color w:val="auto"/>
                <w:sz w:val="24"/>
                <w:szCs w:val="24"/>
                <w:highlight w:val="none"/>
              </w:rPr>
              <w:t>安徽省宿州市埇桥区朱仙庄镇镇西村大张组29处标准化1-1层</w:t>
            </w:r>
            <w:r>
              <w:rPr>
                <w:rFonts w:hint="eastAsia"/>
                <w:color w:val="auto"/>
                <w:kern w:val="0"/>
                <w:sz w:val="24"/>
                <w:highlight w:val="none"/>
                <w:lang w:val="en-US" w:eastAsia="zh-CN"/>
              </w:rPr>
              <w:t>，公司主营业务包括：</w:t>
            </w:r>
            <w:r>
              <w:rPr>
                <w:rFonts w:ascii="宋体" w:hAnsi="宋体" w:eastAsia="宋体" w:cs="宋体"/>
                <w:color w:val="auto"/>
                <w:sz w:val="24"/>
                <w:szCs w:val="24"/>
                <w:highlight w:val="none"/>
              </w:rPr>
              <w:t>经营范围包括许可项目：食品生产；食品销售；饮料生产；酒类经营（依法须经批准的项目，经相关部门批准后方可开展经营活动，具体经营项目以相关部门批准文件或许可证件为准）一般项目：保健食品（预包装）销售；食品销售（仅销售预包装食品）；办公用品销售；日用百货销售；塑料制品制造；塑料制品销售；五金产品批发；建筑材料销售（除许可业务外，可自主依法经营法律法规非禁止或限制的项目）</w:t>
            </w:r>
            <w:r>
              <w:rPr>
                <w:rFonts w:hint="eastAsia"/>
                <w:color w:val="auto"/>
                <w:kern w:val="0"/>
                <w:sz w:val="24"/>
                <w:highlight w:val="none"/>
                <w:lang w:val="en-US" w:eastAsia="zh-CN"/>
              </w:rPr>
              <w:t>。</w:t>
            </w:r>
          </w:p>
          <w:p w14:paraId="6B0D1B27">
            <w:pPr>
              <w:widowControl/>
              <w:spacing w:line="360" w:lineRule="auto"/>
              <w:ind w:firstLine="480" w:firstLineChars="200"/>
              <w:rPr>
                <w:color w:val="auto"/>
                <w:sz w:val="24"/>
                <w:highlight w:val="none"/>
              </w:rPr>
            </w:pPr>
            <w:r>
              <w:rPr>
                <w:color w:val="auto"/>
                <w:sz w:val="24"/>
                <w:highlight w:val="none"/>
              </w:rPr>
              <w:t>根据《中华人民共和国环境影响评价法》及《建设项目环境保护管理条例》等法规文件，同时根据《建设项目环境影响评价分类管理名录》（2021年版），本项目属于</w:t>
            </w:r>
            <w:r>
              <w:rPr>
                <w:rFonts w:hint="eastAsia"/>
                <w:color w:val="auto"/>
                <w:sz w:val="24"/>
                <w:highlight w:val="none"/>
              </w:rPr>
              <w:t>十二、酒、饮料制造业</w:t>
            </w:r>
            <w:r>
              <w:rPr>
                <w:rFonts w:hint="eastAsia"/>
                <w:color w:val="auto"/>
                <w:sz w:val="24"/>
                <w:highlight w:val="none"/>
                <w:lang w:val="en-US" w:eastAsia="zh-CN"/>
              </w:rPr>
              <w:t xml:space="preserve"> </w:t>
            </w:r>
            <w:r>
              <w:rPr>
                <w:rFonts w:hint="eastAsia"/>
                <w:color w:val="auto"/>
                <w:sz w:val="24"/>
                <w:highlight w:val="none"/>
              </w:rPr>
              <w:t>15</w:t>
            </w:r>
            <w:r>
              <w:rPr>
                <w:rFonts w:hint="eastAsia"/>
                <w:color w:val="auto"/>
                <w:sz w:val="24"/>
                <w:highlight w:val="none"/>
                <w:lang w:val="en-US" w:eastAsia="zh-CN"/>
              </w:rPr>
              <w:t xml:space="preserve"> </w:t>
            </w:r>
            <w:r>
              <w:rPr>
                <w:rFonts w:hint="eastAsia"/>
                <w:color w:val="auto"/>
                <w:sz w:val="24"/>
                <w:highlight w:val="none"/>
              </w:rPr>
              <w:t>饮料制造 152*</w:t>
            </w:r>
            <w:r>
              <w:rPr>
                <w:rFonts w:hint="eastAsia" w:ascii="宋体" w:hAnsi="宋体" w:eastAsia="宋体" w:cs="宋体"/>
                <w:color w:val="auto"/>
                <w:kern w:val="0"/>
                <w:sz w:val="24"/>
                <w:szCs w:val="24"/>
                <w:highlight w:val="none"/>
                <w:lang w:val="en-US" w:eastAsia="zh-CN" w:bidi="ar"/>
              </w:rPr>
              <w:t>，本项目生产不涉及发酵工艺和原汁生产；二十六、橡胶和塑料制品业</w:t>
            </w:r>
            <w:r>
              <w:rPr>
                <w:rFonts w:hint="default" w:ascii="Times New Roman" w:hAnsi="Times New Roman" w:eastAsia="宋体" w:cs="Times New Roman"/>
                <w:color w:val="auto"/>
                <w:kern w:val="0"/>
                <w:sz w:val="24"/>
                <w:szCs w:val="24"/>
                <w:highlight w:val="none"/>
                <w:lang w:val="en-US" w:eastAsia="zh-CN" w:bidi="ar"/>
              </w:rPr>
              <w:t>29</w:t>
            </w:r>
            <w:r>
              <w:rPr>
                <w:rFonts w:hint="eastAsia" w:ascii="宋体" w:hAnsi="宋体" w:eastAsia="宋体" w:cs="宋体"/>
                <w:color w:val="auto"/>
                <w:kern w:val="0"/>
                <w:sz w:val="24"/>
                <w:szCs w:val="24"/>
                <w:highlight w:val="none"/>
                <w:lang w:val="en-US" w:eastAsia="zh-CN" w:bidi="ar"/>
              </w:rPr>
              <w:t>塑料制品业</w:t>
            </w:r>
            <w:r>
              <w:rPr>
                <w:rFonts w:hint="default" w:ascii="Times New Roman" w:hAnsi="Times New Roman" w:eastAsia="宋体" w:cs="Times New Roman"/>
                <w:color w:val="auto"/>
                <w:kern w:val="0"/>
                <w:sz w:val="24"/>
                <w:szCs w:val="24"/>
                <w:highlight w:val="none"/>
                <w:lang w:val="en-US" w:eastAsia="zh-CN" w:bidi="ar"/>
              </w:rPr>
              <w:t>292</w:t>
            </w:r>
            <w:r>
              <w:rPr>
                <w:rFonts w:hint="eastAsia" w:ascii="宋体" w:hAnsi="宋体" w:eastAsia="宋体" w:cs="宋体"/>
                <w:color w:val="auto"/>
                <w:kern w:val="0"/>
                <w:sz w:val="24"/>
                <w:szCs w:val="24"/>
                <w:highlight w:val="none"/>
                <w:lang w:val="en-US" w:eastAsia="zh-CN" w:bidi="ar"/>
              </w:rPr>
              <w:t>中“其他（（年用非溶剂型低</w:t>
            </w:r>
            <w:r>
              <w:rPr>
                <w:rFonts w:hint="default" w:ascii="Times New Roman" w:hAnsi="Times New Roman" w:eastAsia="宋体" w:cs="Times New Roman"/>
                <w:color w:val="auto"/>
                <w:kern w:val="0"/>
                <w:sz w:val="24"/>
                <w:szCs w:val="24"/>
                <w:highlight w:val="none"/>
                <w:lang w:val="en-US" w:eastAsia="zh-CN" w:bidi="ar"/>
              </w:rPr>
              <w:t>VOCs</w:t>
            </w:r>
            <w:r>
              <w:rPr>
                <w:rFonts w:hint="eastAsia" w:ascii="宋体" w:hAnsi="宋体" w:eastAsia="宋体" w:cs="宋体"/>
                <w:color w:val="auto"/>
                <w:kern w:val="0"/>
                <w:sz w:val="24"/>
                <w:szCs w:val="24"/>
                <w:highlight w:val="none"/>
                <w:lang w:val="en-US" w:eastAsia="zh-CN" w:bidi="ar"/>
              </w:rPr>
              <w:t>含量涂料</w:t>
            </w:r>
            <w:r>
              <w:rPr>
                <w:rFonts w:hint="default" w:ascii="Times New Roman" w:hAnsi="Times New Roman" w:eastAsia="宋体" w:cs="Times New Roman"/>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吨以下的除外）”</w:t>
            </w:r>
            <w:r>
              <w:rPr>
                <w:color w:val="auto"/>
                <w:sz w:val="24"/>
                <w:highlight w:val="none"/>
              </w:rPr>
              <w:t>，需编制环境影响评价报告表，为此</w:t>
            </w:r>
            <w:r>
              <w:rPr>
                <w:rFonts w:hint="eastAsia"/>
                <w:color w:val="auto"/>
                <w:sz w:val="24"/>
                <w:highlight w:val="none"/>
              </w:rPr>
              <w:t>宿州市瑞芸食品饮料有限公司</w:t>
            </w:r>
            <w:r>
              <w:rPr>
                <w:color w:val="auto"/>
                <w:sz w:val="24"/>
                <w:highlight w:val="none"/>
              </w:rPr>
              <w:t>委托</w:t>
            </w:r>
            <w:r>
              <w:rPr>
                <w:rFonts w:hint="eastAsia"/>
                <w:color w:val="auto"/>
                <w:sz w:val="24"/>
                <w:highlight w:val="none"/>
                <w:lang w:eastAsia="zh-CN"/>
              </w:rPr>
              <w:t>安徽显闰环境科技有限公司</w:t>
            </w:r>
            <w:r>
              <w:rPr>
                <w:color w:val="auto"/>
                <w:sz w:val="24"/>
                <w:highlight w:val="none"/>
              </w:rPr>
              <w:t>开展本项目环境影响报告表的编制工作。环评单位接受委托后，立即开展了详细的现场踏勘、资料收集工作，在对项目有关环境现状和环境影响进行分析后，依照环境影响评价技术相关导则的要求编制了《</w:t>
            </w:r>
            <w:r>
              <w:rPr>
                <w:rFonts w:hint="eastAsia"/>
                <w:color w:val="auto"/>
                <w:sz w:val="24"/>
                <w:highlight w:val="none"/>
              </w:rPr>
              <w:t>宿州市瑞芸食品饮料有限公司年产2万吨纯净水饮料项目</w:t>
            </w:r>
            <w:r>
              <w:rPr>
                <w:color w:val="auto"/>
                <w:sz w:val="24"/>
                <w:highlight w:val="none"/>
              </w:rPr>
              <w:t>环境影响报告表》，报请生态环境主管部门审批。</w:t>
            </w:r>
          </w:p>
          <w:p w14:paraId="31C6CD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32"/>
                <w:highlight w:val="none"/>
              </w:rPr>
            </w:pPr>
            <w:r>
              <w:rPr>
                <w:color w:val="auto"/>
                <w:sz w:val="24"/>
                <w:szCs w:val="32"/>
                <w:highlight w:val="none"/>
              </w:rPr>
              <w:t>本项目的国民经济行业类别为</w:t>
            </w:r>
            <w:r>
              <w:rPr>
                <w:rFonts w:hint="default"/>
                <w:color w:val="auto"/>
                <w:sz w:val="24"/>
                <w:szCs w:val="32"/>
                <w:highlight w:val="none"/>
                <w:lang w:val="en-US" w:eastAsia="zh-CN"/>
              </w:rPr>
              <w:t>C1522</w:t>
            </w:r>
            <w:r>
              <w:rPr>
                <w:rFonts w:hint="eastAsia"/>
                <w:color w:val="auto"/>
                <w:sz w:val="24"/>
                <w:szCs w:val="32"/>
                <w:highlight w:val="none"/>
                <w:lang w:val="en-US" w:eastAsia="zh-CN"/>
              </w:rPr>
              <w:t>瓶（罐）装饮用水制造、</w:t>
            </w:r>
            <w:r>
              <w:rPr>
                <w:rFonts w:hint="default"/>
                <w:color w:val="auto"/>
                <w:sz w:val="24"/>
                <w:szCs w:val="32"/>
                <w:highlight w:val="none"/>
                <w:lang w:val="en-US" w:eastAsia="zh-CN"/>
              </w:rPr>
              <w:t>C2926</w:t>
            </w:r>
            <w:r>
              <w:rPr>
                <w:rFonts w:hint="eastAsia"/>
                <w:color w:val="auto"/>
                <w:sz w:val="24"/>
                <w:szCs w:val="32"/>
                <w:highlight w:val="none"/>
                <w:lang w:val="en-US" w:eastAsia="zh-CN"/>
              </w:rPr>
              <w:t>塑料包装箱及容器制造</w:t>
            </w:r>
            <w:r>
              <w:rPr>
                <w:color w:val="auto"/>
                <w:sz w:val="24"/>
                <w:szCs w:val="32"/>
                <w:highlight w:val="none"/>
              </w:rPr>
              <w:t>。按《固定污染源排污许可分类管理名录（2019年版）》进行判定，可知：本项目属于固定污染源排污许可分类管理名录表中的</w:t>
            </w:r>
            <w:r>
              <w:rPr>
                <w:rFonts w:hint="eastAsia"/>
                <w:color w:val="auto"/>
                <w:sz w:val="24"/>
                <w:szCs w:val="32"/>
                <w:highlight w:val="none"/>
                <w:lang w:eastAsia="zh-CN"/>
              </w:rPr>
              <w:t>“</w:t>
            </w:r>
            <w:r>
              <w:rPr>
                <w:rFonts w:hint="eastAsia"/>
                <w:color w:val="auto"/>
                <w:sz w:val="24"/>
                <w:szCs w:val="32"/>
                <w:highlight w:val="none"/>
                <w:lang w:val="en-US" w:eastAsia="zh-CN"/>
              </w:rPr>
              <w:t>十、酒、饮料和精制茶制造业15饮料制造152</w:t>
            </w:r>
            <w:r>
              <w:rPr>
                <w:color w:val="auto"/>
                <w:sz w:val="24"/>
                <w:szCs w:val="32"/>
                <w:highlight w:val="none"/>
              </w:rPr>
              <w:t>，</w:t>
            </w:r>
            <w:r>
              <w:rPr>
                <w:rFonts w:hint="eastAsia"/>
                <w:color w:val="auto"/>
                <w:sz w:val="24"/>
                <w:szCs w:val="32"/>
                <w:highlight w:val="none"/>
                <w:lang w:val="en-US" w:eastAsia="zh-CN"/>
              </w:rPr>
              <w:t>其他</w:t>
            </w:r>
            <w:r>
              <w:rPr>
                <w:rFonts w:hint="eastAsia"/>
                <w:color w:val="auto"/>
                <w:sz w:val="24"/>
                <w:szCs w:val="32"/>
                <w:highlight w:val="none"/>
                <w:vertAlign w:val="superscript"/>
                <w:lang w:val="en-US" w:eastAsia="zh-CN"/>
              </w:rPr>
              <w:t>*</w:t>
            </w:r>
            <w:r>
              <w:rPr>
                <w:rFonts w:hint="eastAsia"/>
                <w:color w:val="auto"/>
                <w:sz w:val="24"/>
                <w:szCs w:val="32"/>
                <w:highlight w:val="none"/>
                <w:lang w:val="en-US" w:eastAsia="zh-CN"/>
              </w:rPr>
              <w:t>”</w:t>
            </w:r>
            <w:r>
              <w:rPr>
                <w:rFonts w:hint="eastAsia"/>
                <w:color w:val="auto"/>
                <w:sz w:val="24"/>
                <w:szCs w:val="32"/>
                <w:highlight w:val="none"/>
                <w:lang w:eastAsia="zh-CN"/>
              </w:rPr>
              <w:t>、“</w:t>
            </w:r>
            <w:r>
              <w:rPr>
                <w:rFonts w:hint="eastAsia"/>
                <w:color w:val="auto"/>
                <w:sz w:val="24"/>
                <w:szCs w:val="32"/>
                <w:highlight w:val="none"/>
                <w:lang w:val="en-US" w:eastAsia="zh-CN"/>
              </w:rPr>
              <w:t>二十四、橡胶和塑料制品业29年产1万吨及以上的泡沫塑料制造2924，年产1万吨及以上涉及改性的塑料薄膜制造2921、塑料板、管、型材制造2922、塑料丝、绳和编织品制造2923、</w:t>
            </w:r>
            <w:r>
              <w:rPr>
                <w:rFonts w:hint="eastAsia"/>
                <w:b/>
                <w:bCs/>
                <w:color w:val="auto"/>
                <w:sz w:val="24"/>
                <w:szCs w:val="32"/>
                <w:highlight w:val="none"/>
                <w:lang w:val="en-US" w:eastAsia="zh-CN"/>
              </w:rPr>
              <w:t>塑料包装箱及容器制造2926</w:t>
            </w:r>
            <w:r>
              <w:rPr>
                <w:rFonts w:hint="eastAsia"/>
                <w:color w:val="auto"/>
                <w:sz w:val="24"/>
                <w:szCs w:val="32"/>
                <w:highlight w:val="none"/>
                <w:lang w:val="en-US" w:eastAsia="zh-CN"/>
              </w:rPr>
              <w:t>、日用塑料品制造2927、人造草坪制造2928、塑料零件及其他塑料制品制造2929</w:t>
            </w:r>
            <w:r>
              <w:rPr>
                <w:rFonts w:hint="eastAsia"/>
                <w:color w:val="auto"/>
                <w:sz w:val="24"/>
                <w:szCs w:val="32"/>
                <w:highlight w:val="none"/>
                <w:lang w:eastAsia="zh-CN"/>
              </w:rPr>
              <w:t>”</w:t>
            </w:r>
            <w:r>
              <w:rPr>
                <w:color w:val="auto"/>
                <w:sz w:val="24"/>
                <w:szCs w:val="32"/>
                <w:highlight w:val="none"/>
              </w:rPr>
              <w:t>，</w:t>
            </w:r>
            <w:r>
              <w:rPr>
                <w:rFonts w:hint="eastAsia"/>
                <w:color w:val="auto"/>
                <w:sz w:val="24"/>
                <w:szCs w:val="32"/>
                <w:highlight w:val="none"/>
                <w:lang w:eastAsia="zh-CN"/>
              </w:rPr>
              <w:t>因此本项目为简化管理</w:t>
            </w:r>
            <w:r>
              <w:rPr>
                <w:rFonts w:hint="eastAsia"/>
                <w:color w:val="auto"/>
                <w:sz w:val="24"/>
                <w:szCs w:val="32"/>
                <w:highlight w:val="none"/>
              </w:rPr>
              <w:t>。</w:t>
            </w:r>
          </w:p>
          <w:p w14:paraId="5A48F313">
            <w:pPr>
              <w:adjustRightInd w:val="0"/>
              <w:snapToGrid w:val="0"/>
              <w:spacing w:line="360" w:lineRule="auto"/>
              <w:rPr>
                <w:rFonts w:hint="eastAsia" w:eastAsia="宋体"/>
                <w:bCs/>
                <w:color w:val="auto"/>
                <w:sz w:val="24"/>
                <w:highlight w:val="none"/>
                <w:lang w:eastAsia="zh-CN"/>
              </w:rPr>
            </w:pPr>
            <w:r>
              <w:rPr>
                <w:rFonts w:hint="eastAsia"/>
                <w:bCs/>
                <w:color w:val="auto"/>
                <w:sz w:val="24"/>
                <w:highlight w:val="none"/>
                <w:lang w:val="en-US" w:eastAsia="zh-CN"/>
              </w:rPr>
              <w:t>2、</w:t>
            </w:r>
            <w:r>
              <w:rPr>
                <w:rFonts w:hint="eastAsia"/>
                <w:bCs/>
                <w:color w:val="auto"/>
                <w:sz w:val="24"/>
                <w:highlight w:val="none"/>
                <w:lang w:eastAsia="zh-CN"/>
              </w:rPr>
              <w:t>建设内容及规模</w:t>
            </w:r>
          </w:p>
          <w:p w14:paraId="3A15748C">
            <w:pPr>
              <w:adjustRightInd w:val="0"/>
              <w:snapToGrid w:val="0"/>
              <w:spacing w:line="360" w:lineRule="auto"/>
              <w:rPr>
                <w:rFonts w:hint="default" w:eastAsia="宋体"/>
                <w:bCs/>
                <w:color w:val="auto"/>
                <w:sz w:val="24"/>
                <w:highlight w:val="none"/>
                <w:lang w:val="en-US" w:eastAsia="zh-CN"/>
              </w:rPr>
            </w:pPr>
            <w:r>
              <w:rPr>
                <w:rFonts w:hint="eastAsia"/>
                <w:bCs/>
                <w:color w:val="auto"/>
                <w:sz w:val="24"/>
                <w:highlight w:val="none"/>
                <w:lang w:val="en-US" w:eastAsia="zh-CN"/>
              </w:rPr>
              <w:t>2.1建设项目概况</w:t>
            </w:r>
          </w:p>
          <w:p w14:paraId="435D4F66">
            <w:pPr>
              <w:adjustRightInd w:val="0"/>
              <w:snapToGrid w:val="0"/>
              <w:spacing w:line="360" w:lineRule="auto"/>
              <w:ind w:firstLine="480" w:firstLineChars="200"/>
              <w:rPr>
                <w:color w:val="auto"/>
                <w:sz w:val="24"/>
                <w:highlight w:val="none"/>
              </w:rPr>
            </w:pPr>
            <w:r>
              <w:rPr>
                <w:bCs/>
                <w:color w:val="auto"/>
                <w:sz w:val="24"/>
                <w:highlight w:val="none"/>
              </w:rPr>
              <w:t>项目名称：</w:t>
            </w:r>
            <w:r>
              <w:rPr>
                <w:rFonts w:hint="eastAsia"/>
                <w:color w:val="auto"/>
                <w:sz w:val="24"/>
                <w:highlight w:val="none"/>
              </w:rPr>
              <w:t>宿州市瑞芸食品饮料有限公司年产2万吨纯净水饮料项目</w:t>
            </w:r>
          </w:p>
          <w:p w14:paraId="00CD04AD">
            <w:pPr>
              <w:adjustRightInd w:val="0"/>
              <w:snapToGrid w:val="0"/>
              <w:spacing w:line="360" w:lineRule="auto"/>
              <w:ind w:firstLine="480" w:firstLineChars="200"/>
              <w:rPr>
                <w:bCs/>
                <w:color w:val="auto"/>
                <w:sz w:val="24"/>
                <w:highlight w:val="none"/>
              </w:rPr>
            </w:pPr>
            <w:r>
              <w:rPr>
                <w:bCs/>
                <w:color w:val="auto"/>
                <w:sz w:val="24"/>
                <w:highlight w:val="none"/>
              </w:rPr>
              <w:t>建设单位：</w:t>
            </w:r>
            <w:r>
              <w:rPr>
                <w:rFonts w:hint="eastAsia"/>
                <w:color w:val="auto"/>
                <w:sz w:val="24"/>
                <w:highlight w:val="none"/>
              </w:rPr>
              <w:t>宿州市瑞芸食品饮料有限公司</w:t>
            </w:r>
          </w:p>
          <w:p w14:paraId="2CD7697C">
            <w:pPr>
              <w:adjustRightInd w:val="0"/>
              <w:snapToGrid w:val="0"/>
              <w:spacing w:line="360" w:lineRule="auto"/>
              <w:ind w:firstLine="480" w:firstLineChars="200"/>
              <w:rPr>
                <w:bCs/>
                <w:color w:val="auto"/>
                <w:sz w:val="24"/>
                <w:highlight w:val="none"/>
              </w:rPr>
            </w:pPr>
            <w:r>
              <w:rPr>
                <w:bCs/>
                <w:color w:val="auto"/>
                <w:sz w:val="24"/>
                <w:highlight w:val="none"/>
              </w:rPr>
              <w:t>项目性质：</w:t>
            </w:r>
            <w:r>
              <w:rPr>
                <w:rFonts w:hint="eastAsia"/>
                <w:bCs/>
                <w:color w:val="auto"/>
                <w:sz w:val="24"/>
                <w:highlight w:val="none"/>
                <w:lang w:eastAsia="zh-CN"/>
              </w:rPr>
              <w:t>新</w:t>
            </w:r>
            <w:r>
              <w:rPr>
                <w:rFonts w:hint="eastAsia"/>
                <w:bCs/>
                <w:color w:val="auto"/>
                <w:sz w:val="24"/>
                <w:highlight w:val="none"/>
              </w:rPr>
              <w:t>建</w:t>
            </w:r>
          </w:p>
          <w:p w14:paraId="713C16DF">
            <w:pPr>
              <w:adjustRightInd w:val="0"/>
              <w:snapToGrid w:val="0"/>
              <w:spacing w:line="360" w:lineRule="auto"/>
              <w:ind w:firstLine="480" w:firstLineChars="200"/>
              <w:rPr>
                <w:rFonts w:hint="eastAsia" w:eastAsia="宋体"/>
                <w:bCs/>
                <w:color w:val="auto"/>
                <w:sz w:val="24"/>
                <w:highlight w:val="none"/>
                <w:lang w:eastAsia="zh-CN"/>
              </w:rPr>
            </w:pPr>
            <w:r>
              <w:rPr>
                <w:bCs/>
                <w:color w:val="auto"/>
                <w:sz w:val="24"/>
                <w:highlight w:val="none"/>
              </w:rPr>
              <w:t>建设地点：</w:t>
            </w:r>
            <w:r>
              <w:rPr>
                <w:rFonts w:hint="eastAsia"/>
                <w:color w:val="auto"/>
                <w:kern w:val="0"/>
                <w:sz w:val="24"/>
                <w:highlight w:val="none"/>
              </w:rPr>
              <w:t>安徽省宿州市埇桥区</w:t>
            </w:r>
            <w:r>
              <w:rPr>
                <w:rFonts w:hint="eastAsia"/>
                <w:color w:val="auto"/>
                <w:kern w:val="0"/>
                <w:sz w:val="24"/>
                <w:highlight w:val="none"/>
                <w:lang w:eastAsia="zh-CN"/>
              </w:rPr>
              <w:t>朱仙庄镇镇西村</w:t>
            </w:r>
          </w:p>
          <w:p w14:paraId="4B57FAC2">
            <w:pPr>
              <w:adjustRightInd w:val="0"/>
              <w:snapToGrid w:val="0"/>
              <w:spacing w:line="360" w:lineRule="auto"/>
              <w:ind w:firstLine="480" w:firstLineChars="200"/>
              <w:rPr>
                <w:rFonts w:hint="default" w:eastAsia="宋体"/>
                <w:bCs/>
                <w:color w:val="auto"/>
                <w:sz w:val="24"/>
                <w:highlight w:val="none"/>
                <w:lang w:val="en-US" w:eastAsia="zh-CN"/>
              </w:rPr>
            </w:pPr>
            <w:r>
              <w:rPr>
                <w:bCs/>
                <w:color w:val="auto"/>
                <w:sz w:val="24"/>
                <w:highlight w:val="none"/>
              </w:rPr>
              <w:t>投资总额：</w:t>
            </w:r>
            <w:r>
              <w:rPr>
                <w:rFonts w:hint="eastAsia"/>
                <w:bCs/>
                <w:color w:val="auto"/>
                <w:sz w:val="24"/>
                <w:highlight w:val="none"/>
                <w:lang w:val="en-US" w:eastAsia="zh-CN"/>
              </w:rPr>
              <w:t>26</w:t>
            </w:r>
            <w:r>
              <w:rPr>
                <w:rFonts w:hint="eastAsia"/>
                <w:bCs/>
                <w:color w:val="auto"/>
                <w:sz w:val="24"/>
                <w:highlight w:val="none"/>
              </w:rPr>
              <w:t>0</w:t>
            </w:r>
            <w:r>
              <w:rPr>
                <w:bCs/>
                <w:color w:val="auto"/>
                <w:sz w:val="24"/>
                <w:highlight w:val="none"/>
              </w:rPr>
              <w:t>万</w:t>
            </w:r>
            <w:r>
              <w:rPr>
                <w:color w:val="auto"/>
                <w:sz w:val="24"/>
                <w:highlight w:val="none"/>
              </w:rPr>
              <w:t>元</w:t>
            </w:r>
            <w:r>
              <w:rPr>
                <w:rFonts w:hint="eastAsia"/>
                <w:color w:val="auto"/>
                <w:sz w:val="24"/>
                <w:highlight w:val="none"/>
                <w:lang w:eastAsia="zh-CN"/>
              </w:rPr>
              <w:t>，其中环保投资</w:t>
            </w:r>
            <w:r>
              <w:rPr>
                <w:rFonts w:hint="eastAsia"/>
                <w:color w:val="auto"/>
                <w:sz w:val="24"/>
                <w:highlight w:val="none"/>
                <w:lang w:val="en-US" w:eastAsia="zh-CN"/>
              </w:rPr>
              <w:t>16</w:t>
            </w:r>
            <w:r>
              <w:rPr>
                <w:rFonts w:hint="eastAsia"/>
                <w:color w:val="auto"/>
                <w:sz w:val="24"/>
                <w:highlight w:val="none"/>
                <w:lang w:eastAsia="zh-CN"/>
              </w:rPr>
              <w:t>万元，占总投资的</w:t>
            </w:r>
            <w:r>
              <w:rPr>
                <w:rFonts w:hint="eastAsia"/>
                <w:color w:val="auto"/>
                <w:sz w:val="24"/>
                <w:highlight w:val="none"/>
                <w:lang w:val="en-US" w:eastAsia="zh-CN"/>
              </w:rPr>
              <w:t>6.15%</w:t>
            </w:r>
            <w:r>
              <w:rPr>
                <w:rFonts w:hint="eastAsia"/>
                <w:color w:val="auto"/>
                <w:sz w:val="24"/>
                <w:highlight w:val="none"/>
                <w:lang w:eastAsia="zh-CN"/>
              </w:rPr>
              <w:t>。</w:t>
            </w:r>
          </w:p>
          <w:p w14:paraId="72DFEC00">
            <w:pPr>
              <w:spacing w:line="360" w:lineRule="auto"/>
              <w:rPr>
                <w:b/>
                <w:color w:val="auto"/>
                <w:sz w:val="24"/>
                <w:highlight w:val="none"/>
              </w:rPr>
            </w:pPr>
            <w:r>
              <w:rPr>
                <w:b/>
                <w:color w:val="auto"/>
                <w:sz w:val="24"/>
                <w:highlight w:val="none"/>
              </w:rPr>
              <w:t>2</w:t>
            </w:r>
            <w:r>
              <w:rPr>
                <w:rFonts w:hint="eastAsia"/>
                <w:b/>
                <w:color w:val="auto"/>
                <w:sz w:val="24"/>
                <w:highlight w:val="none"/>
                <w:lang w:val="en-US" w:eastAsia="zh-CN"/>
              </w:rPr>
              <w:t>.2</w:t>
            </w:r>
            <w:r>
              <w:rPr>
                <w:b/>
                <w:color w:val="auto"/>
                <w:sz w:val="24"/>
                <w:highlight w:val="none"/>
              </w:rPr>
              <w:t>、项目建设内容</w:t>
            </w:r>
          </w:p>
          <w:p w14:paraId="6229ECFF">
            <w:pPr>
              <w:pStyle w:val="23"/>
              <w:spacing w:line="360" w:lineRule="auto"/>
              <w:ind w:left="0" w:leftChars="0" w:firstLine="480" w:firstLineChars="200"/>
              <w:rPr>
                <w:rFonts w:hint="default"/>
                <w:color w:val="auto"/>
                <w:highlight w:val="none"/>
                <w:lang w:val="en-US" w:eastAsia="zh-CN"/>
              </w:rPr>
            </w:pPr>
            <w:r>
              <w:rPr>
                <w:color w:val="auto"/>
                <w:highlight w:val="none"/>
              </w:rPr>
              <w:t>项目位于</w:t>
            </w:r>
            <w:r>
              <w:rPr>
                <w:rFonts w:hint="eastAsia"/>
                <w:color w:val="auto"/>
                <w:highlight w:val="none"/>
              </w:rPr>
              <w:t>安徽省</w:t>
            </w:r>
            <w:r>
              <w:rPr>
                <w:rFonts w:hint="eastAsia"/>
                <w:color w:val="auto"/>
                <w:kern w:val="0"/>
                <w:sz w:val="24"/>
                <w:highlight w:val="none"/>
              </w:rPr>
              <w:t>宿州市埇桥区</w:t>
            </w:r>
            <w:r>
              <w:rPr>
                <w:rFonts w:hint="eastAsia"/>
                <w:color w:val="auto"/>
                <w:kern w:val="0"/>
                <w:sz w:val="24"/>
                <w:highlight w:val="none"/>
                <w:lang w:eastAsia="zh-CN"/>
              </w:rPr>
              <w:t>朱仙庄镇镇西村</w:t>
            </w:r>
            <w:r>
              <w:rPr>
                <w:color w:val="auto"/>
                <w:highlight w:val="none"/>
              </w:rPr>
              <w:t>，</w:t>
            </w:r>
            <w:r>
              <w:rPr>
                <w:rFonts w:hint="eastAsia"/>
                <w:color w:val="auto"/>
                <w:highlight w:val="none"/>
              </w:rPr>
              <w:t>购置</w:t>
            </w:r>
            <w:r>
              <w:rPr>
                <w:rFonts w:hint="eastAsia"/>
                <w:color w:val="auto"/>
                <w:highlight w:val="none"/>
                <w:lang w:eastAsia="zh-CN"/>
              </w:rPr>
              <w:t>设备</w:t>
            </w:r>
            <w:r>
              <w:rPr>
                <w:rFonts w:hint="eastAsia"/>
                <w:color w:val="auto"/>
                <w:highlight w:val="none"/>
              </w:rPr>
              <w:t>生产线及辅助设备，并配套建设消防</w:t>
            </w:r>
            <w:r>
              <w:rPr>
                <w:rFonts w:hint="eastAsia"/>
                <w:color w:val="auto"/>
                <w:highlight w:val="none"/>
                <w:lang w:eastAsia="zh-CN"/>
              </w:rPr>
              <w:t>、环保</w:t>
            </w:r>
            <w:r>
              <w:rPr>
                <w:rFonts w:hint="eastAsia"/>
                <w:color w:val="auto"/>
                <w:highlight w:val="none"/>
              </w:rPr>
              <w:t>等辅助设施。</w:t>
            </w:r>
            <w:r>
              <w:rPr>
                <w:color w:val="auto"/>
                <w:highlight w:val="none"/>
              </w:rPr>
              <w:t>项目建成后，能</w:t>
            </w:r>
            <w:r>
              <w:rPr>
                <w:rFonts w:hint="eastAsia"/>
                <w:color w:val="auto"/>
                <w:highlight w:val="none"/>
                <w:lang w:eastAsia="zh-CN"/>
              </w:rPr>
              <w:t>达到</w:t>
            </w:r>
            <w:r>
              <w:rPr>
                <w:color w:val="auto"/>
                <w:highlight w:val="none"/>
              </w:rPr>
              <w:t>年产</w:t>
            </w:r>
            <w:r>
              <w:rPr>
                <w:rFonts w:hint="eastAsia"/>
                <w:color w:val="auto"/>
                <w:highlight w:val="none"/>
                <w:lang w:val="en-US" w:eastAsia="zh-CN"/>
              </w:rPr>
              <w:t>2</w:t>
            </w:r>
            <w:r>
              <w:rPr>
                <w:color w:val="auto"/>
                <w:highlight w:val="none"/>
              </w:rPr>
              <w:t>万</w:t>
            </w:r>
            <w:r>
              <w:rPr>
                <w:rFonts w:hint="eastAsia"/>
                <w:color w:val="auto"/>
                <w:highlight w:val="none"/>
                <w:lang w:eastAsia="zh-CN"/>
              </w:rPr>
              <w:t>吨纯净水饮料</w:t>
            </w:r>
            <w:r>
              <w:rPr>
                <w:color w:val="auto"/>
                <w:highlight w:val="none"/>
              </w:rPr>
              <w:t>。</w:t>
            </w:r>
            <w:r>
              <w:rPr>
                <w:rFonts w:hint="eastAsia"/>
                <w:color w:val="auto"/>
                <w:highlight w:val="none"/>
                <w:lang w:eastAsia="zh-CN"/>
              </w:rPr>
              <w:t>本项目</w:t>
            </w:r>
            <w:r>
              <w:rPr>
                <w:rFonts w:hint="eastAsia"/>
                <w:color w:val="auto"/>
                <w:highlight w:val="none"/>
                <w:lang w:val="en-US" w:eastAsia="zh-CN"/>
              </w:rPr>
              <w:t>不含取水工程，该工程另行评价。</w:t>
            </w:r>
          </w:p>
          <w:p w14:paraId="4B07B4A7">
            <w:pPr>
              <w:pStyle w:val="23"/>
              <w:spacing w:line="360" w:lineRule="auto"/>
              <w:ind w:left="0" w:leftChars="0" w:firstLine="480" w:firstLineChars="200"/>
              <w:rPr>
                <w:color w:val="auto"/>
                <w:highlight w:val="none"/>
              </w:rPr>
            </w:pPr>
            <w:r>
              <w:rPr>
                <w:color w:val="auto"/>
                <w:highlight w:val="none"/>
              </w:rPr>
              <w:t>主要建设内容及工程组成见下表。</w:t>
            </w:r>
          </w:p>
          <w:p w14:paraId="50C651D6">
            <w:pPr>
              <w:spacing w:line="240" w:lineRule="auto"/>
              <w:jc w:val="center"/>
              <w:rPr>
                <w:rFonts w:hint="default" w:eastAsia="宋体"/>
                <w:color w:val="auto"/>
                <w:sz w:val="24"/>
                <w:highlight w:val="none"/>
                <w:lang w:val="en-US" w:eastAsia="zh-CN"/>
              </w:rPr>
            </w:pPr>
            <w:r>
              <w:rPr>
                <w:rFonts w:hint="eastAsia" w:ascii="Times New Roman" w:hAnsi="Times New Roman" w:eastAsia="宋体" w:cs="Times New Roman"/>
                <w:b/>
                <w:bCs/>
                <w:color w:val="auto"/>
                <w:kern w:val="0"/>
                <w:sz w:val="24"/>
                <w:szCs w:val="20"/>
                <w:highlight w:val="none"/>
                <w:lang w:val="en-US" w:eastAsia="zh-CN" w:bidi="ar-SA"/>
              </w:rPr>
              <w:t>表2-1 主要工程建设内容一览表</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1764"/>
              <w:gridCol w:w="3959"/>
              <w:gridCol w:w="1221"/>
            </w:tblGrid>
            <w:tr w14:paraId="6E01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Align w:val="center"/>
                </w:tcPr>
                <w:p w14:paraId="4AC05E0B">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工程类别</w:t>
                  </w:r>
                </w:p>
              </w:tc>
              <w:tc>
                <w:tcPr>
                  <w:tcW w:w="1073" w:type="pct"/>
                  <w:vAlign w:val="center"/>
                </w:tcPr>
                <w:p w14:paraId="6D0D2DD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建设名称</w:t>
                  </w:r>
                </w:p>
              </w:tc>
              <w:tc>
                <w:tcPr>
                  <w:tcW w:w="3151" w:type="pct"/>
                  <w:gridSpan w:val="2"/>
                  <w:vAlign w:val="center"/>
                </w:tcPr>
                <w:p w14:paraId="48C05C2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建设内容</w:t>
                  </w:r>
                </w:p>
              </w:tc>
            </w:tr>
            <w:tr w14:paraId="26D2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restart"/>
                  <w:vAlign w:val="center"/>
                </w:tcPr>
                <w:p w14:paraId="11D4832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主体工程</w:t>
                  </w:r>
                </w:p>
              </w:tc>
              <w:tc>
                <w:tcPr>
                  <w:tcW w:w="1073" w:type="pct"/>
                  <w:vAlign w:val="center"/>
                </w:tcPr>
                <w:p w14:paraId="3EDE1D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水处理间</w:t>
                  </w:r>
                </w:p>
              </w:tc>
              <w:tc>
                <w:tcPr>
                  <w:tcW w:w="3151" w:type="pct"/>
                  <w:gridSpan w:val="2"/>
                  <w:vAlign w:val="center"/>
                </w:tcPr>
                <w:p w14:paraId="487A25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厂房高度8m，位于厂房西南侧，建筑面积约110.5m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，设置石英砂过滤器、活性炭过滤器等设备，对水进行处理，以便后期的灌装。</w:t>
                  </w:r>
                </w:p>
              </w:tc>
            </w:tr>
            <w:tr w14:paraId="3F5B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continue"/>
                  <w:vAlign w:val="center"/>
                </w:tcPr>
                <w:p w14:paraId="6E752C0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highlight w:val="none"/>
                      <w:lang w:val="en-US" w:eastAsia="zh-CN"/>
                    </w:rPr>
                  </w:pPr>
                </w:p>
              </w:tc>
              <w:tc>
                <w:tcPr>
                  <w:tcW w:w="1073" w:type="pct"/>
                  <w:vAlign w:val="center"/>
                </w:tcPr>
                <w:p w14:paraId="1294208E">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一次性桶水生产区</w:t>
                  </w:r>
                </w:p>
              </w:tc>
              <w:tc>
                <w:tcPr>
                  <w:tcW w:w="2408" w:type="pct"/>
                  <w:vAlign w:val="center"/>
                </w:tcPr>
                <w:p w14:paraId="0A257B85">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厂房高度8m，位于厂房东侧，建筑面积约144m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，设有一条一次性桶水线。</w:t>
                  </w:r>
                </w:p>
              </w:tc>
              <w:tc>
                <w:tcPr>
                  <w:tcW w:w="742" w:type="pct"/>
                  <w:vMerge w:val="restart"/>
                  <w:vAlign w:val="center"/>
                </w:tcPr>
                <w:p w14:paraId="7E2182C3">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年灌装2万吨纯净水</w:t>
                  </w:r>
                </w:p>
              </w:tc>
            </w:tr>
            <w:tr w14:paraId="3252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continue"/>
                  <w:vAlign w:val="center"/>
                </w:tcPr>
                <w:p w14:paraId="1CB15E9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highlight w:val="none"/>
                      <w:lang w:val="en-US" w:eastAsia="zh-CN"/>
                    </w:rPr>
                  </w:pPr>
                </w:p>
              </w:tc>
              <w:tc>
                <w:tcPr>
                  <w:tcW w:w="1073" w:type="pct"/>
                  <w:vAlign w:val="center"/>
                </w:tcPr>
                <w:p w14:paraId="0FE29A6F">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循环桶水生产区</w:t>
                  </w:r>
                </w:p>
              </w:tc>
              <w:tc>
                <w:tcPr>
                  <w:tcW w:w="2408" w:type="pct"/>
                  <w:vAlign w:val="center"/>
                </w:tcPr>
                <w:p w14:paraId="0B8BB6EE">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厂房高度8m，位于厂房东侧，建筑面积约144m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，设有一条循环桶水线。</w:t>
                  </w:r>
                </w:p>
              </w:tc>
              <w:tc>
                <w:tcPr>
                  <w:tcW w:w="742" w:type="pct"/>
                  <w:vMerge w:val="continue"/>
                  <w:vAlign w:val="center"/>
                </w:tcPr>
                <w:p w14:paraId="56EA31E0">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color w:val="auto"/>
                      <w:highlight w:val="none"/>
                      <w:lang w:val="en-US" w:eastAsia="zh-CN"/>
                    </w:rPr>
                  </w:pPr>
                </w:p>
              </w:tc>
            </w:tr>
            <w:tr w14:paraId="0C08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restart"/>
                  <w:vAlign w:val="center"/>
                </w:tcPr>
                <w:p w14:paraId="3B2959D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辅助工程</w:t>
                  </w:r>
                </w:p>
              </w:tc>
              <w:tc>
                <w:tcPr>
                  <w:tcW w:w="1073" w:type="pct"/>
                  <w:vAlign w:val="center"/>
                </w:tcPr>
                <w:p w14:paraId="3FD4D8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办公室</w:t>
                  </w:r>
                </w:p>
              </w:tc>
              <w:tc>
                <w:tcPr>
                  <w:tcW w:w="3151" w:type="pct"/>
                  <w:gridSpan w:val="2"/>
                  <w:vAlign w:val="center"/>
                </w:tcPr>
                <w:p w14:paraId="1FFC4A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位于厂房西侧，建筑面积约21.5m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，主要用于办公。</w:t>
                  </w:r>
                </w:p>
              </w:tc>
            </w:tr>
            <w:tr w14:paraId="7EA2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continue"/>
                  <w:vAlign w:val="center"/>
                </w:tcPr>
                <w:p w14:paraId="55E1DE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p>
              </w:tc>
              <w:tc>
                <w:tcPr>
                  <w:tcW w:w="1073" w:type="pct"/>
                  <w:vAlign w:val="center"/>
                </w:tcPr>
                <w:p w14:paraId="4858FB7F">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化验室</w:t>
                  </w:r>
                </w:p>
              </w:tc>
              <w:tc>
                <w:tcPr>
                  <w:tcW w:w="3151" w:type="pct"/>
                  <w:gridSpan w:val="2"/>
                  <w:vAlign w:val="center"/>
                </w:tcPr>
                <w:p w14:paraId="593152B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位于厂房西侧，建筑面积约21.5m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，主要对成品、原水进行抽验检测。</w:t>
                  </w:r>
                  <w:r>
                    <w:rPr>
                      <w:rFonts w:hint="eastAsia"/>
                      <w:color w:val="auto"/>
                      <w:highlight w:val="none"/>
                      <w:lang w:eastAsia="zh-CN"/>
                    </w:rPr>
                    <w:t>化验室主要进行</w:t>
                  </w:r>
                  <w:r>
                    <w:rPr>
                      <w:rFonts w:hint="eastAsia"/>
                      <w:color w:val="auto"/>
                      <w:highlight w:val="none"/>
                      <w:lang w:val="en-US" w:eastAsia="zh-CN"/>
                    </w:rPr>
                    <w:t>pH和电导率的检测，微生物、铁、猛等因子检测委托第三方检测机构进行检测。</w:t>
                  </w:r>
                </w:p>
              </w:tc>
            </w:tr>
            <w:tr w14:paraId="78B0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continue"/>
                  <w:vAlign w:val="center"/>
                </w:tcPr>
                <w:p w14:paraId="3DC2BD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p>
              </w:tc>
              <w:tc>
                <w:tcPr>
                  <w:tcW w:w="1073" w:type="pct"/>
                  <w:vAlign w:val="center"/>
                </w:tcPr>
                <w:p w14:paraId="07CBE8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维修间</w:t>
                  </w:r>
                </w:p>
              </w:tc>
              <w:tc>
                <w:tcPr>
                  <w:tcW w:w="3151" w:type="pct"/>
                  <w:gridSpan w:val="2"/>
                  <w:vAlign w:val="center"/>
                </w:tcPr>
                <w:p w14:paraId="3CAFA8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位于厂房西侧，建筑面积约21.5m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，主要放置设备维修工具以及空压机等。</w:t>
                  </w:r>
                </w:p>
              </w:tc>
            </w:tr>
            <w:tr w14:paraId="18DF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restart"/>
                  <w:vAlign w:val="center"/>
                </w:tcPr>
                <w:p w14:paraId="49D6EDA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储运工程</w:t>
                  </w:r>
                </w:p>
              </w:tc>
              <w:tc>
                <w:tcPr>
                  <w:tcW w:w="1073" w:type="pct"/>
                  <w:vAlign w:val="center"/>
                </w:tcPr>
                <w:p w14:paraId="446D0F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成品区</w:t>
                  </w:r>
                </w:p>
              </w:tc>
              <w:tc>
                <w:tcPr>
                  <w:tcW w:w="3151" w:type="pct"/>
                  <w:gridSpan w:val="2"/>
                  <w:vAlign w:val="center"/>
                </w:tcPr>
                <w:p w14:paraId="6EC8A4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位于厂房北侧，建筑面积约242m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，主要用于存放成品。</w:t>
                  </w:r>
                </w:p>
              </w:tc>
            </w:tr>
            <w:tr w14:paraId="0BF6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continue"/>
                  <w:vAlign w:val="center"/>
                </w:tcPr>
                <w:p w14:paraId="4DECC6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p>
              </w:tc>
              <w:tc>
                <w:tcPr>
                  <w:tcW w:w="1073" w:type="pct"/>
                  <w:vAlign w:val="center"/>
                </w:tcPr>
                <w:p w14:paraId="1CC3FDD0">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原料区</w:t>
                  </w:r>
                </w:p>
              </w:tc>
              <w:tc>
                <w:tcPr>
                  <w:tcW w:w="3151" w:type="pct"/>
                  <w:gridSpan w:val="2"/>
                  <w:vAlign w:val="center"/>
                </w:tcPr>
                <w:p w14:paraId="4302A2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位于厂房北侧，建筑面积约200m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，主要用于存放水瓶/桶。</w:t>
                  </w:r>
                </w:p>
              </w:tc>
            </w:tr>
            <w:tr w14:paraId="14C5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continue"/>
                  <w:vAlign w:val="center"/>
                </w:tcPr>
                <w:p w14:paraId="04A9D5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p>
              </w:tc>
              <w:tc>
                <w:tcPr>
                  <w:tcW w:w="1073" w:type="pct"/>
                  <w:vAlign w:val="center"/>
                </w:tcPr>
                <w:p w14:paraId="2FB333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包材库</w:t>
                  </w:r>
                </w:p>
              </w:tc>
              <w:tc>
                <w:tcPr>
                  <w:tcW w:w="3151" w:type="pct"/>
                  <w:gridSpan w:val="2"/>
                  <w:vAlign w:val="center"/>
                </w:tcPr>
                <w:p w14:paraId="5EF7D7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位于厂房西侧，建筑面积约21.5m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，主要对热缩膜等原材料的暂存。</w:t>
                  </w:r>
                </w:p>
              </w:tc>
            </w:tr>
            <w:tr w14:paraId="3831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restart"/>
                  <w:vAlign w:val="center"/>
                </w:tcPr>
                <w:p w14:paraId="37C9D1B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公用工程</w:t>
                  </w:r>
                </w:p>
              </w:tc>
              <w:tc>
                <w:tcPr>
                  <w:tcW w:w="1073" w:type="pct"/>
                  <w:vAlign w:val="center"/>
                </w:tcPr>
                <w:p w14:paraId="59BB797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给水工程</w:t>
                  </w:r>
                </w:p>
              </w:tc>
              <w:tc>
                <w:tcPr>
                  <w:tcW w:w="3151" w:type="pct"/>
                  <w:gridSpan w:val="2"/>
                  <w:vAlign w:val="center"/>
                </w:tcPr>
                <w:p w14:paraId="659848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给水取自地下水。</w:t>
                  </w:r>
                  <w:r>
                    <w:rPr>
                      <w:rFonts w:hint="eastAsia"/>
                      <w:color w:val="auto"/>
                      <w:highlight w:val="none"/>
                      <w:lang w:val="en-US" w:eastAsia="zh-CN"/>
                    </w:rPr>
                    <w:t>取水工程不在本次评价范围内。</w:t>
                  </w:r>
                </w:p>
              </w:tc>
            </w:tr>
            <w:tr w14:paraId="4276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continue"/>
                  <w:vAlign w:val="center"/>
                </w:tcPr>
                <w:p w14:paraId="686EBF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p>
              </w:tc>
              <w:tc>
                <w:tcPr>
                  <w:tcW w:w="1073" w:type="pct"/>
                  <w:vAlign w:val="center"/>
                </w:tcPr>
                <w:p w14:paraId="552CCA6B">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供电工程</w:t>
                  </w:r>
                </w:p>
              </w:tc>
              <w:tc>
                <w:tcPr>
                  <w:tcW w:w="3151" w:type="pct"/>
                  <w:gridSpan w:val="2"/>
                  <w:vAlign w:val="center"/>
                </w:tcPr>
                <w:p w14:paraId="7808A30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市政供电</w:t>
                  </w:r>
                </w:p>
              </w:tc>
            </w:tr>
            <w:tr w14:paraId="4BC9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continue"/>
                  <w:vAlign w:val="center"/>
                </w:tcPr>
                <w:p w14:paraId="0618C5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p>
              </w:tc>
              <w:tc>
                <w:tcPr>
                  <w:tcW w:w="1073" w:type="pct"/>
                  <w:vAlign w:val="center"/>
                </w:tcPr>
                <w:p w14:paraId="130B6AF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排水工程</w:t>
                  </w:r>
                </w:p>
              </w:tc>
              <w:tc>
                <w:tcPr>
                  <w:tcW w:w="3151" w:type="pct"/>
                  <w:gridSpan w:val="2"/>
                  <w:vAlign w:val="center"/>
                </w:tcPr>
                <w:p w14:paraId="7647EF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厂区采用雨污分流，雨水排入市政雨水管网。</w:t>
                  </w:r>
                  <w:r>
                    <w:rPr>
                      <w:rFonts w:hint="eastAsia"/>
                      <w:color w:val="auto"/>
                      <w:highlight w:val="none"/>
                      <w:lang w:eastAsia="zh-CN"/>
                    </w:rPr>
                    <w:t>年排放废水</w:t>
                  </w:r>
                  <w:r>
                    <w:rPr>
                      <w:rFonts w:hint="eastAsia"/>
                      <w:color w:val="auto"/>
                      <w:highlight w:val="none"/>
                      <w:lang w:val="en-US" w:eastAsia="zh-CN"/>
                    </w:rPr>
                    <w:t>5569.9325t/a。</w:t>
                  </w:r>
                </w:p>
              </w:tc>
            </w:tr>
            <w:tr w14:paraId="02D3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restart"/>
                  <w:vAlign w:val="center"/>
                </w:tcPr>
                <w:p w14:paraId="2A660D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环保工程</w:t>
                  </w:r>
                </w:p>
              </w:tc>
              <w:tc>
                <w:tcPr>
                  <w:tcW w:w="1073" w:type="pct"/>
                  <w:vAlign w:val="center"/>
                </w:tcPr>
                <w:p w14:paraId="41FEA8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废水处理</w:t>
                  </w:r>
                </w:p>
              </w:tc>
              <w:tc>
                <w:tcPr>
                  <w:tcW w:w="3151" w:type="pct"/>
                  <w:gridSpan w:val="2"/>
                  <w:vAlign w:val="center"/>
                </w:tcPr>
                <w:p w14:paraId="774DB5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rPr>
                    <w:t>项目区排水采用雨、污分流制。</w:t>
                  </w:r>
                  <w:r>
                    <w:rPr>
                      <w:rFonts w:hint="eastAsia"/>
                      <w:color w:val="auto"/>
                      <w:sz w:val="21"/>
                      <w:szCs w:val="21"/>
                      <w:highlight w:val="none"/>
                      <w:lang w:val="en-US" w:eastAsia="zh-CN"/>
                    </w:rPr>
                    <w:t>实验室质检废水、</w:t>
                  </w:r>
                  <w:r>
                    <w:rPr>
                      <w:rFonts w:hint="eastAsia" w:cs="Times New Roman"/>
                      <w:color w:val="auto"/>
                      <w:szCs w:val="21"/>
                      <w:highlight w:val="none"/>
                      <w:lang w:eastAsia="zh-CN"/>
                    </w:rPr>
                    <w:t>瓶</w:t>
                  </w:r>
                  <w:r>
                    <w:rPr>
                      <w:rFonts w:hint="eastAsia" w:cs="Times New Roman"/>
                      <w:color w:val="auto"/>
                      <w:szCs w:val="21"/>
                      <w:highlight w:val="none"/>
                      <w:lang w:val="en-US" w:eastAsia="zh-CN"/>
                    </w:rPr>
                    <w:t>/桶/盖清洗</w:t>
                  </w:r>
                  <w:r>
                    <w:rPr>
                      <w:rFonts w:hint="eastAsia"/>
                      <w:color w:val="auto"/>
                      <w:sz w:val="21"/>
                      <w:szCs w:val="21"/>
                      <w:highlight w:val="none"/>
                      <w:lang w:val="en-US" w:eastAsia="zh-CN"/>
                    </w:rPr>
                    <w:t>废水</w:t>
                  </w:r>
                  <w:r>
                    <w:rPr>
                      <w:rFonts w:hint="eastAsia" w:cs="Times New Roman"/>
                      <w:color w:val="auto"/>
                      <w:szCs w:val="21"/>
                      <w:highlight w:val="none"/>
                      <w:lang w:val="en-US" w:eastAsia="zh-CN"/>
                    </w:rPr>
                    <w:t>、</w:t>
                  </w:r>
                  <w:r>
                    <w:rPr>
                      <w:rFonts w:hint="eastAsia" w:cs="Times New Roman"/>
                      <w:color w:val="auto"/>
                      <w:szCs w:val="21"/>
                      <w:highlight w:val="none"/>
                      <w:lang w:eastAsia="zh-CN"/>
                    </w:rPr>
                    <w:t>反冲洗</w:t>
                  </w:r>
                  <w:r>
                    <w:rPr>
                      <w:rFonts w:hint="eastAsia"/>
                      <w:color w:val="auto"/>
                      <w:sz w:val="21"/>
                      <w:szCs w:val="21"/>
                      <w:highlight w:val="none"/>
                      <w:lang w:val="en-US" w:eastAsia="zh-CN"/>
                    </w:rPr>
                    <w:t>废水和纯净水制备浓水与生活污水、保洁废水通过市政管网</w:t>
                  </w:r>
                  <w:r>
                    <w:rPr>
                      <w:rFonts w:hint="eastAsia" w:cs="Times New Roman"/>
                      <w:color w:val="auto"/>
                      <w:sz w:val="21"/>
                      <w:szCs w:val="21"/>
                      <w:highlight w:val="none"/>
                      <w:lang w:eastAsia="zh-CN"/>
                    </w:rPr>
                    <w:t>排入</w:t>
                  </w:r>
                  <w:r>
                    <w:rPr>
                      <w:rFonts w:hint="eastAsia" w:ascii="Times New Roman" w:hAnsi="Times New Roman" w:cs="Times New Roman"/>
                      <w:bCs/>
                      <w:color w:val="auto"/>
                      <w:sz w:val="21"/>
                      <w:szCs w:val="21"/>
                      <w:highlight w:val="none"/>
                      <w:lang w:val="zh-CN"/>
                    </w:rPr>
                    <w:t>宿州市循环经济示范园污水处理厂</w:t>
                  </w:r>
                </w:p>
              </w:tc>
            </w:tr>
            <w:tr w14:paraId="073F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continue"/>
                  <w:vAlign w:val="center"/>
                </w:tcPr>
                <w:p w14:paraId="5F9791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p>
              </w:tc>
              <w:tc>
                <w:tcPr>
                  <w:tcW w:w="1073" w:type="pct"/>
                  <w:vAlign w:val="center"/>
                </w:tcPr>
                <w:p w14:paraId="35821E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废气处理</w:t>
                  </w:r>
                </w:p>
              </w:tc>
              <w:tc>
                <w:tcPr>
                  <w:tcW w:w="3151" w:type="pct"/>
                  <w:gridSpan w:val="2"/>
                  <w:vAlign w:val="center"/>
                </w:tcPr>
                <w:p w14:paraId="3A7E4C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吹瓶废气经集气罩收集后通过二级活性炭吸附装置处理后经15m高排气筒排放。</w:t>
                  </w:r>
                </w:p>
              </w:tc>
            </w:tr>
            <w:tr w14:paraId="3A00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continue"/>
                  <w:vAlign w:val="center"/>
                </w:tcPr>
                <w:p w14:paraId="437FD0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p>
              </w:tc>
              <w:tc>
                <w:tcPr>
                  <w:tcW w:w="1073" w:type="pct"/>
                  <w:vAlign w:val="center"/>
                </w:tcPr>
                <w:p w14:paraId="7E839A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噪声治理</w:t>
                  </w:r>
                </w:p>
              </w:tc>
              <w:tc>
                <w:tcPr>
                  <w:tcW w:w="3151" w:type="pct"/>
                  <w:gridSpan w:val="2"/>
                  <w:vAlign w:val="center"/>
                </w:tcPr>
                <w:p w14:paraId="07EE02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rPr>
                    <w:t>选购低噪声设备，设置减振基座。</w:t>
                  </w:r>
                </w:p>
              </w:tc>
            </w:tr>
            <w:tr w14:paraId="0DC5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5" w:type="pct"/>
                  <w:vMerge w:val="continue"/>
                  <w:vAlign w:val="center"/>
                </w:tcPr>
                <w:p w14:paraId="1BC3B236">
                  <w:pPr>
                    <w:spacing w:line="240" w:lineRule="auto"/>
                    <w:jc w:val="center"/>
                    <w:rPr>
                      <w:color w:val="auto"/>
                      <w:sz w:val="21"/>
                      <w:szCs w:val="21"/>
                      <w:highlight w:val="none"/>
                      <w:vertAlign w:val="baseline"/>
                    </w:rPr>
                  </w:pPr>
                </w:p>
              </w:tc>
              <w:tc>
                <w:tcPr>
                  <w:tcW w:w="1073" w:type="pct"/>
                  <w:vAlign w:val="center"/>
                </w:tcPr>
                <w:p w14:paraId="620EE9C1">
                  <w:pPr>
                    <w:keepNext w:val="0"/>
                    <w:keepLines w:val="0"/>
                    <w:pageBreakBefore w:val="0"/>
                    <w:widowControl w:val="0"/>
                    <w:kinsoku/>
                    <w:wordWrap/>
                    <w:overflowPunct/>
                    <w:topLinePunct w:val="0"/>
                    <w:autoSpaceDE/>
                    <w:autoSpaceDN/>
                    <w:bidi w:val="0"/>
                    <w:adjustRightInd/>
                    <w:snapToGrid/>
                    <w:jc w:val="center"/>
                    <w:textAlignment w:val="auto"/>
                    <w:rPr>
                      <w:color w:val="auto"/>
                      <w:sz w:val="21"/>
                      <w:szCs w:val="21"/>
                      <w:highlight w:val="none"/>
                      <w:vertAlign w:val="baseline"/>
                    </w:rPr>
                  </w:pPr>
                  <w:r>
                    <w:rPr>
                      <w:rFonts w:hint="default" w:ascii="Times New Roman" w:hAnsi="Times New Roman" w:cs="Times New Roman"/>
                      <w:color w:val="auto"/>
                      <w:highlight w:val="none"/>
                      <w:lang w:val="en-US" w:eastAsia="zh-CN"/>
                    </w:rPr>
                    <w:t>固废处置</w:t>
                  </w:r>
                </w:p>
              </w:tc>
              <w:tc>
                <w:tcPr>
                  <w:tcW w:w="3151" w:type="pct"/>
                  <w:gridSpan w:val="2"/>
                  <w:vAlign w:val="center"/>
                </w:tcPr>
                <w:p w14:paraId="4DED7F96">
                  <w:pPr>
                    <w:spacing w:line="240" w:lineRule="auto"/>
                    <w:jc w:val="center"/>
                    <w:rPr>
                      <w:rFonts w:hint="eastAsia" w:eastAsia="宋体"/>
                      <w:color w:val="auto"/>
                      <w:sz w:val="21"/>
                      <w:szCs w:val="21"/>
                      <w:highlight w:val="none"/>
                      <w:vertAlign w:val="baseline"/>
                      <w:lang w:eastAsia="zh-CN"/>
                    </w:rPr>
                  </w:pPr>
                  <w:r>
                    <w:rPr>
                      <w:rFonts w:hint="eastAsia" w:cs="Times New Roman"/>
                      <w:color w:val="auto"/>
                      <w:szCs w:val="21"/>
                      <w:highlight w:val="none"/>
                      <w:lang w:eastAsia="zh-CN"/>
                    </w:rPr>
                    <w:t>本项目厂房北侧设置一间危废间，占地面积为</w:t>
                  </w:r>
                  <w:r>
                    <w:rPr>
                      <w:rFonts w:hint="eastAsia" w:cs="Times New Roman"/>
                      <w:color w:val="auto"/>
                      <w:szCs w:val="21"/>
                      <w:highlight w:val="none"/>
                      <w:lang w:val="en-US" w:eastAsia="zh-CN"/>
                    </w:rPr>
                    <w:t>5</w:t>
                  </w:r>
                  <w:r>
                    <w:rPr>
                      <w:rFonts w:hint="eastAsia"/>
                      <w:color w:val="auto"/>
                      <w:highlight w:val="none"/>
                      <w:lang w:val="en-US" w:eastAsia="zh-CN"/>
                    </w:rPr>
                    <w:t>m</w:t>
                  </w:r>
                  <w:r>
                    <w:rPr>
                      <w:rFonts w:hint="eastAsia"/>
                      <w:color w:val="auto"/>
                      <w:highlight w:val="none"/>
                      <w:vertAlign w:val="superscript"/>
                      <w:lang w:val="en-US" w:eastAsia="zh-CN"/>
                    </w:rPr>
                    <w:t>2</w:t>
                  </w:r>
                  <w:r>
                    <w:rPr>
                      <w:rFonts w:hint="eastAsia"/>
                      <w:color w:val="auto"/>
                      <w:highlight w:val="none"/>
                      <w:lang w:val="en-US" w:eastAsia="zh-CN"/>
                    </w:rPr>
                    <w:t>，用于暂存项目产生的危废；项目危废间西侧</w:t>
                  </w:r>
                  <w:r>
                    <w:rPr>
                      <w:rFonts w:hint="eastAsia" w:eastAsia="宋体" w:cs="Times New Roman"/>
                      <w:b w:val="0"/>
                      <w:bCs w:val="0"/>
                      <w:color w:val="auto"/>
                      <w:sz w:val="21"/>
                      <w:szCs w:val="21"/>
                      <w:highlight w:val="none"/>
                      <w:vertAlign w:val="baseline"/>
                      <w:lang w:val="en-US" w:eastAsia="zh-CN"/>
                    </w:rPr>
                    <w:t>设一般固废间</w:t>
                  </w:r>
                  <w:r>
                    <w:rPr>
                      <w:rFonts w:hint="eastAsia" w:cs="Times New Roman"/>
                      <w:b w:val="0"/>
                      <w:bCs w:val="0"/>
                      <w:color w:val="auto"/>
                      <w:sz w:val="21"/>
                      <w:szCs w:val="21"/>
                      <w:highlight w:val="none"/>
                      <w:vertAlign w:val="baseline"/>
                      <w:lang w:val="en-US" w:eastAsia="zh-CN"/>
                    </w:rPr>
                    <w:t>，占地面积约5</w:t>
                  </w:r>
                  <w:r>
                    <w:rPr>
                      <w:rFonts w:hint="eastAsia"/>
                      <w:color w:val="auto"/>
                      <w:highlight w:val="none"/>
                      <w:lang w:val="en-US" w:eastAsia="zh-CN"/>
                    </w:rPr>
                    <w:t>m</w:t>
                  </w:r>
                  <w:r>
                    <w:rPr>
                      <w:rFonts w:hint="eastAsia"/>
                      <w:color w:val="auto"/>
                      <w:highlight w:val="none"/>
                      <w:vertAlign w:val="superscript"/>
                      <w:lang w:val="en-US" w:eastAsia="zh-CN"/>
                    </w:rPr>
                    <w:t>2</w:t>
                  </w:r>
                  <w:r>
                    <w:rPr>
                      <w:rFonts w:hint="eastAsia" w:cs="Times New Roman"/>
                      <w:b w:val="0"/>
                      <w:bCs w:val="0"/>
                      <w:color w:val="auto"/>
                      <w:sz w:val="21"/>
                      <w:szCs w:val="21"/>
                      <w:highlight w:val="none"/>
                      <w:vertAlign w:val="baseline"/>
                      <w:lang w:val="en-US" w:eastAsia="zh-CN"/>
                    </w:rPr>
                    <w:t>。</w:t>
                  </w:r>
                </w:p>
              </w:tc>
            </w:tr>
          </w:tbl>
          <w:p w14:paraId="6515A7C3">
            <w:pPr>
              <w:spacing w:line="360" w:lineRule="auto"/>
              <w:rPr>
                <w:rFonts w:hint="default" w:ascii="Times New Roman" w:hAnsi="Times New Roman" w:cs="Times New Roman"/>
                <w:b/>
                <w:bCs/>
                <w:color w:val="auto"/>
                <w:sz w:val="24"/>
                <w:szCs w:val="32"/>
                <w:highlight w:val="none"/>
              </w:rPr>
            </w:pPr>
            <w:r>
              <w:rPr>
                <w:rFonts w:hint="default" w:ascii="Times New Roman" w:hAnsi="Times New Roman" w:cs="Times New Roman"/>
                <w:b/>
                <w:bCs/>
                <w:color w:val="auto"/>
                <w:sz w:val="24"/>
                <w:szCs w:val="32"/>
                <w:highlight w:val="none"/>
              </w:rPr>
              <w:t>3、总平面布置</w:t>
            </w:r>
          </w:p>
          <w:p w14:paraId="642A0924">
            <w:pPr>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本项目租赁</w:t>
            </w:r>
            <w:r>
              <w:rPr>
                <w:rFonts w:hint="eastAsia" w:cs="Times New Roman"/>
                <w:color w:val="auto"/>
                <w:sz w:val="24"/>
                <w:szCs w:val="32"/>
                <w:highlight w:val="none"/>
                <w:lang w:eastAsia="zh-CN"/>
              </w:rPr>
              <w:t>镇西村村民委员会</w:t>
            </w:r>
            <w:r>
              <w:rPr>
                <w:rFonts w:hint="default" w:ascii="Times New Roman" w:hAnsi="Times New Roman" w:cs="Times New Roman"/>
                <w:color w:val="auto"/>
                <w:sz w:val="24"/>
                <w:szCs w:val="32"/>
                <w:highlight w:val="none"/>
              </w:rPr>
              <w:t>，占地面积约为20</w:t>
            </w:r>
            <w:r>
              <w:rPr>
                <w:rFonts w:hint="eastAsia" w:cs="Times New Roman"/>
                <w:color w:val="auto"/>
                <w:sz w:val="24"/>
                <w:szCs w:val="32"/>
                <w:highlight w:val="none"/>
                <w:lang w:val="en-US" w:eastAsia="zh-CN"/>
              </w:rPr>
              <w:t>32</w:t>
            </w:r>
            <w:r>
              <w:rPr>
                <w:rFonts w:hint="default" w:ascii="Times New Roman" w:hAnsi="Times New Roman" w:cs="Times New Roman"/>
                <w:color w:val="auto"/>
                <w:sz w:val="24"/>
                <w:szCs w:val="32"/>
                <w:highlight w:val="none"/>
              </w:rPr>
              <w:t>平方米，内设有</w:t>
            </w:r>
            <w:r>
              <w:rPr>
                <w:rFonts w:hint="eastAsia" w:cs="Times New Roman"/>
                <w:color w:val="auto"/>
                <w:sz w:val="24"/>
                <w:szCs w:val="32"/>
                <w:highlight w:val="none"/>
                <w:lang w:eastAsia="zh-CN"/>
              </w:rPr>
              <w:t>水处理间、一次性桶水生产区、循环桶水生产区</w:t>
            </w:r>
            <w:r>
              <w:rPr>
                <w:rFonts w:hint="default" w:ascii="Times New Roman" w:hAnsi="Times New Roman" w:cs="Times New Roman"/>
                <w:color w:val="auto"/>
                <w:sz w:val="24"/>
                <w:szCs w:val="32"/>
                <w:highlight w:val="none"/>
              </w:rPr>
              <w:t>以及</w:t>
            </w:r>
            <w:r>
              <w:rPr>
                <w:rFonts w:hint="eastAsia" w:cs="Times New Roman"/>
                <w:color w:val="auto"/>
                <w:sz w:val="24"/>
                <w:szCs w:val="32"/>
                <w:highlight w:val="none"/>
                <w:lang w:eastAsia="zh-CN"/>
              </w:rPr>
              <w:t>成品区、原料区、办公区</w:t>
            </w:r>
            <w:r>
              <w:rPr>
                <w:rFonts w:hint="default" w:ascii="Times New Roman" w:hAnsi="Times New Roman" w:cs="Times New Roman"/>
                <w:color w:val="auto"/>
                <w:sz w:val="24"/>
                <w:szCs w:val="32"/>
                <w:highlight w:val="none"/>
              </w:rPr>
              <w:t>等。车间布局合理，本项目厂区平面布置图见附图</w:t>
            </w:r>
            <w:r>
              <w:rPr>
                <w:rFonts w:hint="eastAsia" w:cs="Times New Roman"/>
                <w:color w:val="auto"/>
                <w:sz w:val="24"/>
                <w:szCs w:val="32"/>
                <w:highlight w:val="none"/>
                <w:lang w:val="en-US" w:eastAsia="zh-CN"/>
              </w:rPr>
              <w:t>4</w:t>
            </w:r>
            <w:r>
              <w:rPr>
                <w:rFonts w:hint="default" w:ascii="Times New Roman" w:hAnsi="Times New Roman" w:cs="Times New Roman"/>
                <w:color w:val="auto"/>
                <w:sz w:val="24"/>
                <w:highlight w:val="none"/>
              </w:rPr>
              <w:t>。</w:t>
            </w:r>
          </w:p>
          <w:p w14:paraId="127B8B85">
            <w:pPr>
              <w:spacing w:line="360" w:lineRule="auto"/>
              <w:rPr>
                <w:rFonts w:hint="default" w:ascii="Times New Roman" w:hAnsi="Times New Roman" w:cs="Times New Roman"/>
                <w:b/>
                <w:bCs/>
                <w:color w:val="auto"/>
                <w:sz w:val="24"/>
                <w:szCs w:val="32"/>
                <w:highlight w:val="none"/>
              </w:rPr>
            </w:pPr>
            <w:r>
              <w:rPr>
                <w:rFonts w:hint="default" w:ascii="Times New Roman" w:hAnsi="Times New Roman" w:cs="Times New Roman"/>
                <w:b/>
                <w:bCs/>
                <w:color w:val="auto"/>
                <w:sz w:val="24"/>
                <w:szCs w:val="32"/>
                <w:highlight w:val="none"/>
              </w:rPr>
              <w:t>4、产品方案</w:t>
            </w:r>
          </w:p>
          <w:p w14:paraId="5950630E">
            <w:pPr>
              <w:adjustRightInd w:val="0"/>
              <w:spacing w:line="360" w:lineRule="auto"/>
              <w:ind w:firstLine="480" w:firstLineChars="200"/>
              <w:textAlignment w:val="baseline"/>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本项目方案见下表。</w:t>
            </w:r>
          </w:p>
          <w:p w14:paraId="62A98A6B">
            <w:pPr>
              <w:adjustRightInd w:val="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sz w:val="24"/>
                <w:szCs w:val="32"/>
                <w:highlight w:val="none"/>
              </w:rPr>
              <w:t>表2-2 本项目产品方案一览表</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840"/>
              <w:gridCol w:w="2157"/>
              <w:gridCol w:w="2477"/>
            </w:tblGrid>
            <w:tr w14:paraId="257C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pct"/>
                  <w:vAlign w:val="center"/>
                </w:tcPr>
                <w:p w14:paraId="66F3783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产品</w:t>
                  </w:r>
                </w:p>
              </w:tc>
              <w:tc>
                <w:tcPr>
                  <w:tcW w:w="2431" w:type="pct"/>
                  <w:gridSpan w:val="2"/>
                  <w:vAlign w:val="center"/>
                </w:tcPr>
                <w:p w14:paraId="59C6699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规格尺寸</w:t>
                  </w:r>
                </w:p>
              </w:tc>
              <w:tc>
                <w:tcPr>
                  <w:tcW w:w="1506" w:type="pct"/>
                  <w:vAlign w:val="center"/>
                </w:tcPr>
                <w:p w14:paraId="6A83F65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年产量</w:t>
                  </w:r>
                </w:p>
              </w:tc>
            </w:tr>
            <w:tr w14:paraId="3BBA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pct"/>
                  <w:vMerge w:val="restart"/>
                  <w:vAlign w:val="center"/>
                </w:tcPr>
                <w:p w14:paraId="4AE762BF">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瓶</w:t>
                  </w:r>
                  <w:r>
                    <w:rPr>
                      <w:rFonts w:hint="eastAsia" w:cs="Times New Roman"/>
                      <w:color w:val="auto"/>
                      <w:highlight w:val="none"/>
                      <w:lang w:val="en-US" w:eastAsia="zh-CN"/>
                    </w:rPr>
                    <w:t>/桶</w:t>
                  </w:r>
                  <w:r>
                    <w:rPr>
                      <w:rFonts w:hint="eastAsia" w:cs="Times New Roman"/>
                      <w:color w:val="auto"/>
                      <w:highlight w:val="none"/>
                      <w:lang w:eastAsia="zh-CN"/>
                    </w:rPr>
                    <w:t>装纯净水</w:t>
                  </w:r>
                </w:p>
              </w:tc>
              <w:tc>
                <w:tcPr>
                  <w:tcW w:w="1119" w:type="pct"/>
                  <w:vMerge w:val="restart"/>
                  <w:vAlign w:val="center"/>
                </w:tcPr>
                <w:p w14:paraId="29752EDA">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一次性桶装水</w:t>
                  </w:r>
                </w:p>
              </w:tc>
              <w:tc>
                <w:tcPr>
                  <w:tcW w:w="1312" w:type="pct"/>
                  <w:shd w:val="clear" w:color="auto" w:fill="auto"/>
                  <w:vAlign w:val="center"/>
                </w:tcPr>
                <w:p w14:paraId="4B122AB1">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500mL</w:t>
                  </w:r>
                </w:p>
              </w:tc>
              <w:tc>
                <w:tcPr>
                  <w:tcW w:w="1506" w:type="pct"/>
                  <w:vAlign w:val="center"/>
                </w:tcPr>
                <w:p w14:paraId="7041A303">
                  <w:pPr>
                    <w:jc w:val="center"/>
                    <w:rPr>
                      <w:rFonts w:hint="default" w:cs="Times New Roman"/>
                      <w:color w:val="auto"/>
                      <w:highlight w:val="none"/>
                      <w:lang w:val="en-US" w:eastAsia="zh-CN"/>
                    </w:rPr>
                  </w:pPr>
                  <w:r>
                    <w:rPr>
                      <w:rFonts w:hint="eastAsia" w:cs="Times New Roman"/>
                      <w:color w:val="auto"/>
                      <w:highlight w:val="none"/>
                      <w:lang w:val="en-US" w:eastAsia="zh-CN"/>
                    </w:rPr>
                    <w:t>3000t</w:t>
                  </w:r>
                </w:p>
              </w:tc>
            </w:tr>
            <w:tr w14:paraId="6636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pct"/>
                  <w:vMerge w:val="continue"/>
                  <w:vAlign w:val="center"/>
                </w:tcPr>
                <w:p w14:paraId="507D89CD">
                  <w:pPr>
                    <w:jc w:val="center"/>
                    <w:rPr>
                      <w:rFonts w:hint="eastAsia" w:cs="Times New Roman"/>
                      <w:color w:val="auto"/>
                      <w:highlight w:val="none"/>
                      <w:lang w:eastAsia="zh-CN"/>
                    </w:rPr>
                  </w:pPr>
                </w:p>
              </w:tc>
              <w:tc>
                <w:tcPr>
                  <w:tcW w:w="1119" w:type="pct"/>
                  <w:vMerge w:val="continue"/>
                  <w:vAlign w:val="center"/>
                </w:tcPr>
                <w:p w14:paraId="42EC5C36">
                  <w:pPr>
                    <w:jc w:val="center"/>
                    <w:rPr>
                      <w:rFonts w:hint="eastAsia" w:cs="Times New Roman"/>
                      <w:color w:val="auto"/>
                      <w:highlight w:val="none"/>
                      <w:lang w:val="en-US" w:eastAsia="zh-CN"/>
                    </w:rPr>
                  </w:pPr>
                </w:p>
              </w:tc>
              <w:tc>
                <w:tcPr>
                  <w:tcW w:w="1312" w:type="pct"/>
                  <w:shd w:val="clear" w:color="auto" w:fill="auto"/>
                  <w:vAlign w:val="center"/>
                </w:tcPr>
                <w:p w14:paraId="7B5D4630">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15L</w:t>
                  </w:r>
                </w:p>
              </w:tc>
              <w:tc>
                <w:tcPr>
                  <w:tcW w:w="1506" w:type="pct"/>
                  <w:vAlign w:val="center"/>
                </w:tcPr>
                <w:p w14:paraId="600B0B31">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7000t</w:t>
                  </w:r>
                </w:p>
              </w:tc>
            </w:tr>
            <w:tr w14:paraId="440D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pct"/>
                  <w:vMerge w:val="continue"/>
                  <w:vAlign w:val="center"/>
                </w:tcPr>
                <w:p w14:paraId="054707FA">
                  <w:pPr>
                    <w:jc w:val="center"/>
                    <w:rPr>
                      <w:rFonts w:hint="eastAsia" w:cs="Times New Roman"/>
                      <w:color w:val="auto"/>
                      <w:highlight w:val="none"/>
                      <w:lang w:eastAsia="zh-CN"/>
                    </w:rPr>
                  </w:pPr>
                </w:p>
              </w:tc>
              <w:tc>
                <w:tcPr>
                  <w:tcW w:w="1119" w:type="pct"/>
                  <w:vMerge w:val="restart"/>
                  <w:vAlign w:val="center"/>
                </w:tcPr>
                <w:p w14:paraId="1170766A">
                  <w:pPr>
                    <w:jc w:val="center"/>
                    <w:rPr>
                      <w:rFonts w:hint="eastAsia" w:cs="Times New Roman"/>
                      <w:color w:val="auto"/>
                      <w:highlight w:val="none"/>
                      <w:lang w:val="en-US" w:eastAsia="zh-CN"/>
                    </w:rPr>
                  </w:pPr>
                  <w:r>
                    <w:rPr>
                      <w:rFonts w:hint="eastAsia" w:cs="Times New Roman"/>
                      <w:color w:val="auto"/>
                      <w:highlight w:val="none"/>
                      <w:lang w:val="en-US" w:eastAsia="zh-CN"/>
                    </w:rPr>
                    <w:t>循环桶装水</w:t>
                  </w:r>
                </w:p>
              </w:tc>
              <w:tc>
                <w:tcPr>
                  <w:tcW w:w="1312" w:type="pct"/>
                  <w:shd w:val="clear" w:color="auto" w:fill="auto"/>
                  <w:vAlign w:val="center"/>
                </w:tcPr>
                <w:p w14:paraId="2B4BFED5">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17L</w:t>
                  </w:r>
                </w:p>
              </w:tc>
              <w:tc>
                <w:tcPr>
                  <w:tcW w:w="1506" w:type="pct"/>
                  <w:vAlign w:val="center"/>
                </w:tcPr>
                <w:p w14:paraId="1854313C">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5000t</w:t>
                  </w:r>
                </w:p>
              </w:tc>
            </w:tr>
            <w:tr w14:paraId="3FBA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pct"/>
                  <w:vMerge w:val="continue"/>
                  <w:vAlign w:val="center"/>
                </w:tcPr>
                <w:p w14:paraId="1C8EAE13">
                  <w:pPr>
                    <w:jc w:val="center"/>
                    <w:rPr>
                      <w:rFonts w:hint="eastAsia" w:cs="Times New Roman"/>
                      <w:color w:val="auto"/>
                      <w:highlight w:val="none"/>
                      <w:lang w:eastAsia="zh-CN"/>
                    </w:rPr>
                  </w:pPr>
                </w:p>
              </w:tc>
              <w:tc>
                <w:tcPr>
                  <w:tcW w:w="1119" w:type="pct"/>
                  <w:vMerge w:val="continue"/>
                  <w:vAlign w:val="center"/>
                </w:tcPr>
                <w:p w14:paraId="1F1B1A84">
                  <w:pPr>
                    <w:jc w:val="center"/>
                    <w:rPr>
                      <w:rFonts w:hint="eastAsia" w:cs="Times New Roman"/>
                      <w:color w:val="auto"/>
                      <w:highlight w:val="none"/>
                      <w:lang w:val="en-US" w:eastAsia="zh-CN"/>
                    </w:rPr>
                  </w:pPr>
                </w:p>
              </w:tc>
              <w:tc>
                <w:tcPr>
                  <w:tcW w:w="1312" w:type="pct"/>
                  <w:shd w:val="clear" w:color="auto" w:fill="auto"/>
                  <w:vAlign w:val="center"/>
                </w:tcPr>
                <w:p w14:paraId="5DC5DCA7">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18L</w:t>
                  </w:r>
                </w:p>
              </w:tc>
              <w:tc>
                <w:tcPr>
                  <w:tcW w:w="1506" w:type="pct"/>
                  <w:vAlign w:val="center"/>
                </w:tcPr>
                <w:p w14:paraId="20CC40D6">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5000t</w:t>
                  </w:r>
                </w:p>
              </w:tc>
            </w:tr>
          </w:tbl>
          <w:p w14:paraId="04B82EFB">
            <w:pPr>
              <w:spacing w:line="360" w:lineRule="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5、主要原辅材料及能源消耗情况</w:t>
            </w:r>
          </w:p>
          <w:p w14:paraId="511BD569">
            <w:pPr>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主要原辅材料及能源消耗详见表2-3。</w:t>
            </w:r>
          </w:p>
          <w:p w14:paraId="18ECF6AA">
            <w:pPr>
              <w:snapToGrid w:val="0"/>
              <w:ind w:firstLine="482" w:firstLineChars="20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szCs w:val="32"/>
                <w:highlight w:val="none"/>
              </w:rPr>
              <w:t>表2-3 本项目原辅材料及能源消耗一览表</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1010"/>
              <w:gridCol w:w="2005"/>
              <w:gridCol w:w="1395"/>
              <w:gridCol w:w="1293"/>
              <w:gridCol w:w="1192"/>
              <w:gridCol w:w="847"/>
            </w:tblGrid>
            <w:tr w14:paraId="1AB8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4" w:type="pct"/>
                  <w:gridSpan w:val="2"/>
                  <w:vAlign w:val="center"/>
                </w:tcPr>
                <w:p w14:paraId="712E41E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原辅材料名称</w:t>
                  </w:r>
                </w:p>
              </w:tc>
              <w:tc>
                <w:tcPr>
                  <w:tcW w:w="1219" w:type="pct"/>
                  <w:vAlign w:val="center"/>
                </w:tcPr>
                <w:p w14:paraId="34FB6AE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规格</w:t>
                  </w:r>
                </w:p>
              </w:tc>
              <w:tc>
                <w:tcPr>
                  <w:tcW w:w="847" w:type="pct"/>
                  <w:vAlign w:val="center"/>
                </w:tcPr>
                <w:p w14:paraId="504A343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年用量</w:t>
                  </w:r>
                </w:p>
              </w:tc>
              <w:tc>
                <w:tcPr>
                  <w:tcW w:w="786" w:type="pct"/>
                  <w:vAlign w:val="center"/>
                </w:tcPr>
                <w:p w14:paraId="3FD84ED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包装方式</w:t>
                  </w:r>
                </w:p>
              </w:tc>
              <w:tc>
                <w:tcPr>
                  <w:tcW w:w="725" w:type="pct"/>
                  <w:vAlign w:val="center"/>
                </w:tcPr>
                <w:p w14:paraId="5C1F33E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年最大储量</w:t>
                  </w:r>
                </w:p>
              </w:tc>
              <w:tc>
                <w:tcPr>
                  <w:tcW w:w="515" w:type="pct"/>
                  <w:vAlign w:val="center"/>
                </w:tcPr>
                <w:p w14:paraId="68E0D9E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储存位置</w:t>
                  </w:r>
                </w:p>
              </w:tc>
            </w:tr>
            <w:tr w14:paraId="39C3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90" w:type="pct"/>
                  <w:vMerge w:val="restart"/>
                  <w:vAlign w:val="center"/>
                </w:tcPr>
                <w:p w14:paraId="334C0C8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原料</w:t>
                  </w:r>
                </w:p>
              </w:tc>
              <w:tc>
                <w:tcPr>
                  <w:tcW w:w="613" w:type="pct"/>
                  <w:vMerge w:val="restart"/>
                  <w:vAlign w:val="center"/>
                </w:tcPr>
                <w:p w14:paraId="12E8D3F1">
                  <w:pPr>
                    <w:jc w:val="center"/>
                    <w:rPr>
                      <w:rFonts w:hint="default" w:ascii="Times New Roman" w:hAnsi="Times New Roman" w:eastAsia="宋体" w:cs="Times New Roman"/>
                      <w:color w:val="auto"/>
                      <w:highlight w:val="none"/>
                      <w:lang w:val="en-US" w:eastAsia="zh-CN"/>
                    </w:rPr>
                  </w:pPr>
                  <w:bookmarkStart w:id="3" w:name="OLE_LINK1"/>
                  <w:r>
                    <w:rPr>
                      <w:rFonts w:hint="eastAsia" w:cs="Times New Roman"/>
                      <w:color w:val="auto"/>
                      <w:highlight w:val="none"/>
                      <w:lang w:val="en-US" w:eastAsia="zh-CN"/>
                    </w:rPr>
                    <w:t>PE瓶胚</w:t>
                  </w:r>
                  <w:bookmarkEnd w:id="3"/>
                </w:p>
              </w:tc>
              <w:tc>
                <w:tcPr>
                  <w:tcW w:w="1219" w:type="pct"/>
                  <w:vAlign w:val="center"/>
                </w:tcPr>
                <w:p w14:paraId="13ACA83C">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500mL</w:t>
                  </w:r>
                </w:p>
              </w:tc>
              <w:tc>
                <w:tcPr>
                  <w:tcW w:w="847" w:type="pct"/>
                  <w:vAlign w:val="center"/>
                </w:tcPr>
                <w:p w14:paraId="221D6E40">
                  <w:pPr>
                    <w:jc w:val="center"/>
                    <w:rPr>
                      <w:rFonts w:hint="default" w:cs="Times New Roman"/>
                      <w:color w:val="auto"/>
                      <w:highlight w:val="none"/>
                      <w:lang w:val="en-US" w:eastAsia="zh-CN"/>
                    </w:rPr>
                  </w:pPr>
                  <w:r>
                    <w:rPr>
                      <w:rFonts w:hint="eastAsia" w:cs="Times New Roman"/>
                      <w:color w:val="auto"/>
                      <w:highlight w:val="none"/>
                      <w:lang w:val="en-US" w:eastAsia="zh-CN"/>
                    </w:rPr>
                    <w:t>600万个</w:t>
                  </w:r>
                </w:p>
              </w:tc>
              <w:tc>
                <w:tcPr>
                  <w:tcW w:w="786" w:type="pct"/>
                  <w:vMerge w:val="restart"/>
                  <w:vAlign w:val="center"/>
                </w:tcPr>
                <w:p w14:paraId="58BD61E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箱装</w:t>
                  </w:r>
                </w:p>
              </w:tc>
              <w:tc>
                <w:tcPr>
                  <w:tcW w:w="725" w:type="pct"/>
                  <w:vAlign w:val="center"/>
                </w:tcPr>
                <w:p w14:paraId="4B3169F7">
                  <w:pPr>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2万个</w:t>
                  </w:r>
                </w:p>
              </w:tc>
              <w:tc>
                <w:tcPr>
                  <w:tcW w:w="515" w:type="pct"/>
                  <w:vMerge w:val="restart"/>
                  <w:vAlign w:val="center"/>
                </w:tcPr>
                <w:p w14:paraId="488EEBF9">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原料区</w:t>
                  </w:r>
                </w:p>
              </w:tc>
            </w:tr>
            <w:tr w14:paraId="2D2F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90" w:type="pct"/>
                  <w:vMerge w:val="continue"/>
                  <w:vAlign w:val="center"/>
                </w:tcPr>
                <w:p w14:paraId="55980C1A">
                  <w:pPr>
                    <w:jc w:val="center"/>
                    <w:rPr>
                      <w:color w:val="auto"/>
                      <w:highlight w:val="none"/>
                    </w:rPr>
                  </w:pPr>
                </w:p>
              </w:tc>
              <w:tc>
                <w:tcPr>
                  <w:tcW w:w="613" w:type="pct"/>
                  <w:vMerge w:val="continue"/>
                  <w:vAlign w:val="center"/>
                </w:tcPr>
                <w:p w14:paraId="4AB1866D">
                  <w:pPr>
                    <w:jc w:val="center"/>
                    <w:rPr>
                      <w:color w:val="auto"/>
                      <w:highlight w:val="none"/>
                    </w:rPr>
                  </w:pPr>
                </w:p>
              </w:tc>
              <w:tc>
                <w:tcPr>
                  <w:tcW w:w="1219" w:type="pct"/>
                  <w:vAlign w:val="center"/>
                </w:tcPr>
                <w:p w14:paraId="409C7ABC">
                  <w:pPr>
                    <w:jc w:val="center"/>
                    <w:rPr>
                      <w:rFonts w:hint="eastAsia" w:cs="Times New Roman"/>
                      <w:color w:val="auto"/>
                      <w:highlight w:val="none"/>
                      <w:lang w:val="en-US" w:eastAsia="zh-CN"/>
                    </w:rPr>
                  </w:pPr>
                  <w:r>
                    <w:rPr>
                      <w:rFonts w:hint="eastAsia" w:cs="Times New Roman"/>
                      <w:color w:val="auto"/>
                      <w:highlight w:val="none"/>
                      <w:lang w:val="en-US" w:eastAsia="zh-CN"/>
                    </w:rPr>
                    <w:t>15L</w:t>
                  </w:r>
                </w:p>
              </w:tc>
              <w:tc>
                <w:tcPr>
                  <w:tcW w:w="847" w:type="pct"/>
                  <w:vAlign w:val="center"/>
                </w:tcPr>
                <w:p w14:paraId="5B4FA8EF">
                  <w:pPr>
                    <w:jc w:val="center"/>
                    <w:rPr>
                      <w:rFonts w:hint="default" w:cs="Times New Roman"/>
                      <w:color w:val="auto"/>
                      <w:highlight w:val="none"/>
                      <w:lang w:val="en-US" w:eastAsia="zh-CN"/>
                    </w:rPr>
                  </w:pPr>
                  <w:r>
                    <w:rPr>
                      <w:rFonts w:hint="eastAsia" w:cs="Times New Roman"/>
                      <w:color w:val="auto"/>
                      <w:highlight w:val="none"/>
                      <w:lang w:val="en-US" w:eastAsia="zh-CN"/>
                    </w:rPr>
                    <w:t>46.7万个</w:t>
                  </w:r>
                </w:p>
              </w:tc>
              <w:tc>
                <w:tcPr>
                  <w:tcW w:w="786" w:type="pct"/>
                  <w:vMerge w:val="continue"/>
                  <w:vAlign w:val="center"/>
                </w:tcPr>
                <w:p w14:paraId="2C78A2CB">
                  <w:pPr>
                    <w:jc w:val="center"/>
                    <w:rPr>
                      <w:rFonts w:hint="eastAsia" w:cs="Times New Roman"/>
                      <w:color w:val="auto"/>
                      <w:highlight w:val="none"/>
                      <w:lang w:val="en-US" w:eastAsia="zh-CN"/>
                    </w:rPr>
                  </w:pPr>
                </w:p>
              </w:tc>
              <w:tc>
                <w:tcPr>
                  <w:tcW w:w="725" w:type="pct"/>
                  <w:vAlign w:val="center"/>
                </w:tcPr>
                <w:p w14:paraId="588C7B9F">
                  <w:pPr>
                    <w:jc w:val="center"/>
                    <w:rPr>
                      <w:rFonts w:hint="default" w:cs="Times New Roman"/>
                      <w:color w:val="auto"/>
                      <w:highlight w:val="none"/>
                      <w:lang w:val="en-US" w:eastAsia="zh-CN"/>
                    </w:rPr>
                  </w:pPr>
                  <w:r>
                    <w:rPr>
                      <w:rFonts w:hint="eastAsia" w:cs="Times New Roman"/>
                      <w:color w:val="auto"/>
                      <w:highlight w:val="none"/>
                      <w:lang w:val="en-US" w:eastAsia="zh-CN"/>
                    </w:rPr>
                    <w:t>0.2万个</w:t>
                  </w:r>
                </w:p>
              </w:tc>
              <w:tc>
                <w:tcPr>
                  <w:tcW w:w="515" w:type="pct"/>
                  <w:vMerge w:val="continue"/>
                  <w:vAlign w:val="center"/>
                </w:tcPr>
                <w:p w14:paraId="0337864D">
                  <w:pPr>
                    <w:jc w:val="center"/>
                    <w:rPr>
                      <w:rFonts w:hint="eastAsia" w:cs="Times New Roman"/>
                      <w:color w:val="auto"/>
                      <w:highlight w:val="none"/>
                      <w:lang w:val="en-US" w:eastAsia="zh-CN"/>
                    </w:rPr>
                  </w:pPr>
                </w:p>
              </w:tc>
            </w:tr>
            <w:tr w14:paraId="7483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90" w:type="pct"/>
                  <w:vMerge w:val="continue"/>
                  <w:vAlign w:val="center"/>
                </w:tcPr>
                <w:p w14:paraId="14768483">
                  <w:pPr>
                    <w:jc w:val="center"/>
                    <w:rPr>
                      <w:rFonts w:hint="eastAsia" w:cs="Times New Roman"/>
                      <w:color w:val="auto"/>
                      <w:highlight w:val="none"/>
                      <w:lang w:val="en-US" w:eastAsia="zh-CN"/>
                    </w:rPr>
                  </w:pPr>
                </w:p>
              </w:tc>
              <w:tc>
                <w:tcPr>
                  <w:tcW w:w="613" w:type="pct"/>
                  <w:vMerge w:val="restart"/>
                  <w:vAlign w:val="center"/>
                </w:tcPr>
                <w:p w14:paraId="16E6DAE0">
                  <w:pPr>
                    <w:jc w:val="center"/>
                    <w:rPr>
                      <w:rFonts w:hint="default" w:cs="Times New Roman"/>
                      <w:color w:val="auto"/>
                      <w:highlight w:val="none"/>
                      <w:lang w:val="en-US" w:eastAsia="zh-CN"/>
                    </w:rPr>
                  </w:pPr>
                  <w:r>
                    <w:rPr>
                      <w:rFonts w:hint="eastAsia" w:cs="Times New Roman"/>
                      <w:color w:val="auto"/>
                      <w:highlight w:val="none"/>
                      <w:lang w:val="en-US" w:eastAsia="zh-CN"/>
                    </w:rPr>
                    <w:t>水桶</w:t>
                  </w:r>
                </w:p>
              </w:tc>
              <w:tc>
                <w:tcPr>
                  <w:tcW w:w="1219" w:type="pct"/>
                  <w:vAlign w:val="center"/>
                </w:tcPr>
                <w:p w14:paraId="39718F08">
                  <w:pPr>
                    <w:jc w:val="center"/>
                    <w:rPr>
                      <w:rFonts w:hint="eastAsia" w:cs="Times New Roman"/>
                      <w:color w:val="auto"/>
                      <w:highlight w:val="none"/>
                      <w:lang w:val="en-US" w:eastAsia="zh-CN"/>
                    </w:rPr>
                  </w:pPr>
                  <w:r>
                    <w:rPr>
                      <w:rFonts w:hint="eastAsia" w:cs="Times New Roman"/>
                      <w:color w:val="auto"/>
                      <w:highlight w:val="none"/>
                      <w:lang w:val="en-US" w:eastAsia="zh-CN"/>
                    </w:rPr>
                    <w:t>17L</w:t>
                  </w:r>
                </w:p>
              </w:tc>
              <w:tc>
                <w:tcPr>
                  <w:tcW w:w="847" w:type="pct"/>
                  <w:vAlign w:val="center"/>
                </w:tcPr>
                <w:p w14:paraId="51BF1362">
                  <w:pPr>
                    <w:jc w:val="center"/>
                    <w:rPr>
                      <w:rFonts w:hint="default" w:cs="Times New Roman"/>
                      <w:color w:val="auto"/>
                      <w:highlight w:val="none"/>
                      <w:lang w:val="en-US" w:eastAsia="zh-CN"/>
                    </w:rPr>
                  </w:pPr>
                  <w:r>
                    <w:rPr>
                      <w:rFonts w:hint="eastAsia" w:cs="Times New Roman"/>
                      <w:color w:val="auto"/>
                      <w:highlight w:val="none"/>
                      <w:lang w:val="en-US" w:eastAsia="zh-CN"/>
                    </w:rPr>
                    <w:t>1万个</w:t>
                  </w:r>
                </w:p>
              </w:tc>
              <w:tc>
                <w:tcPr>
                  <w:tcW w:w="786" w:type="pct"/>
                  <w:vMerge w:val="continue"/>
                  <w:vAlign w:val="center"/>
                </w:tcPr>
                <w:p w14:paraId="04F9DB60">
                  <w:pPr>
                    <w:jc w:val="center"/>
                    <w:rPr>
                      <w:rFonts w:hint="eastAsia" w:cs="Times New Roman"/>
                      <w:color w:val="auto"/>
                      <w:highlight w:val="none"/>
                      <w:lang w:val="en-US" w:eastAsia="zh-CN"/>
                    </w:rPr>
                  </w:pPr>
                </w:p>
              </w:tc>
              <w:tc>
                <w:tcPr>
                  <w:tcW w:w="725" w:type="pct"/>
                  <w:vAlign w:val="center"/>
                </w:tcPr>
                <w:p w14:paraId="1D6D8EDF">
                  <w:pPr>
                    <w:jc w:val="center"/>
                    <w:rPr>
                      <w:rFonts w:hint="default" w:cs="Times New Roman"/>
                      <w:color w:val="auto"/>
                      <w:highlight w:val="none"/>
                      <w:lang w:val="en-US" w:eastAsia="zh-CN"/>
                    </w:rPr>
                  </w:pPr>
                  <w:r>
                    <w:rPr>
                      <w:rFonts w:hint="eastAsia" w:cs="Times New Roman"/>
                      <w:color w:val="auto"/>
                      <w:highlight w:val="none"/>
                      <w:lang w:val="en-US" w:eastAsia="zh-CN"/>
                    </w:rPr>
                    <w:t>0.003万个</w:t>
                  </w:r>
                </w:p>
              </w:tc>
              <w:tc>
                <w:tcPr>
                  <w:tcW w:w="515" w:type="pct"/>
                  <w:vMerge w:val="continue"/>
                  <w:vAlign w:val="center"/>
                </w:tcPr>
                <w:p w14:paraId="4F98D5B9">
                  <w:pPr>
                    <w:jc w:val="center"/>
                    <w:rPr>
                      <w:rFonts w:hint="eastAsia" w:cs="Times New Roman"/>
                      <w:color w:val="auto"/>
                      <w:highlight w:val="none"/>
                      <w:lang w:val="en-US" w:eastAsia="zh-CN"/>
                    </w:rPr>
                  </w:pPr>
                </w:p>
              </w:tc>
            </w:tr>
            <w:tr w14:paraId="5096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90" w:type="pct"/>
                  <w:vMerge w:val="continue"/>
                  <w:vAlign w:val="center"/>
                </w:tcPr>
                <w:p w14:paraId="3F5C5030">
                  <w:pPr>
                    <w:jc w:val="center"/>
                    <w:rPr>
                      <w:rFonts w:hint="eastAsia" w:cs="Times New Roman"/>
                      <w:color w:val="auto"/>
                      <w:highlight w:val="none"/>
                      <w:lang w:val="en-US" w:eastAsia="zh-CN"/>
                    </w:rPr>
                  </w:pPr>
                </w:p>
              </w:tc>
              <w:tc>
                <w:tcPr>
                  <w:tcW w:w="613" w:type="pct"/>
                  <w:vMerge w:val="continue"/>
                  <w:vAlign w:val="center"/>
                </w:tcPr>
                <w:p w14:paraId="4A1E1769">
                  <w:pPr>
                    <w:jc w:val="center"/>
                    <w:rPr>
                      <w:rFonts w:hint="eastAsia" w:cs="Times New Roman"/>
                      <w:color w:val="auto"/>
                      <w:highlight w:val="none"/>
                      <w:lang w:val="en-US" w:eastAsia="zh-CN"/>
                    </w:rPr>
                  </w:pPr>
                </w:p>
              </w:tc>
              <w:tc>
                <w:tcPr>
                  <w:tcW w:w="1219" w:type="pct"/>
                  <w:vAlign w:val="center"/>
                </w:tcPr>
                <w:p w14:paraId="33E1F070">
                  <w:pPr>
                    <w:jc w:val="center"/>
                    <w:rPr>
                      <w:rFonts w:hint="eastAsia" w:cs="Times New Roman"/>
                      <w:color w:val="auto"/>
                      <w:highlight w:val="none"/>
                      <w:lang w:val="en-US" w:eastAsia="zh-CN"/>
                    </w:rPr>
                  </w:pPr>
                  <w:r>
                    <w:rPr>
                      <w:rFonts w:hint="eastAsia" w:cs="Times New Roman"/>
                      <w:color w:val="auto"/>
                      <w:highlight w:val="none"/>
                      <w:lang w:val="en-US" w:eastAsia="zh-CN"/>
                    </w:rPr>
                    <w:t>18L</w:t>
                  </w:r>
                </w:p>
              </w:tc>
              <w:tc>
                <w:tcPr>
                  <w:tcW w:w="847" w:type="pct"/>
                  <w:vAlign w:val="center"/>
                </w:tcPr>
                <w:p w14:paraId="6D438CA9">
                  <w:pPr>
                    <w:jc w:val="center"/>
                    <w:rPr>
                      <w:rFonts w:hint="default" w:cs="Times New Roman"/>
                      <w:color w:val="auto"/>
                      <w:highlight w:val="none"/>
                      <w:lang w:val="en-US" w:eastAsia="zh-CN"/>
                    </w:rPr>
                  </w:pPr>
                  <w:r>
                    <w:rPr>
                      <w:rFonts w:hint="eastAsia" w:cs="Times New Roman"/>
                      <w:color w:val="auto"/>
                      <w:highlight w:val="none"/>
                      <w:lang w:val="en-US" w:eastAsia="zh-CN"/>
                    </w:rPr>
                    <w:t>1万个</w:t>
                  </w:r>
                </w:p>
              </w:tc>
              <w:tc>
                <w:tcPr>
                  <w:tcW w:w="786" w:type="pct"/>
                  <w:vMerge w:val="continue"/>
                  <w:vAlign w:val="center"/>
                </w:tcPr>
                <w:p w14:paraId="00BCAE3F">
                  <w:pPr>
                    <w:jc w:val="center"/>
                    <w:rPr>
                      <w:rFonts w:hint="eastAsia" w:cs="Times New Roman"/>
                      <w:color w:val="auto"/>
                      <w:highlight w:val="none"/>
                      <w:lang w:val="en-US" w:eastAsia="zh-CN"/>
                    </w:rPr>
                  </w:pPr>
                </w:p>
              </w:tc>
              <w:tc>
                <w:tcPr>
                  <w:tcW w:w="725" w:type="pct"/>
                  <w:vAlign w:val="center"/>
                </w:tcPr>
                <w:p w14:paraId="54C61C0E">
                  <w:pPr>
                    <w:jc w:val="center"/>
                    <w:rPr>
                      <w:rFonts w:hint="default" w:cs="Times New Roman"/>
                      <w:color w:val="auto"/>
                      <w:highlight w:val="none"/>
                      <w:lang w:val="en-US" w:eastAsia="zh-CN"/>
                    </w:rPr>
                  </w:pPr>
                  <w:r>
                    <w:rPr>
                      <w:rFonts w:hint="eastAsia" w:cs="Times New Roman"/>
                      <w:color w:val="auto"/>
                      <w:highlight w:val="none"/>
                      <w:lang w:val="en-US" w:eastAsia="zh-CN"/>
                    </w:rPr>
                    <w:t>0.003万个</w:t>
                  </w:r>
                </w:p>
              </w:tc>
              <w:tc>
                <w:tcPr>
                  <w:tcW w:w="515" w:type="pct"/>
                  <w:vMerge w:val="continue"/>
                  <w:vAlign w:val="center"/>
                </w:tcPr>
                <w:p w14:paraId="209F87D7">
                  <w:pPr>
                    <w:jc w:val="center"/>
                    <w:rPr>
                      <w:rFonts w:hint="eastAsia" w:cs="Times New Roman"/>
                      <w:color w:val="auto"/>
                      <w:highlight w:val="none"/>
                      <w:lang w:val="en-US" w:eastAsia="zh-CN"/>
                    </w:rPr>
                  </w:pPr>
                </w:p>
              </w:tc>
            </w:tr>
            <w:tr w14:paraId="0F70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90" w:type="pct"/>
                  <w:vMerge w:val="continue"/>
                  <w:vAlign w:val="center"/>
                </w:tcPr>
                <w:p w14:paraId="0F686DCF">
                  <w:pPr>
                    <w:jc w:val="center"/>
                    <w:rPr>
                      <w:rFonts w:hint="default" w:ascii="Times New Roman" w:hAnsi="Times New Roman" w:cs="Times New Roman"/>
                      <w:color w:val="auto"/>
                      <w:highlight w:val="none"/>
                    </w:rPr>
                  </w:pPr>
                </w:p>
              </w:tc>
              <w:tc>
                <w:tcPr>
                  <w:tcW w:w="613" w:type="pct"/>
                  <w:vAlign w:val="center"/>
                </w:tcPr>
                <w:p w14:paraId="25AF57AC">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瓶盖</w:t>
                  </w:r>
                </w:p>
              </w:tc>
              <w:tc>
                <w:tcPr>
                  <w:tcW w:w="1219" w:type="pct"/>
                  <w:vAlign w:val="center"/>
                </w:tcPr>
                <w:p w14:paraId="6C1273F2">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55盖</w:t>
                  </w:r>
                </w:p>
              </w:tc>
              <w:tc>
                <w:tcPr>
                  <w:tcW w:w="847" w:type="pct"/>
                  <w:vAlign w:val="center"/>
                </w:tcPr>
                <w:p w14:paraId="3821B56C">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703.9万只</w:t>
                  </w:r>
                </w:p>
              </w:tc>
              <w:tc>
                <w:tcPr>
                  <w:tcW w:w="786" w:type="pct"/>
                  <w:vAlign w:val="center"/>
                </w:tcPr>
                <w:p w14:paraId="51FC032D">
                  <w:pPr>
                    <w:jc w:val="center"/>
                    <w:rPr>
                      <w:rFonts w:hint="default" w:ascii="Times New Roman" w:hAnsi="Times New Roman" w:cs="Times New Roman"/>
                      <w:color w:val="auto"/>
                      <w:highlight w:val="none"/>
                    </w:rPr>
                  </w:pPr>
                  <w:r>
                    <w:rPr>
                      <w:rFonts w:hint="eastAsia" w:cs="Times New Roman"/>
                      <w:color w:val="auto"/>
                      <w:highlight w:val="none"/>
                      <w:lang w:eastAsia="zh-CN"/>
                    </w:rPr>
                    <w:t>袋装</w:t>
                  </w:r>
                </w:p>
              </w:tc>
              <w:tc>
                <w:tcPr>
                  <w:tcW w:w="725" w:type="pct"/>
                  <w:vAlign w:val="center"/>
                </w:tcPr>
                <w:p w14:paraId="18FC1042">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2.5万只</w:t>
                  </w:r>
                </w:p>
              </w:tc>
              <w:tc>
                <w:tcPr>
                  <w:tcW w:w="515" w:type="pct"/>
                  <w:vMerge w:val="restart"/>
                  <w:vAlign w:val="center"/>
                </w:tcPr>
                <w:p w14:paraId="69C33F96">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包材库</w:t>
                  </w:r>
                </w:p>
              </w:tc>
            </w:tr>
            <w:tr w14:paraId="42CC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90" w:type="pct"/>
                  <w:vMerge w:val="continue"/>
                  <w:vAlign w:val="center"/>
                </w:tcPr>
                <w:p w14:paraId="74B33022">
                  <w:pPr>
                    <w:jc w:val="center"/>
                    <w:rPr>
                      <w:rFonts w:hint="default" w:ascii="Times New Roman" w:hAnsi="Times New Roman" w:cs="Times New Roman"/>
                      <w:color w:val="auto"/>
                      <w:highlight w:val="none"/>
                    </w:rPr>
                  </w:pPr>
                </w:p>
              </w:tc>
              <w:tc>
                <w:tcPr>
                  <w:tcW w:w="613" w:type="pct"/>
                  <w:vAlign w:val="center"/>
                </w:tcPr>
                <w:p w14:paraId="2E036486">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铜扣热缩膜</w:t>
                  </w:r>
                </w:p>
              </w:tc>
              <w:tc>
                <w:tcPr>
                  <w:tcW w:w="1219" w:type="pct"/>
                  <w:vAlign w:val="center"/>
                </w:tcPr>
                <w:p w14:paraId="464A44A0">
                  <w:pPr>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c>
                <w:tcPr>
                  <w:tcW w:w="847" w:type="pct"/>
                  <w:vAlign w:val="center"/>
                </w:tcPr>
                <w:p w14:paraId="6D48C214">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103.9万只</w:t>
                  </w:r>
                </w:p>
              </w:tc>
              <w:tc>
                <w:tcPr>
                  <w:tcW w:w="786" w:type="pct"/>
                  <w:vAlign w:val="center"/>
                </w:tcPr>
                <w:p w14:paraId="0555629F">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袋装</w:t>
                  </w:r>
                </w:p>
              </w:tc>
              <w:tc>
                <w:tcPr>
                  <w:tcW w:w="725" w:type="pct"/>
                  <w:vAlign w:val="center"/>
                </w:tcPr>
                <w:p w14:paraId="741A9324">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0.5万只</w:t>
                  </w:r>
                </w:p>
              </w:tc>
              <w:tc>
                <w:tcPr>
                  <w:tcW w:w="515" w:type="pct"/>
                  <w:vMerge w:val="continue"/>
                  <w:vAlign w:val="center"/>
                </w:tcPr>
                <w:p w14:paraId="13E54C58">
                  <w:pPr>
                    <w:jc w:val="center"/>
                    <w:rPr>
                      <w:rFonts w:hint="default" w:ascii="Times New Roman" w:hAnsi="Times New Roman" w:cs="Times New Roman"/>
                      <w:color w:val="auto"/>
                      <w:highlight w:val="none"/>
                    </w:rPr>
                  </w:pPr>
                </w:p>
              </w:tc>
            </w:tr>
            <w:tr w14:paraId="79B9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90" w:type="pct"/>
                  <w:vMerge w:val="continue"/>
                  <w:vAlign w:val="center"/>
                </w:tcPr>
                <w:p w14:paraId="33D19DD0">
                  <w:pPr>
                    <w:jc w:val="center"/>
                    <w:rPr>
                      <w:rFonts w:hint="default" w:ascii="Times New Roman" w:hAnsi="Times New Roman" w:cs="Times New Roman"/>
                      <w:color w:val="auto"/>
                      <w:highlight w:val="none"/>
                    </w:rPr>
                  </w:pPr>
                </w:p>
              </w:tc>
              <w:tc>
                <w:tcPr>
                  <w:tcW w:w="613" w:type="pct"/>
                  <w:vAlign w:val="center"/>
                </w:tcPr>
                <w:p w14:paraId="5AE0CD45">
                  <w:pPr>
                    <w:jc w:val="center"/>
                    <w:rPr>
                      <w:rFonts w:hint="eastAsia" w:cs="Times New Roman"/>
                      <w:color w:val="auto"/>
                      <w:highlight w:val="none"/>
                      <w:lang w:eastAsia="zh-CN"/>
                    </w:rPr>
                  </w:pPr>
                  <w:r>
                    <w:rPr>
                      <w:rFonts w:hint="eastAsia" w:cs="Times New Roman"/>
                      <w:color w:val="auto"/>
                      <w:highlight w:val="none"/>
                      <w:lang w:eastAsia="zh-CN"/>
                    </w:rPr>
                    <w:t>套标标签</w:t>
                  </w:r>
                </w:p>
              </w:tc>
              <w:tc>
                <w:tcPr>
                  <w:tcW w:w="1219" w:type="pct"/>
                  <w:vAlign w:val="center"/>
                </w:tcPr>
                <w:p w14:paraId="186AFC22">
                  <w:pPr>
                    <w:jc w:val="center"/>
                    <w:rPr>
                      <w:rFonts w:hint="default" w:cs="Times New Roman"/>
                      <w:color w:val="auto"/>
                      <w:highlight w:val="none"/>
                      <w:lang w:val="en-US" w:eastAsia="zh-CN"/>
                    </w:rPr>
                  </w:pPr>
                  <w:r>
                    <w:rPr>
                      <w:rFonts w:hint="eastAsia" w:cs="Times New Roman"/>
                      <w:color w:val="auto"/>
                      <w:highlight w:val="none"/>
                      <w:lang w:val="en-US" w:eastAsia="zh-CN"/>
                    </w:rPr>
                    <w:t>/</w:t>
                  </w:r>
                </w:p>
              </w:tc>
              <w:tc>
                <w:tcPr>
                  <w:tcW w:w="847" w:type="pct"/>
                  <w:vAlign w:val="center"/>
                </w:tcPr>
                <w:p w14:paraId="1904F930">
                  <w:pPr>
                    <w:jc w:val="center"/>
                    <w:rPr>
                      <w:rFonts w:hint="eastAsia" w:cs="Times New Roman"/>
                      <w:color w:val="auto"/>
                      <w:highlight w:val="none"/>
                      <w:lang w:val="en-US" w:eastAsia="zh-CN"/>
                    </w:rPr>
                  </w:pPr>
                  <w:r>
                    <w:rPr>
                      <w:rFonts w:hint="eastAsia" w:cs="Times New Roman"/>
                      <w:color w:val="auto"/>
                      <w:highlight w:val="none"/>
                      <w:lang w:val="en-US" w:eastAsia="zh-CN"/>
                    </w:rPr>
                    <w:t>703.9万个</w:t>
                  </w:r>
                </w:p>
              </w:tc>
              <w:tc>
                <w:tcPr>
                  <w:tcW w:w="786" w:type="pct"/>
                  <w:vAlign w:val="center"/>
                </w:tcPr>
                <w:p w14:paraId="698AED06">
                  <w:pPr>
                    <w:jc w:val="center"/>
                    <w:rPr>
                      <w:rFonts w:hint="eastAsia" w:cs="Times New Roman"/>
                      <w:color w:val="auto"/>
                      <w:highlight w:val="none"/>
                      <w:lang w:eastAsia="zh-CN"/>
                    </w:rPr>
                  </w:pPr>
                  <w:r>
                    <w:rPr>
                      <w:rFonts w:hint="eastAsia" w:cs="Times New Roman"/>
                      <w:color w:val="auto"/>
                      <w:highlight w:val="none"/>
                      <w:lang w:eastAsia="zh-CN"/>
                    </w:rPr>
                    <w:t>袋装</w:t>
                  </w:r>
                </w:p>
              </w:tc>
              <w:tc>
                <w:tcPr>
                  <w:tcW w:w="725" w:type="pct"/>
                  <w:vAlign w:val="center"/>
                </w:tcPr>
                <w:p w14:paraId="56215B63">
                  <w:pPr>
                    <w:jc w:val="center"/>
                    <w:rPr>
                      <w:rFonts w:hint="eastAsia" w:cs="Times New Roman"/>
                      <w:color w:val="auto"/>
                      <w:highlight w:val="none"/>
                      <w:lang w:val="en-US" w:eastAsia="zh-CN"/>
                    </w:rPr>
                  </w:pPr>
                  <w:r>
                    <w:rPr>
                      <w:rFonts w:hint="eastAsia" w:cs="Times New Roman"/>
                      <w:color w:val="auto"/>
                      <w:highlight w:val="none"/>
                      <w:lang w:val="en-US" w:eastAsia="zh-CN"/>
                    </w:rPr>
                    <w:t>2.5万个</w:t>
                  </w:r>
                </w:p>
              </w:tc>
              <w:tc>
                <w:tcPr>
                  <w:tcW w:w="515" w:type="pct"/>
                  <w:vMerge w:val="continue"/>
                  <w:vAlign w:val="center"/>
                </w:tcPr>
                <w:p w14:paraId="22C1FBB5">
                  <w:pPr>
                    <w:jc w:val="center"/>
                    <w:rPr>
                      <w:rFonts w:hint="default" w:ascii="Times New Roman" w:hAnsi="Times New Roman" w:cs="Times New Roman"/>
                      <w:color w:val="auto"/>
                      <w:highlight w:val="none"/>
                    </w:rPr>
                  </w:pPr>
                </w:p>
              </w:tc>
            </w:tr>
            <w:tr w14:paraId="4CFF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90" w:type="pct"/>
                  <w:vMerge w:val="continue"/>
                  <w:vAlign w:val="center"/>
                </w:tcPr>
                <w:p w14:paraId="1D7C9DE9">
                  <w:pPr>
                    <w:jc w:val="center"/>
                    <w:rPr>
                      <w:rFonts w:hint="default" w:ascii="Times New Roman" w:hAnsi="Times New Roman" w:cs="Times New Roman"/>
                      <w:color w:val="auto"/>
                      <w:highlight w:val="none"/>
                    </w:rPr>
                  </w:pPr>
                </w:p>
              </w:tc>
              <w:tc>
                <w:tcPr>
                  <w:tcW w:w="613" w:type="pct"/>
                  <w:vAlign w:val="center"/>
                </w:tcPr>
                <w:p w14:paraId="5780CF57">
                  <w:pPr>
                    <w:jc w:val="center"/>
                    <w:rPr>
                      <w:rFonts w:hint="eastAsia" w:cs="Times New Roman"/>
                      <w:color w:val="auto"/>
                      <w:highlight w:val="none"/>
                      <w:lang w:eastAsia="zh-CN"/>
                    </w:rPr>
                  </w:pPr>
                  <w:r>
                    <w:rPr>
                      <w:rFonts w:hint="eastAsia" w:cs="Times New Roman"/>
                      <w:color w:val="auto"/>
                      <w:highlight w:val="none"/>
                      <w:lang w:eastAsia="zh-CN"/>
                    </w:rPr>
                    <w:t>贴标标签</w:t>
                  </w:r>
                </w:p>
              </w:tc>
              <w:tc>
                <w:tcPr>
                  <w:tcW w:w="1219" w:type="pct"/>
                  <w:vAlign w:val="center"/>
                </w:tcPr>
                <w:p w14:paraId="7AB8017D">
                  <w:pPr>
                    <w:jc w:val="center"/>
                    <w:rPr>
                      <w:rFonts w:hint="default" w:cs="Times New Roman"/>
                      <w:color w:val="auto"/>
                      <w:highlight w:val="none"/>
                      <w:lang w:val="en-US" w:eastAsia="zh-CN"/>
                    </w:rPr>
                  </w:pPr>
                  <w:r>
                    <w:rPr>
                      <w:rFonts w:hint="eastAsia" w:cs="Times New Roman"/>
                      <w:color w:val="auto"/>
                      <w:highlight w:val="none"/>
                      <w:lang w:val="en-US" w:eastAsia="zh-CN"/>
                    </w:rPr>
                    <w:t>/</w:t>
                  </w:r>
                </w:p>
              </w:tc>
              <w:tc>
                <w:tcPr>
                  <w:tcW w:w="847" w:type="pct"/>
                  <w:vAlign w:val="center"/>
                </w:tcPr>
                <w:p w14:paraId="296BD68F">
                  <w:pPr>
                    <w:jc w:val="center"/>
                    <w:rPr>
                      <w:rFonts w:hint="default" w:cs="Times New Roman"/>
                      <w:color w:val="auto"/>
                      <w:highlight w:val="none"/>
                      <w:lang w:val="en-US" w:eastAsia="zh-CN"/>
                    </w:rPr>
                  </w:pPr>
                  <w:r>
                    <w:rPr>
                      <w:rFonts w:hint="eastAsia" w:cs="Times New Roman"/>
                      <w:color w:val="auto"/>
                      <w:highlight w:val="none"/>
                      <w:lang w:val="en-US" w:eastAsia="zh-CN"/>
                    </w:rPr>
                    <w:t>646.7万个</w:t>
                  </w:r>
                </w:p>
              </w:tc>
              <w:tc>
                <w:tcPr>
                  <w:tcW w:w="786" w:type="pct"/>
                  <w:shd w:val="clear" w:color="auto" w:fill="auto"/>
                  <w:vAlign w:val="center"/>
                </w:tcPr>
                <w:p w14:paraId="2A5CBB87">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eastAsia="zh-CN"/>
                    </w:rPr>
                    <w:t>袋装</w:t>
                  </w:r>
                </w:p>
              </w:tc>
              <w:tc>
                <w:tcPr>
                  <w:tcW w:w="725" w:type="pct"/>
                  <w:shd w:val="clear" w:color="auto" w:fill="auto"/>
                  <w:vAlign w:val="center"/>
                </w:tcPr>
                <w:p w14:paraId="61D31F8E">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2.5万个</w:t>
                  </w:r>
                </w:p>
              </w:tc>
              <w:tc>
                <w:tcPr>
                  <w:tcW w:w="515" w:type="pct"/>
                  <w:vMerge w:val="continue"/>
                  <w:vAlign w:val="center"/>
                </w:tcPr>
                <w:p w14:paraId="6A308D97">
                  <w:pPr>
                    <w:jc w:val="center"/>
                    <w:rPr>
                      <w:rFonts w:hint="default" w:ascii="Times New Roman" w:hAnsi="Times New Roman" w:cs="Times New Roman"/>
                      <w:color w:val="auto"/>
                      <w:highlight w:val="none"/>
                    </w:rPr>
                  </w:pPr>
                </w:p>
              </w:tc>
            </w:tr>
            <w:tr w14:paraId="349A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90" w:type="pct"/>
                  <w:vMerge w:val="continue"/>
                  <w:vAlign w:val="center"/>
                </w:tcPr>
                <w:p w14:paraId="2C8816E5">
                  <w:pPr>
                    <w:jc w:val="center"/>
                    <w:rPr>
                      <w:rFonts w:hint="default" w:ascii="Times New Roman" w:hAnsi="Times New Roman" w:cs="Times New Roman"/>
                      <w:color w:val="auto"/>
                      <w:highlight w:val="none"/>
                    </w:rPr>
                  </w:pPr>
                </w:p>
              </w:tc>
              <w:tc>
                <w:tcPr>
                  <w:tcW w:w="613" w:type="pct"/>
                  <w:vAlign w:val="center"/>
                </w:tcPr>
                <w:p w14:paraId="47F5370B">
                  <w:pPr>
                    <w:jc w:val="center"/>
                    <w:rPr>
                      <w:rFonts w:hint="eastAsia" w:cs="Times New Roman"/>
                      <w:color w:val="auto"/>
                      <w:highlight w:val="none"/>
                      <w:lang w:eastAsia="zh-CN"/>
                    </w:rPr>
                  </w:pPr>
                  <w:r>
                    <w:rPr>
                      <w:rFonts w:hint="eastAsia" w:cs="Times New Roman"/>
                      <w:color w:val="auto"/>
                      <w:highlight w:val="none"/>
                      <w:lang w:eastAsia="zh-CN"/>
                    </w:rPr>
                    <w:t>包装袋</w:t>
                  </w:r>
                </w:p>
              </w:tc>
              <w:tc>
                <w:tcPr>
                  <w:tcW w:w="1219" w:type="pct"/>
                  <w:vAlign w:val="center"/>
                </w:tcPr>
                <w:p w14:paraId="626046F6">
                  <w:pPr>
                    <w:jc w:val="center"/>
                    <w:rPr>
                      <w:rFonts w:hint="default" w:cs="Times New Roman"/>
                      <w:color w:val="auto"/>
                      <w:highlight w:val="none"/>
                      <w:lang w:val="en-US" w:eastAsia="zh-CN"/>
                    </w:rPr>
                  </w:pPr>
                  <w:r>
                    <w:rPr>
                      <w:rFonts w:hint="eastAsia" w:cs="Times New Roman"/>
                      <w:color w:val="auto"/>
                      <w:highlight w:val="none"/>
                      <w:lang w:val="en-US" w:eastAsia="zh-CN"/>
                    </w:rPr>
                    <w:t>/</w:t>
                  </w:r>
                </w:p>
              </w:tc>
              <w:tc>
                <w:tcPr>
                  <w:tcW w:w="847" w:type="pct"/>
                  <w:vAlign w:val="center"/>
                </w:tcPr>
                <w:p w14:paraId="5D43E110">
                  <w:pPr>
                    <w:jc w:val="center"/>
                    <w:rPr>
                      <w:rFonts w:hint="default" w:cs="Times New Roman"/>
                      <w:color w:val="auto"/>
                      <w:highlight w:val="none"/>
                      <w:lang w:val="en-US" w:eastAsia="zh-CN"/>
                    </w:rPr>
                  </w:pPr>
                  <w:r>
                    <w:rPr>
                      <w:rFonts w:hint="eastAsia" w:cs="Times New Roman"/>
                      <w:color w:val="auto"/>
                      <w:highlight w:val="none"/>
                      <w:lang w:val="en-US" w:eastAsia="zh-CN"/>
                    </w:rPr>
                    <w:t>103.9个</w:t>
                  </w:r>
                </w:p>
              </w:tc>
              <w:tc>
                <w:tcPr>
                  <w:tcW w:w="786" w:type="pct"/>
                  <w:shd w:val="clear" w:color="auto" w:fill="auto"/>
                  <w:vAlign w:val="center"/>
                </w:tcPr>
                <w:p w14:paraId="5DF1F733">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eastAsia="zh-CN"/>
                    </w:rPr>
                    <w:t>袋装</w:t>
                  </w:r>
                </w:p>
              </w:tc>
              <w:tc>
                <w:tcPr>
                  <w:tcW w:w="725" w:type="pct"/>
                  <w:shd w:val="clear" w:color="auto" w:fill="auto"/>
                  <w:vAlign w:val="center"/>
                </w:tcPr>
                <w:p w14:paraId="1AA5C9DB">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0.5万个</w:t>
                  </w:r>
                </w:p>
              </w:tc>
              <w:tc>
                <w:tcPr>
                  <w:tcW w:w="515" w:type="pct"/>
                  <w:vMerge w:val="continue"/>
                  <w:vAlign w:val="center"/>
                </w:tcPr>
                <w:p w14:paraId="525BF8D3">
                  <w:pPr>
                    <w:jc w:val="center"/>
                    <w:rPr>
                      <w:rFonts w:hint="default" w:ascii="Times New Roman" w:hAnsi="Times New Roman" w:cs="Times New Roman"/>
                      <w:color w:val="auto"/>
                      <w:highlight w:val="none"/>
                    </w:rPr>
                  </w:pPr>
                </w:p>
              </w:tc>
            </w:tr>
            <w:tr w14:paraId="4626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90" w:type="pct"/>
                  <w:vMerge w:val="restart"/>
                  <w:vAlign w:val="center"/>
                </w:tcPr>
                <w:p w14:paraId="56296EC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能源</w:t>
                  </w:r>
                </w:p>
              </w:tc>
              <w:tc>
                <w:tcPr>
                  <w:tcW w:w="613" w:type="pct"/>
                  <w:vAlign w:val="center"/>
                </w:tcPr>
                <w:p w14:paraId="49E5BF7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w:t>
                  </w:r>
                </w:p>
              </w:tc>
              <w:tc>
                <w:tcPr>
                  <w:tcW w:w="2067" w:type="pct"/>
                  <w:gridSpan w:val="2"/>
                  <w:shd w:val="clear" w:color="auto" w:fill="auto"/>
                  <w:vAlign w:val="center"/>
                </w:tcPr>
                <w:p w14:paraId="5806472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256</w:t>
                  </w:r>
                  <w:r>
                    <w:rPr>
                      <w:rFonts w:hint="eastAsia" w:cs="Times New Roman"/>
                      <w:i w:val="0"/>
                      <w:iCs w:val="0"/>
                      <w:color w:val="auto"/>
                      <w:kern w:val="0"/>
                      <w:sz w:val="21"/>
                      <w:szCs w:val="21"/>
                      <w:highlight w:val="none"/>
                      <w:u w:val="none"/>
                      <w:lang w:val="en-US" w:eastAsia="zh-CN" w:bidi="ar"/>
                    </w:rPr>
                    <w:t>24.1875</w:t>
                  </w:r>
                  <w:r>
                    <w:rPr>
                      <w:rFonts w:hint="eastAsia" w:ascii="Times New Roman" w:hAnsi="Times New Roman" w:eastAsia="宋体" w:cs="Times New Roman"/>
                      <w:i w:val="0"/>
                      <w:iCs w:val="0"/>
                      <w:color w:val="auto"/>
                      <w:kern w:val="0"/>
                      <w:sz w:val="21"/>
                      <w:szCs w:val="21"/>
                      <w:highlight w:val="none"/>
                      <w:u w:val="none"/>
                      <w:lang w:val="en-US" w:eastAsia="zh-CN" w:bidi="ar"/>
                    </w:rPr>
                    <w:t>t/a</w:t>
                  </w:r>
                </w:p>
              </w:tc>
              <w:tc>
                <w:tcPr>
                  <w:tcW w:w="786" w:type="pct"/>
                  <w:vAlign w:val="center"/>
                </w:tcPr>
                <w:p w14:paraId="2B9F1A4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725" w:type="pct"/>
                  <w:vAlign w:val="center"/>
                </w:tcPr>
                <w:p w14:paraId="5076997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515" w:type="pct"/>
                  <w:vAlign w:val="center"/>
                </w:tcPr>
                <w:p w14:paraId="3B13E1B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4690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 w:type="pct"/>
                  <w:vMerge w:val="continue"/>
                  <w:vAlign w:val="center"/>
                </w:tcPr>
                <w:p w14:paraId="53B7F654">
                  <w:pPr>
                    <w:jc w:val="center"/>
                    <w:rPr>
                      <w:rFonts w:hint="default" w:ascii="Times New Roman" w:hAnsi="Times New Roman" w:cs="Times New Roman"/>
                      <w:color w:val="auto"/>
                      <w:highlight w:val="none"/>
                    </w:rPr>
                  </w:pPr>
                </w:p>
              </w:tc>
              <w:tc>
                <w:tcPr>
                  <w:tcW w:w="613" w:type="pct"/>
                  <w:vAlign w:val="center"/>
                </w:tcPr>
                <w:p w14:paraId="5324805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w:t>
                  </w:r>
                </w:p>
              </w:tc>
              <w:tc>
                <w:tcPr>
                  <w:tcW w:w="2067" w:type="pct"/>
                  <w:gridSpan w:val="2"/>
                  <w:vAlign w:val="center"/>
                </w:tcPr>
                <w:p w14:paraId="2443ACFE">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50万Kwh</w:t>
                  </w:r>
                </w:p>
              </w:tc>
              <w:tc>
                <w:tcPr>
                  <w:tcW w:w="786" w:type="pct"/>
                  <w:vAlign w:val="center"/>
                </w:tcPr>
                <w:p w14:paraId="63B6220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725" w:type="pct"/>
                  <w:vAlign w:val="center"/>
                </w:tcPr>
                <w:p w14:paraId="0D78EB2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515" w:type="pct"/>
                  <w:vAlign w:val="center"/>
                </w:tcPr>
                <w:p w14:paraId="6767D46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bl>
          <w:p w14:paraId="34D0D5ED">
            <w:pPr>
              <w:keepNext w:val="0"/>
              <w:keepLines w:val="0"/>
              <w:widowControl/>
              <w:suppressLineNumbers w:val="0"/>
              <w:jc w:val="left"/>
              <w:rPr>
                <w:rFonts w:hint="default" w:ascii="Times New Roman" w:hAnsi="Times New Roman" w:eastAsia="宋体" w:cs="Times New Roman"/>
                <w:b w:val="0"/>
                <w:bCs w:val="0"/>
                <w:color w:val="auto"/>
                <w:sz w:val="21"/>
                <w:szCs w:val="24"/>
                <w:highlight w:val="none"/>
                <w:lang w:val="en-US" w:eastAsia="zh-CN"/>
              </w:rPr>
            </w:pPr>
            <w:r>
              <w:rPr>
                <w:rFonts w:hint="default" w:ascii="Times New Roman" w:hAnsi="Times New Roman" w:cs="Times New Roman"/>
                <w:b w:val="0"/>
                <w:bCs w:val="0"/>
                <w:color w:val="auto"/>
                <w:sz w:val="21"/>
                <w:szCs w:val="24"/>
                <w:highlight w:val="none"/>
                <w:lang w:eastAsia="zh-CN"/>
              </w:rPr>
              <w:t>注：</w:t>
            </w:r>
            <w:r>
              <w:rPr>
                <w:rFonts w:hint="eastAsia" w:ascii="Times New Roman" w:hAnsi="Times New Roman" w:eastAsia="宋体" w:cs="Times New Roman"/>
                <w:color w:val="auto"/>
                <w:kern w:val="0"/>
                <w:sz w:val="21"/>
                <w:szCs w:val="21"/>
                <w:highlight w:val="none"/>
                <w:lang w:val="en-US" w:eastAsia="zh-CN" w:bidi="ar"/>
              </w:rPr>
              <w:t>17L、18L水桶为循环桶，500mL、15L水瓶/桶为一次性水瓶/桶。</w:t>
            </w:r>
          </w:p>
          <w:p w14:paraId="7121D7A0">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cs="Times New Roman"/>
                <w:b/>
                <w:bCs/>
                <w:color w:val="auto"/>
                <w:sz w:val="24"/>
                <w:szCs w:val="32"/>
                <w:highlight w:val="none"/>
                <w:lang w:val="en-US" w:eastAsia="zh-CN"/>
              </w:rPr>
            </w:pPr>
            <w:r>
              <w:rPr>
                <w:rFonts w:hint="eastAsia" w:cs="Times New Roman"/>
                <w:b/>
                <w:bCs/>
                <w:color w:val="auto"/>
                <w:sz w:val="24"/>
                <w:szCs w:val="32"/>
                <w:highlight w:val="none"/>
                <w:lang w:val="en-US" w:eastAsia="zh-CN"/>
              </w:rPr>
              <w:t>表2-4 原辅材料理化性质一览表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7093"/>
            </w:tblGrid>
            <w:tr w14:paraId="7263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14:paraId="622B9F14">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名称</w:t>
                  </w:r>
                </w:p>
              </w:tc>
              <w:tc>
                <w:tcPr>
                  <w:tcW w:w="7093" w:type="dxa"/>
                  <w:vAlign w:val="center"/>
                </w:tcPr>
                <w:p w14:paraId="71B13131">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理化性质</w:t>
                  </w:r>
                </w:p>
              </w:tc>
            </w:tr>
            <w:tr w14:paraId="77B8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14:paraId="0D8500FA">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PE</w:t>
                  </w:r>
                </w:p>
              </w:tc>
              <w:tc>
                <w:tcPr>
                  <w:tcW w:w="7093" w:type="dxa"/>
                  <w:vAlign w:val="center"/>
                </w:tcPr>
                <w:p w14:paraId="5DE0348A">
                  <w:pPr>
                    <w:bidi w:val="0"/>
                    <w:jc w:val="center"/>
                    <w:rPr>
                      <w:rFonts w:hint="eastAsia" w:eastAsia="宋体"/>
                      <w:color w:val="auto"/>
                      <w:szCs w:val="21"/>
                      <w:highlight w:val="none"/>
                      <w:vertAlign w:val="baseline"/>
                      <w:lang w:val="en-US" w:eastAsia="zh-CN"/>
                    </w:rPr>
                  </w:pPr>
                  <w:r>
                    <w:rPr>
                      <w:rFonts w:hint="default" w:ascii="Times New Roman" w:hAnsi="Times New Roman" w:cs="Times New Roman"/>
                      <w:color w:val="auto"/>
                      <w:highlight w:val="none"/>
                      <w:lang w:eastAsia="zh-CN"/>
                    </w:rPr>
                    <w:t>又称</w:t>
                  </w:r>
                  <w:r>
                    <w:rPr>
                      <w:rFonts w:hint="default" w:ascii="Times New Roman" w:hAnsi="Times New Roman" w:cs="Times New Roman"/>
                      <w:color w:val="auto"/>
                      <w:highlight w:val="none"/>
                    </w:rPr>
                    <w:t>聚乙烯树脂</w:t>
                  </w:r>
                  <w:r>
                    <w:rPr>
                      <w:rFonts w:hint="default" w:ascii="Times New Roman" w:hAnsi="Times New Roman" w:cs="Times New Roman"/>
                      <w:color w:val="auto"/>
                      <w:highlight w:val="none"/>
                      <w:lang w:eastAsia="zh-CN"/>
                    </w:rPr>
                    <w:t>，为</w:t>
                  </w:r>
                  <w:r>
                    <w:rPr>
                      <w:rFonts w:hint="default" w:ascii="Times New Roman" w:hAnsi="Times New Roman" w:cs="Times New Roman"/>
                      <w:color w:val="auto"/>
                      <w:highlight w:val="none"/>
                    </w:rPr>
                    <w:t>无毒、无味的白色粉末或颗粒，外观呈乳白色，有似蜡的手感，吸水率低，小于0.01%。聚乙烯膜透明，并随结晶度的提高而降低。聚乙烯膜的透水率低但透气性较大，不适于保鲜包装而适于防潮包装。易燃、氧指数为17.4，燃烧时低烟，有少量熔融落滴，火焰上黄下蓝，有石蜡气味。聚乙烯的耐水性较好。制品表面无极性，难以粘合和印刷，经表面处理有所改善。支链多，使其耐光降解和耐氧化能力差</w:t>
                  </w:r>
                  <w:r>
                    <w:rPr>
                      <w:rFonts w:hint="eastAsia" w:ascii="Times New Roman" w:hAnsi="Times New Roman" w:cs="Times New Roman"/>
                      <w:color w:val="auto"/>
                      <w:highlight w:val="none"/>
                      <w:lang w:eastAsia="zh-CN"/>
                    </w:rPr>
                    <w:t>。低密度聚乙烯(LDPE)约0.910-0.925 g/cm</w:t>
                  </w:r>
                  <w:r>
                    <w:rPr>
                      <w:rFonts w:hint="eastAsia" w:ascii="Times New Roman" w:hAnsi="Times New Roman" w:cs="Times New Roman"/>
                      <w:color w:val="auto"/>
                      <w:highlight w:val="none"/>
                      <w:vertAlign w:val="superscript"/>
                      <w:lang w:val="en-US" w:eastAsia="zh-CN"/>
                    </w:rPr>
                    <w:t>3</w:t>
                  </w:r>
                  <w:r>
                    <w:rPr>
                      <w:rFonts w:hint="eastAsia" w:ascii="Times New Roman" w:hAnsi="Times New Roman" w:cs="Times New Roman"/>
                      <w:color w:val="auto"/>
                      <w:highlight w:val="none"/>
                      <w:lang w:eastAsia="zh-CN"/>
                    </w:rPr>
                    <w:t>，高密度聚乙烯(HDPE)约0.945-0.96 g/cm</w:t>
                  </w:r>
                  <w:r>
                    <w:rPr>
                      <w:rFonts w:hint="eastAsia" w:ascii="Times New Roman" w:hAnsi="Times New Roman" w:cs="Times New Roman"/>
                      <w:color w:val="auto"/>
                      <w:highlight w:val="none"/>
                      <w:vertAlign w:val="superscript"/>
                      <w:lang w:val="en-US" w:eastAsia="zh-CN"/>
                    </w:rPr>
                    <w:t>3</w:t>
                  </w:r>
                  <w:r>
                    <w:rPr>
                      <w:rFonts w:hint="eastAsia" w:ascii="Times New Roman" w:hAnsi="Times New Roman" w:cs="Times New Roman"/>
                      <w:color w:val="auto"/>
                      <w:highlight w:val="none"/>
                      <w:vertAlign w:val="baseline"/>
                      <w:lang w:val="en-US" w:eastAsia="zh-CN"/>
                    </w:rPr>
                    <w:t>。</w:t>
                  </w:r>
                  <w:r>
                    <w:rPr>
                      <w:color w:val="auto"/>
                      <w:highlight w:val="none"/>
                    </w:rPr>
                    <w:t>分解温度通常在240℃至300℃之间‌，具体数值受材料类型（如HDPE或LDPE）、添加剂、环境条件（有氧/无氧）及催化剂等因素影响</w:t>
                  </w:r>
                  <w:r>
                    <w:rPr>
                      <w:rFonts w:hint="eastAsia"/>
                      <w:color w:val="auto"/>
                      <w:highlight w:val="none"/>
                      <w:lang w:eastAsia="zh-CN"/>
                    </w:rPr>
                    <w:t>。</w:t>
                  </w:r>
                </w:p>
              </w:tc>
            </w:tr>
          </w:tbl>
          <w:p w14:paraId="0FC7F0FE">
            <w:pPr>
              <w:spacing w:line="360" w:lineRule="auto"/>
              <w:rPr>
                <w:rFonts w:hint="default" w:ascii="Times New Roman" w:hAnsi="Times New Roman" w:cs="Times New Roman"/>
                <w:b/>
                <w:bCs/>
                <w:color w:val="auto"/>
                <w:sz w:val="24"/>
                <w:szCs w:val="32"/>
                <w:highlight w:val="none"/>
              </w:rPr>
            </w:pPr>
            <w:r>
              <w:rPr>
                <w:rFonts w:hint="eastAsia" w:cs="Times New Roman"/>
                <w:b/>
                <w:bCs/>
                <w:color w:val="auto"/>
                <w:sz w:val="24"/>
                <w:szCs w:val="32"/>
                <w:highlight w:val="none"/>
                <w:lang w:val="en-US" w:eastAsia="zh-CN"/>
              </w:rPr>
              <w:t>6</w:t>
            </w:r>
            <w:r>
              <w:rPr>
                <w:rFonts w:hint="default" w:ascii="Times New Roman" w:hAnsi="Times New Roman" w:cs="Times New Roman"/>
                <w:b/>
                <w:bCs/>
                <w:color w:val="auto"/>
                <w:sz w:val="24"/>
                <w:szCs w:val="32"/>
                <w:highlight w:val="none"/>
              </w:rPr>
              <w:t>、主要生产设备</w:t>
            </w:r>
          </w:p>
          <w:p w14:paraId="4E75C6A2">
            <w:pPr>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拟建项目新增设备如下：</w:t>
            </w:r>
          </w:p>
          <w:p w14:paraId="577784E3">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sz w:val="24"/>
                <w:szCs w:val="32"/>
                <w:highlight w:val="none"/>
              </w:rPr>
              <w:t>表2-</w:t>
            </w:r>
            <w:r>
              <w:rPr>
                <w:rFonts w:hint="default" w:ascii="Times New Roman" w:hAnsi="Times New Roman" w:cs="Times New Roman"/>
                <w:b/>
                <w:bCs/>
                <w:color w:val="auto"/>
                <w:sz w:val="24"/>
                <w:szCs w:val="32"/>
                <w:highlight w:val="none"/>
                <w:lang w:val="en-US" w:eastAsia="zh-CN"/>
              </w:rPr>
              <w:t>5</w:t>
            </w:r>
            <w:r>
              <w:rPr>
                <w:rFonts w:hint="default" w:ascii="Times New Roman" w:hAnsi="Times New Roman" w:cs="Times New Roman"/>
                <w:b/>
                <w:bCs/>
                <w:color w:val="auto"/>
                <w:sz w:val="24"/>
                <w:szCs w:val="32"/>
                <w:highlight w:val="none"/>
              </w:rPr>
              <w:t xml:space="preserve"> 本项目主要设备一览表</w:t>
            </w:r>
          </w:p>
          <w:tbl>
            <w:tblPr>
              <w:tblStyle w:val="39"/>
              <w:tblW w:w="4995"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790"/>
              <w:gridCol w:w="1200"/>
              <w:gridCol w:w="1335"/>
              <w:gridCol w:w="1739"/>
              <w:gridCol w:w="1252"/>
            </w:tblGrid>
            <w:tr w14:paraId="0220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6" w:type="pct"/>
                  <w:vAlign w:val="center"/>
                </w:tcPr>
                <w:p w14:paraId="2E2C0DED">
                  <w:pPr>
                    <w:bidi w:val="0"/>
                    <w:jc w:val="center"/>
                    <w:rPr>
                      <w:rFonts w:hint="default"/>
                      <w:color w:val="auto"/>
                      <w:sz w:val="21"/>
                      <w:szCs w:val="21"/>
                      <w:highlight w:val="none"/>
                    </w:rPr>
                  </w:pPr>
                  <w:r>
                    <w:rPr>
                      <w:rFonts w:hint="default"/>
                      <w:color w:val="auto"/>
                      <w:sz w:val="21"/>
                      <w:szCs w:val="21"/>
                      <w:highlight w:val="none"/>
                    </w:rPr>
                    <w:t>序号</w:t>
                  </w:r>
                </w:p>
              </w:tc>
              <w:tc>
                <w:tcPr>
                  <w:tcW w:w="1089" w:type="pct"/>
                  <w:vAlign w:val="center"/>
                </w:tcPr>
                <w:p w14:paraId="4BBAF7FB">
                  <w:pPr>
                    <w:bidi w:val="0"/>
                    <w:jc w:val="center"/>
                    <w:rPr>
                      <w:rFonts w:hint="default"/>
                      <w:color w:val="auto"/>
                      <w:sz w:val="21"/>
                      <w:szCs w:val="21"/>
                      <w:highlight w:val="none"/>
                    </w:rPr>
                  </w:pPr>
                  <w:r>
                    <w:rPr>
                      <w:rFonts w:hint="default"/>
                      <w:color w:val="auto"/>
                      <w:sz w:val="21"/>
                      <w:szCs w:val="21"/>
                      <w:highlight w:val="none"/>
                    </w:rPr>
                    <w:t>设备名称</w:t>
                  </w:r>
                </w:p>
              </w:tc>
              <w:tc>
                <w:tcPr>
                  <w:tcW w:w="730" w:type="pct"/>
                  <w:vAlign w:val="center"/>
                </w:tcPr>
                <w:p w14:paraId="632058E7">
                  <w:pPr>
                    <w:bidi w:val="0"/>
                    <w:jc w:val="center"/>
                    <w:rPr>
                      <w:rFonts w:hint="default"/>
                      <w:color w:val="auto"/>
                      <w:sz w:val="21"/>
                      <w:szCs w:val="21"/>
                      <w:highlight w:val="none"/>
                    </w:rPr>
                  </w:pPr>
                  <w:r>
                    <w:rPr>
                      <w:rFonts w:hint="default"/>
                      <w:color w:val="auto"/>
                      <w:sz w:val="21"/>
                      <w:szCs w:val="21"/>
                      <w:highlight w:val="none"/>
                    </w:rPr>
                    <w:t>规格型号</w:t>
                  </w:r>
                </w:p>
              </w:tc>
              <w:tc>
                <w:tcPr>
                  <w:tcW w:w="812" w:type="pct"/>
                  <w:vAlign w:val="center"/>
                </w:tcPr>
                <w:p w14:paraId="749B422D">
                  <w:pPr>
                    <w:bidi w:val="0"/>
                    <w:jc w:val="center"/>
                    <w:rPr>
                      <w:rFonts w:hint="default"/>
                      <w:color w:val="auto"/>
                      <w:sz w:val="21"/>
                      <w:szCs w:val="21"/>
                      <w:highlight w:val="none"/>
                    </w:rPr>
                  </w:pPr>
                  <w:r>
                    <w:rPr>
                      <w:rFonts w:hint="default"/>
                      <w:color w:val="auto"/>
                      <w:sz w:val="21"/>
                      <w:szCs w:val="21"/>
                      <w:highlight w:val="none"/>
                    </w:rPr>
                    <w:t>数量（台）</w:t>
                  </w:r>
                </w:p>
              </w:tc>
              <w:tc>
                <w:tcPr>
                  <w:tcW w:w="1058" w:type="pct"/>
                  <w:vAlign w:val="center"/>
                </w:tcPr>
                <w:p w14:paraId="7E743D11">
                  <w:pPr>
                    <w:bidi w:val="0"/>
                    <w:jc w:val="center"/>
                    <w:rPr>
                      <w:rFonts w:hint="eastAsia" w:eastAsia="宋体"/>
                      <w:color w:val="auto"/>
                      <w:sz w:val="21"/>
                      <w:szCs w:val="21"/>
                      <w:highlight w:val="none"/>
                      <w:lang w:eastAsia="zh-CN"/>
                    </w:rPr>
                  </w:pPr>
                  <w:r>
                    <w:rPr>
                      <w:rFonts w:hint="eastAsia"/>
                      <w:color w:val="auto"/>
                      <w:sz w:val="21"/>
                      <w:szCs w:val="21"/>
                      <w:highlight w:val="none"/>
                      <w:lang w:eastAsia="zh-CN"/>
                    </w:rPr>
                    <w:t>工艺</w:t>
                  </w:r>
                </w:p>
              </w:tc>
              <w:tc>
                <w:tcPr>
                  <w:tcW w:w="762" w:type="pct"/>
                  <w:vAlign w:val="center"/>
                </w:tcPr>
                <w:p w14:paraId="6736375A">
                  <w:pPr>
                    <w:bidi w:val="0"/>
                    <w:jc w:val="center"/>
                    <w:rPr>
                      <w:rFonts w:hint="default"/>
                      <w:color w:val="auto"/>
                      <w:sz w:val="21"/>
                      <w:szCs w:val="21"/>
                      <w:highlight w:val="none"/>
                    </w:rPr>
                  </w:pPr>
                  <w:r>
                    <w:rPr>
                      <w:rFonts w:hint="default"/>
                      <w:color w:val="auto"/>
                      <w:sz w:val="21"/>
                      <w:szCs w:val="21"/>
                      <w:highlight w:val="none"/>
                    </w:rPr>
                    <w:t>备注</w:t>
                  </w:r>
                </w:p>
              </w:tc>
            </w:tr>
            <w:tr w14:paraId="68EE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Align w:val="center"/>
                </w:tcPr>
                <w:p w14:paraId="0951AE76">
                  <w:pPr>
                    <w:bidi w:val="0"/>
                    <w:jc w:val="center"/>
                    <w:rPr>
                      <w:rFonts w:hint="default"/>
                      <w:color w:val="auto"/>
                      <w:sz w:val="21"/>
                      <w:szCs w:val="21"/>
                      <w:highlight w:val="none"/>
                    </w:rPr>
                  </w:pPr>
                  <w:r>
                    <w:rPr>
                      <w:rFonts w:hint="default"/>
                      <w:color w:val="auto"/>
                      <w:sz w:val="21"/>
                      <w:szCs w:val="21"/>
                      <w:highlight w:val="none"/>
                    </w:rPr>
                    <w:t>1</w:t>
                  </w:r>
                </w:p>
              </w:tc>
              <w:tc>
                <w:tcPr>
                  <w:tcW w:w="1089" w:type="pct"/>
                  <w:vAlign w:val="center"/>
                </w:tcPr>
                <w:p w14:paraId="36E89914">
                  <w:pPr>
                    <w:bidi w:val="0"/>
                    <w:jc w:val="center"/>
                    <w:rPr>
                      <w:rFonts w:hint="default"/>
                      <w:color w:val="auto"/>
                      <w:sz w:val="21"/>
                      <w:szCs w:val="21"/>
                      <w:highlight w:val="none"/>
                    </w:rPr>
                  </w:pPr>
                  <w:r>
                    <w:rPr>
                      <w:rFonts w:hint="eastAsia"/>
                      <w:color w:val="auto"/>
                      <w:sz w:val="21"/>
                      <w:szCs w:val="21"/>
                      <w:highlight w:val="none"/>
                      <w:lang w:val="en-US" w:eastAsia="zh-CN"/>
                    </w:rPr>
                    <w:t>活性炭过滤器</w:t>
                  </w:r>
                </w:p>
              </w:tc>
              <w:tc>
                <w:tcPr>
                  <w:tcW w:w="730" w:type="pct"/>
                  <w:vAlign w:val="center"/>
                </w:tcPr>
                <w:p w14:paraId="0D1CAC72">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7D701B03">
                  <w:pPr>
                    <w:bidi w:val="0"/>
                    <w:jc w:val="center"/>
                    <w:rPr>
                      <w:rFonts w:hint="default"/>
                      <w:color w:val="auto"/>
                      <w:sz w:val="21"/>
                      <w:szCs w:val="21"/>
                      <w:highlight w:val="none"/>
                    </w:rPr>
                  </w:pPr>
                  <w:r>
                    <w:rPr>
                      <w:rFonts w:hint="default"/>
                      <w:color w:val="auto"/>
                      <w:sz w:val="21"/>
                      <w:szCs w:val="21"/>
                      <w:highlight w:val="none"/>
                    </w:rPr>
                    <w:t>1</w:t>
                  </w:r>
                </w:p>
              </w:tc>
              <w:tc>
                <w:tcPr>
                  <w:tcW w:w="1058" w:type="pct"/>
                  <w:vAlign w:val="center"/>
                </w:tcPr>
                <w:p w14:paraId="7A516699">
                  <w:pPr>
                    <w:bidi w:val="0"/>
                    <w:jc w:val="center"/>
                    <w:rPr>
                      <w:rFonts w:hint="eastAsia"/>
                      <w:color w:val="auto"/>
                      <w:sz w:val="21"/>
                      <w:szCs w:val="21"/>
                      <w:highlight w:val="none"/>
                      <w:lang w:eastAsia="zh-CN"/>
                    </w:rPr>
                  </w:pPr>
                  <w:r>
                    <w:rPr>
                      <w:rFonts w:hint="eastAsia"/>
                      <w:color w:val="auto"/>
                      <w:sz w:val="21"/>
                      <w:szCs w:val="21"/>
                      <w:highlight w:val="none"/>
                      <w:lang w:val="en-US" w:eastAsia="zh-CN"/>
                    </w:rPr>
                    <w:t>活性炭过滤</w:t>
                  </w:r>
                </w:p>
              </w:tc>
              <w:tc>
                <w:tcPr>
                  <w:tcW w:w="762" w:type="pct"/>
                  <w:vMerge w:val="restart"/>
                  <w:vAlign w:val="center"/>
                </w:tcPr>
                <w:p w14:paraId="7F2DCD14">
                  <w:pPr>
                    <w:bidi w:val="0"/>
                    <w:jc w:val="center"/>
                    <w:rPr>
                      <w:rFonts w:hint="eastAsia"/>
                      <w:color w:val="auto"/>
                      <w:sz w:val="21"/>
                      <w:szCs w:val="21"/>
                      <w:highlight w:val="none"/>
                      <w:lang w:eastAsia="zh-CN"/>
                    </w:rPr>
                  </w:pPr>
                  <w:r>
                    <w:rPr>
                      <w:rFonts w:hint="eastAsia"/>
                      <w:color w:val="auto"/>
                      <w:sz w:val="21"/>
                      <w:szCs w:val="21"/>
                      <w:highlight w:val="none"/>
                      <w:lang w:eastAsia="zh-CN"/>
                    </w:rPr>
                    <w:t>水处理间</w:t>
                  </w:r>
                </w:p>
              </w:tc>
            </w:tr>
            <w:tr w14:paraId="36C0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shd w:val="clear" w:color="auto" w:fill="auto"/>
                  <w:vAlign w:val="center"/>
                </w:tcPr>
                <w:p w14:paraId="1293CF2D">
                  <w:pPr>
                    <w:bidi w:val="0"/>
                    <w:jc w:val="center"/>
                    <w:rPr>
                      <w:rFonts w:hint="default"/>
                      <w:color w:val="auto"/>
                      <w:sz w:val="21"/>
                      <w:szCs w:val="21"/>
                      <w:highlight w:val="none"/>
                      <w:lang w:val="en-US" w:eastAsia="zh-CN"/>
                    </w:rPr>
                  </w:pPr>
                  <w:r>
                    <w:rPr>
                      <w:rFonts w:hint="default"/>
                      <w:color w:val="auto"/>
                      <w:sz w:val="21"/>
                      <w:szCs w:val="21"/>
                      <w:highlight w:val="none"/>
                    </w:rPr>
                    <w:t>2</w:t>
                  </w:r>
                </w:p>
              </w:tc>
              <w:tc>
                <w:tcPr>
                  <w:tcW w:w="1089" w:type="pct"/>
                  <w:vAlign w:val="center"/>
                </w:tcPr>
                <w:p w14:paraId="0C6D6F11">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布袋过滤器</w:t>
                  </w:r>
                </w:p>
              </w:tc>
              <w:tc>
                <w:tcPr>
                  <w:tcW w:w="730" w:type="pct"/>
                  <w:vAlign w:val="center"/>
                </w:tcPr>
                <w:p w14:paraId="5D2CD954">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58FB5814">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0003B3BA">
                  <w:pPr>
                    <w:bidi w:val="0"/>
                    <w:jc w:val="center"/>
                    <w:rPr>
                      <w:rFonts w:hint="eastAsia"/>
                      <w:color w:val="auto"/>
                      <w:sz w:val="21"/>
                      <w:szCs w:val="21"/>
                      <w:highlight w:val="none"/>
                      <w:lang w:eastAsia="zh-CN"/>
                    </w:rPr>
                  </w:pPr>
                  <w:r>
                    <w:rPr>
                      <w:rFonts w:hint="eastAsia"/>
                      <w:color w:val="auto"/>
                      <w:sz w:val="21"/>
                      <w:szCs w:val="21"/>
                      <w:highlight w:val="none"/>
                      <w:lang w:val="en-US" w:eastAsia="zh-CN"/>
                    </w:rPr>
                    <w:t>布袋过滤</w:t>
                  </w:r>
                </w:p>
              </w:tc>
              <w:tc>
                <w:tcPr>
                  <w:tcW w:w="762" w:type="pct"/>
                  <w:vMerge w:val="continue"/>
                  <w:vAlign w:val="center"/>
                </w:tcPr>
                <w:p w14:paraId="46CF9756">
                  <w:pPr>
                    <w:bidi w:val="0"/>
                    <w:jc w:val="center"/>
                    <w:rPr>
                      <w:rFonts w:hint="eastAsia"/>
                      <w:color w:val="auto"/>
                      <w:sz w:val="21"/>
                      <w:szCs w:val="21"/>
                      <w:highlight w:val="none"/>
                      <w:lang w:eastAsia="zh-CN"/>
                    </w:rPr>
                  </w:pPr>
                </w:p>
              </w:tc>
            </w:tr>
            <w:tr w14:paraId="1940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shd w:val="clear" w:color="auto" w:fill="auto"/>
                  <w:vAlign w:val="center"/>
                </w:tcPr>
                <w:p w14:paraId="563999E0">
                  <w:pPr>
                    <w:bidi w:val="0"/>
                    <w:jc w:val="center"/>
                    <w:rPr>
                      <w:rFonts w:hint="default"/>
                      <w:color w:val="auto"/>
                      <w:sz w:val="21"/>
                      <w:szCs w:val="21"/>
                      <w:highlight w:val="none"/>
                      <w:lang w:val="en-US" w:eastAsia="zh-CN"/>
                    </w:rPr>
                  </w:pPr>
                  <w:r>
                    <w:rPr>
                      <w:rFonts w:hint="default"/>
                      <w:color w:val="auto"/>
                      <w:sz w:val="21"/>
                      <w:szCs w:val="21"/>
                      <w:highlight w:val="none"/>
                    </w:rPr>
                    <w:t>3</w:t>
                  </w:r>
                </w:p>
              </w:tc>
              <w:tc>
                <w:tcPr>
                  <w:tcW w:w="1089" w:type="pct"/>
                  <w:vAlign w:val="center"/>
                </w:tcPr>
                <w:p w14:paraId="68392BF7">
                  <w:pPr>
                    <w:bidi w:val="0"/>
                    <w:jc w:val="center"/>
                    <w:rPr>
                      <w:rFonts w:hint="default"/>
                      <w:color w:val="auto"/>
                      <w:sz w:val="21"/>
                      <w:szCs w:val="21"/>
                      <w:highlight w:val="none"/>
                    </w:rPr>
                  </w:pPr>
                  <w:r>
                    <w:rPr>
                      <w:rFonts w:hint="eastAsia"/>
                      <w:color w:val="auto"/>
                      <w:sz w:val="21"/>
                      <w:szCs w:val="21"/>
                      <w:highlight w:val="none"/>
                      <w:lang w:eastAsia="zh-CN"/>
                    </w:rPr>
                    <w:t>原水箱</w:t>
                  </w:r>
                </w:p>
              </w:tc>
              <w:tc>
                <w:tcPr>
                  <w:tcW w:w="730" w:type="pct"/>
                  <w:vAlign w:val="center"/>
                </w:tcPr>
                <w:p w14:paraId="1AABF016">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1F3CBAE4">
                  <w:pPr>
                    <w:bidi w:val="0"/>
                    <w:jc w:val="center"/>
                    <w:rPr>
                      <w:rFonts w:hint="default"/>
                      <w:color w:val="auto"/>
                      <w:sz w:val="21"/>
                      <w:szCs w:val="21"/>
                      <w:highlight w:val="none"/>
                    </w:rPr>
                  </w:pPr>
                  <w:r>
                    <w:rPr>
                      <w:rFonts w:hint="default"/>
                      <w:color w:val="auto"/>
                      <w:sz w:val="21"/>
                      <w:szCs w:val="21"/>
                      <w:highlight w:val="none"/>
                    </w:rPr>
                    <w:t>1</w:t>
                  </w:r>
                </w:p>
              </w:tc>
              <w:tc>
                <w:tcPr>
                  <w:tcW w:w="1058" w:type="pct"/>
                  <w:vAlign w:val="center"/>
                </w:tcPr>
                <w:p w14:paraId="7C08CA35">
                  <w:pPr>
                    <w:bidi w:val="0"/>
                    <w:jc w:val="center"/>
                    <w:rPr>
                      <w:rFonts w:hint="eastAsia" w:eastAsia="宋体"/>
                      <w:color w:val="auto"/>
                      <w:sz w:val="21"/>
                      <w:szCs w:val="21"/>
                      <w:highlight w:val="none"/>
                      <w:lang w:eastAsia="zh-CN"/>
                    </w:rPr>
                  </w:pPr>
                  <w:r>
                    <w:rPr>
                      <w:rFonts w:hint="eastAsia"/>
                      <w:color w:val="auto"/>
                      <w:sz w:val="21"/>
                      <w:szCs w:val="21"/>
                      <w:highlight w:val="none"/>
                      <w:lang w:eastAsia="zh-CN"/>
                    </w:rPr>
                    <w:t>储存</w:t>
                  </w:r>
                </w:p>
              </w:tc>
              <w:tc>
                <w:tcPr>
                  <w:tcW w:w="762" w:type="pct"/>
                  <w:vMerge w:val="continue"/>
                  <w:vAlign w:val="center"/>
                </w:tcPr>
                <w:p w14:paraId="1AAF02B1">
                  <w:pPr>
                    <w:bidi w:val="0"/>
                    <w:jc w:val="center"/>
                    <w:rPr>
                      <w:rFonts w:hint="default"/>
                      <w:color w:val="auto"/>
                      <w:sz w:val="21"/>
                      <w:szCs w:val="21"/>
                      <w:highlight w:val="none"/>
                    </w:rPr>
                  </w:pPr>
                </w:p>
              </w:tc>
            </w:tr>
            <w:tr w14:paraId="7F1F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shd w:val="clear" w:color="auto" w:fill="auto"/>
                  <w:vAlign w:val="center"/>
                </w:tcPr>
                <w:p w14:paraId="5CFCF367">
                  <w:pPr>
                    <w:bidi w:val="0"/>
                    <w:jc w:val="center"/>
                    <w:rPr>
                      <w:rFonts w:hint="default"/>
                      <w:color w:val="auto"/>
                      <w:sz w:val="21"/>
                      <w:szCs w:val="21"/>
                      <w:highlight w:val="none"/>
                      <w:lang w:val="en-US" w:eastAsia="zh-CN"/>
                    </w:rPr>
                  </w:pPr>
                  <w:r>
                    <w:rPr>
                      <w:rFonts w:hint="default"/>
                      <w:color w:val="auto"/>
                      <w:sz w:val="21"/>
                      <w:szCs w:val="21"/>
                      <w:highlight w:val="none"/>
                    </w:rPr>
                    <w:t>4</w:t>
                  </w:r>
                </w:p>
              </w:tc>
              <w:tc>
                <w:tcPr>
                  <w:tcW w:w="1089" w:type="pct"/>
                  <w:vAlign w:val="center"/>
                </w:tcPr>
                <w:p w14:paraId="45A1C895">
                  <w:pPr>
                    <w:bidi w:val="0"/>
                    <w:jc w:val="center"/>
                    <w:rPr>
                      <w:rFonts w:hint="default"/>
                      <w:color w:val="auto"/>
                      <w:sz w:val="21"/>
                      <w:szCs w:val="21"/>
                      <w:highlight w:val="none"/>
                    </w:rPr>
                  </w:pPr>
                  <w:r>
                    <w:rPr>
                      <w:rFonts w:hint="eastAsia"/>
                      <w:color w:val="auto"/>
                      <w:sz w:val="21"/>
                      <w:szCs w:val="21"/>
                      <w:highlight w:val="none"/>
                      <w:lang w:eastAsia="zh-CN"/>
                    </w:rPr>
                    <w:t>原水泵</w:t>
                  </w:r>
                </w:p>
              </w:tc>
              <w:tc>
                <w:tcPr>
                  <w:tcW w:w="730" w:type="pct"/>
                  <w:vAlign w:val="center"/>
                </w:tcPr>
                <w:p w14:paraId="4D74F681">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55091117">
                  <w:pPr>
                    <w:bidi w:val="0"/>
                    <w:jc w:val="center"/>
                    <w:rPr>
                      <w:rFonts w:hint="default"/>
                      <w:color w:val="auto"/>
                      <w:sz w:val="21"/>
                      <w:szCs w:val="21"/>
                      <w:highlight w:val="none"/>
                    </w:rPr>
                  </w:pPr>
                  <w:r>
                    <w:rPr>
                      <w:rFonts w:hint="default"/>
                      <w:color w:val="auto"/>
                      <w:sz w:val="21"/>
                      <w:szCs w:val="21"/>
                      <w:highlight w:val="none"/>
                    </w:rPr>
                    <w:t>1</w:t>
                  </w:r>
                </w:p>
              </w:tc>
              <w:tc>
                <w:tcPr>
                  <w:tcW w:w="1058" w:type="pct"/>
                  <w:vAlign w:val="center"/>
                </w:tcPr>
                <w:p w14:paraId="4520E743">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762" w:type="pct"/>
                  <w:vMerge w:val="continue"/>
                  <w:vAlign w:val="center"/>
                </w:tcPr>
                <w:p w14:paraId="53665676">
                  <w:pPr>
                    <w:bidi w:val="0"/>
                    <w:jc w:val="center"/>
                    <w:rPr>
                      <w:rFonts w:hint="default"/>
                      <w:color w:val="auto"/>
                      <w:sz w:val="21"/>
                      <w:szCs w:val="21"/>
                      <w:highlight w:val="none"/>
                    </w:rPr>
                  </w:pPr>
                </w:p>
              </w:tc>
            </w:tr>
            <w:tr w14:paraId="10A5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shd w:val="clear" w:color="auto" w:fill="auto"/>
                  <w:vAlign w:val="center"/>
                </w:tcPr>
                <w:p w14:paraId="242204E1">
                  <w:pPr>
                    <w:bidi w:val="0"/>
                    <w:jc w:val="center"/>
                    <w:rPr>
                      <w:rFonts w:hint="default"/>
                      <w:color w:val="auto"/>
                      <w:sz w:val="21"/>
                      <w:szCs w:val="21"/>
                      <w:highlight w:val="none"/>
                      <w:lang w:val="en-US" w:eastAsia="zh-CN"/>
                    </w:rPr>
                  </w:pPr>
                  <w:r>
                    <w:rPr>
                      <w:rFonts w:hint="default"/>
                      <w:color w:val="auto"/>
                      <w:sz w:val="21"/>
                      <w:szCs w:val="21"/>
                      <w:highlight w:val="none"/>
                    </w:rPr>
                    <w:t>5</w:t>
                  </w:r>
                </w:p>
              </w:tc>
              <w:tc>
                <w:tcPr>
                  <w:tcW w:w="1089" w:type="pct"/>
                  <w:shd w:val="clear" w:color="auto" w:fill="auto"/>
                  <w:vAlign w:val="center"/>
                </w:tcPr>
                <w:p w14:paraId="13FF2BA4">
                  <w:pPr>
                    <w:bidi w:val="0"/>
                    <w:jc w:val="center"/>
                    <w:rPr>
                      <w:rFonts w:hint="eastAsia"/>
                      <w:color w:val="auto"/>
                      <w:sz w:val="21"/>
                      <w:szCs w:val="21"/>
                      <w:highlight w:val="none"/>
                      <w:lang w:val="en-US" w:eastAsia="zh-CN"/>
                    </w:rPr>
                  </w:pPr>
                  <w:r>
                    <w:rPr>
                      <w:rFonts w:hint="eastAsia"/>
                      <w:color w:val="auto"/>
                      <w:sz w:val="21"/>
                      <w:szCs w:val="21"/>
                      <w:highlight w:val="none"/>
                      <w:lang w:eastAsia="zh-CN"/>
                    </w:rPr>
                    <w:t>一级高压泵</w:t>
                  </w:r>
                </w:p>
              </w:tc>
              <w:tc>
                <w:tcPr>
                  <w:tcW w:w="730" w:type="pct"/>
                  <w:vAlign w:val="center"/>
                </w:tcPr>
                <w:p w14:paraId="5A10A952">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7682A95B">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72A40402">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762" w:type="pct"/>
                  <w:vMerge w:val="continue"/>
                  <w:vAlign w:val="center"/>
                </w:tcPr>
                <w:p w14:paraId="7EA1224C">
                  <w:pPr>
                    <w:bidi w:val="0"/>
                    <w:jc w:val="center"/>
                    <w:rPr>
                      <w:rFonts w:hint="default"/>
                      <w:color w:val="auto"/>
                      <w:sz w:val="21"/>
                      <w:szCs w:val="21"/>
                      <w:highlight w:val="none"/>
                    </w:rPr>
                  </w:pPr>
                </w:p>
              </w:tc>
            </w:tr>
            <w:tr w14:paraId="02CF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shd w:val="clear" w:color="auto" w:fill="auto"/>
                  <w:vAlign w:val="center"/>
                </w:tcPr>
                <w:p w14:paraId="12F85202">
                  <w:pPr>
                    <w:bidi w:val="0"/>
                    <w:jc w:val="center"/>
                    <w:rPr>
                      <w:rFonts w:hint="default"/>
                      <w:color w:val="auto"/>
                      <w:sz w:val="21"/>
                      <w:szCs w:val="21"/>
                      <w:highlight w:val="none"/>
                      <w:lang w:val="en-US" w:eastAsia="zh-CN"/>
                    </w:rPr>
                  </w:pPr>
                  <w:r>
                    <w:rPr>
                      <w:rFonts w:hint="default"/>
                      <w:color w:val="auto"/>
                      <w:sz w:val="21"/>
                      <w:szCs w:val="21"/>
                      <w:highlight w:val="none"/>
                    </w:rPr>
                    <w:t>6</w:t>
                  </w:r>
                </w:p>
              </w:tc>
              <w:tc>
                <w:tcPr>
                  <w:tcW w:w="1089" w:type="pct"/>
                  <w:shd w:val="clear" w:color="auto" w:fill="auto"/>
                  <w:vAlign w:val="center"/>
                </w:tcPr>
                <w:p w14:paraId="6BD58F89">
                  <w:pPr>
                    <w:bidi w:val="0"/>
                    <w:jc w:val="center"/>
                    <w:rPr>
                      <w:rFonts w:hint="eastAsia"/>
                      <w:color w:val="auto"/>
                      <w:sz w:val="21"/>
                      <w:szCs w:val="21"/>
                      <w:highlight w:val="none"/>
                      <w:lang w:val="en-US" w:eastAsia="zh-CN"/>
                    </w:rPr>
                  </w:pPr>
                  <w:r>
                    <w:rPr>
                      <w:rFonts w:hint="eastAsia"/>
                      <w:color w:val="auto"/>
                      <w:sz w:val="21"/>
                      <w:szCs w:val="21"/>
                      <w:highlight w:val="none"/>
                      <w:lang w:eastAsia="zh-CN"/>
                    </w:rPr>
                    <w:t>二级高压泵</w:t>
                  </w:r>
                </w:p>
              </w:tc>
              <w:tc>
                <w:tcPr>
                  <w:tcW w:w="730" w:type="pct"/>
                  <w:vAlign w:val="center"/>
                </w:tcPr>
                <w:p w14:paraId="3448ACC1">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1AEEF170">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14932EB6">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762" w:type="pct"/>
                  <w:vMerge w:val="continue"/>
                  <w:vAlign w:val="center"/>
                </w:tcPr>
                <w:p w14:paraId="366FF931">
                  <w:pPr>
                    <w:bidi w:val="0"/>
                    <w:jc w:val="center"/>
                    <w:rPr>
                      <w:rFonts w:hint="default"/>
                      <w:color w:val="auto"/>
                      <w:sz w:val="21"/>
                      <w:szCs w:val="21"/>
                      <w:highlight w:val="none"/>
                    </w:rPr>
                  </w:pPr>
                </w:p>
              </w:tc>
            </w:tr>
            <w:tr w14:paraId="09F9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shd w:val="clear" w:color="auto" w:fill="auto"/>
                  <w:vAlign w:val="center"/>
                </w:tcPr>
                <w:p w14:paraId="4A933CDE">
                  <w:pPr>
                    <w:bidi w:val="0"/>
                    <w:jc w:val="center"/>
                    <w:rPr>
                      <w:rFonts w:hint="default"/>
                      <w:color w:val="auto"/>
                      <w:sz w:val="21"/>
                      <w:szCs w:val="21"/>
                      <w:highlight w:val="none"/>
                      <w:lang w:val="en-US" w:eastAsia="zh-CN"/>
                    </w:rPr>
                  </w:pPr>
                  <w:r>
                    <w:rPr>
                      <w:rFonts w:hint="default"/>
                      <w:color w:val="auto"/>
                      <w:sz w:val="21"/>
                      <w:szCs w:val="21"/>
                      <w:highlight w:val="none"/>
                    </w:rPr>
                    <w:t>7</w:t>
                  </w:r>
                </w:p>
              </w:tc>
              <w:tc>
                <w:tcPr>
                  <w:tcW w:w="1089" w:type="pct"/>
                  <w:vAlign w:val="center"/>
                </w:tcPr>
                <w:p w14:paraId="560C4CFA">
                  <w:pPr>
                    <w:bidi w:val="0"/>
                    <w:jc w:val="center"/>
                    <w:rPr>
                      <w:rFonts w:hint="default"/>
                      <w:color w:val="auto"/>
                      <w:sz w:val="21"/>
                      <w:szCs w:val="21"/>
                      <w:highlight w:val="none"/>
                    </w:rPr>
                  </w:pPr>
                  <w:r>
                    <w:rPr>
                      <w:rFonts w:hint="eastAsia"/>
                      <w:color w:val="auto"/>
                      <w:sz w:val="21"/>
                      <w:szCs w:val="21"/>
                      <w:highlight w:val="none"/>
                      <w:lang w:eastAsia="zh-CN"/>
                    </w:rPr>
                    <w:t>石英砂过滤器</w:t>
                  </w:r>
                </w:p>
              </w:tc>
              <w:tc>
                <w:tcPr>
                  <w:tcW w:w="730" w:type="pct"/>
                  <w:vAlign w:val="center"/>
                </w:tcPr>
                <w:p w14:paraId="5D736556">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5C578A1F">
                  <w:pPr>
                    <w:bidi w:val="0"/>
                    <w:jc w:val="center"/>
                    <w:rPr>
                      <w:rFonts w:hint="default"/>
                      <w:color w:val="auto"/>
                      <w:sz w:val="21"/>
                      <w:szCs w:val="21"/>
                      <w:highlight w:val="none"/>
                    </w:rPr>
                  </w:pPr>
                  <w:r>
                    <w:rPr>
                      <w:rFonts w:hint="default"/>
                      <w:color w:val="auto"/>
                      <w:sz w:val="21"/>
                      <w:szCs w:val="21"/>
                      <w:highlight w:val="none"/>
                    </w:rPr>
                    <w:t>1</w:t>
                  </w:r>
                </w:p>
              </w:tc>
              <w:tc>
                <w:tcPr>
                  <w:tcW w:w="1058" w:type="pct"/>
                  <w:vAlign w:val="center"/>
                </w:tcPr>
                <w:p w14:paraId="1B128E75">
                  <w:pPr>
                    <w:bidi w:val="0"/>
                    <w:jc w:val="center"/>
                    <w:rPr>
                      <w:rFonts w:hint="default"/>
                      <w:color w:val="auto"/>
                      <w:sz w:val="21"/>
                      <w:szCs w:val="21"/>
                      <w:highlight w:val="none"/>
                    </w:rPr>
                  </w:pPr>
                  <w:r>
                    <w:rPr>
                      <w:rFonts w:hint="eastAsia"/>
                      <w:color w:val="auto"/>
                      <w:sz w:val="21"/>
                      <w:szCs w:val="21"/>
                      <w:highlight w:val="none"/>
                      <w:lang w:eastAsia="zh-CN"/>
                    </w:rPr>
                    <w:t>石英砂过滤</w:t>
                  </w:r>
                </w:p>
              </w:tc>
              <w:tc>
                <w:tcPr>
                  <w:tcW w:w="762" w:type="pct"/>
                  <w:vMerge w:val="continue"/>
                  <w:vAlign w:val="center"/>
                </w:tcPr>
                <w:p w14:paraId="57E5F0E1">
                  <w:pPr>
                    <w:bidi w:val="0"/>
                    <w:jc w:val="center"/>
                    <w:rPr>
                      <w:rFonts w:hint="default"/>
                      <w:color w:val="auto"/>
                      <w:sz w:val="21"/>
                      <w:szCs w:val="21"/>
                      <w:highlight w:val="none"/>
                    </w:rPr>
                  </w:pPr>
                </w:p>
              </w:tc>
            </w:tr>
            <w:tr w14:paraId="7F6F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shd w:val="clear" w:color="auto" w:fill="auto"/>
                  <w:vAlign w:val="center"/>
                </w:tcPr>
                <w:p w14:paraId="09A25B47">
                  <w:pPr>
                    <w:bidi w:val="0"/>
                    <w:jc w:val="center"/>
                    <w:rPr>
                      <w:rFonts w:hint="default"/>
                      <w:color w:val="auto"/>
                      <w:sz w:val="21"/>
                      <w:szCs w:val="21"/>
                      <w:highlight w:val="none"/>
                      <w:lang w:val="en-US" w:eastAsia="zh-CN"/>
                    </w:rPr>
                  </w:pPr>
                  <w:r>
                    <w:rPr>
                      <w:rFonts w:hint="default"/>
                      <w:color w:val="auto"/>
                      <w:sz w:val="21"/>
                      <w:szCs w:val="21"/>
                      <w:highlight w:val="none"/>
                    </w:rPr>
                    <w:t>8</w:t>
                  </w:r>
                </w:p>
              </w:tc>
              <w:tc>
                <w:tcPr>
                  <w:tcW w:w="1089" w:type="pct"/>
                  <w:vAlign w:val="center"/>
                </w:tcPr>
                <w:p w14:paraId="1A401848">
                  <w:pPr>
                    <w:bidi w:val="0"/>
                    <w:jc w:val="center"/>
                    <w:rPr>
                      <w:rFonts w:hint="default"/>
                      <w:color w:val="auto"/>
                      <w:sz w:val="21"/>
                      <w:szCs w:val="21"/>
                      <w:highlight w:val="none"/>
                    </w:rPr>
                  </w:pPr>
                  <w:r>
                    <w:rPr>
                      <w:rFonts w:hint="eastAsia"/>
                      <w:color w:val="auto"/>
                      <w:sz w:val="21"/>
                      <w:szCs w:val="21"/>
                      <w:highlight w:val="none"/>
                      <w:lang w:eastAsia="zh-CN"/>
                    </w:rPr>
                    <w:t>精密过滤器</w:t>
                  </w:r>
                </w:p>
              </w:tc>
              <w:tc>
                <w:tcPr>
                  <w:tcW w:w="730" w:type="pct"/>
                  <w:vAlign w:val="center"/>
                </w:tcPr>
                <w:p w14:paraId="3BC763E4">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1E2471B3">
                  <w:pPr>
                    <w:bidi w:val="0"/>
                    <w:jc w:val="center"/>
                    <w:rPr>
                      <w:rFonts w:hint="default"/>
                      <w:color w:val="auto"/>
                      <w:sz w:val="21"/>
                      <w:szCs w:val="21"/>
                      <w:highlight w:val="none"/>
                    </w:rPr>
                  </w:pPr>
                  <w:r>
                    <w:rPr>
                      <w:rFonts w:hint="default"/>
                      <w:color w:val="auto"/>
                      <w:sz w:val="21"/>
                      <w:szCs w:val="21"/>
                      <w:highlight w:val="none"/>
                    </w:rPr>
                    <w:t>1</w:t>
                  </w:r>
                </w:p>
              </w:tc>
              <w:tc>
                <w:tcPr>
                  <w:tcW w:w="1058" w:type="pct"/>
                  <w:vAlign w:val="center"/>
                </w:tcPr>
                <w:p w14:paraId="67A2CB83">
                  <w:pPr>
                    <w:bidi w:val="0"/>
                    <w:jc w:val="center"/>
                    <w:rPr>
                      <w:rFonts w:hint="default"/>
                      <w:color w:val="auto"/>
                      <w:sz w:val="21"/>
                      <w:szCs w:val="21"/>
                      <w:highlight w:val="none"/>
                    </w:rPr>
                  </w:pPr>
                  <w:r>
                    <w:rPr>
                      <w:rFonts w:hint="eastAsia"/>
                      <w:color w:val="auto"/>
                      <w:sz w:val="21"/>
                      <w:szCs w:val="21"/>
                      <w:highlight w:val="none"/>
                      <w:lang w:eastAsia="zh-CN"/>
                    </w:rPr>
                    <w:t>精密过滤</w:t>
                  </w:r>
                </w:p>
              </w:tc>
              <w:tc>
                <w:tcPr>
                  <w:tcW w:w="762" w:type="pct"/>
                  <w:vMerge w:val="continue"/>
                  <w:vAlign w:val="center"/>
                </w:tcPr>
                <w:p w14:paraId="6D0F2B48">
                  <w:pPr>
                    <w:bidi w:val="0"/>
                    <w:jc w:val="center"/>
                    <w:rPr>
                      <w:rFonts w:hint="default"/>
                      <w:color w:val="auto"/>
                      <w:sz w:val="21"/>
                      <w:szCs w:val="21"/>
                      <w:highlight w:val="none"/>
                    </w:rPr>
                  </w:pPr>
                </w:p>
              </w:tc>
            </w:tr>
            <w:tr w14:paraId="3D17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shd w:val="clear" w:color="auto" w:fill="auto"/>
                  <w:vAlign w:val="center"/>
                </w:tcPr>
                <w:p w14:paraId="711AEDC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1089" w:type="pct"/>
                  <w:vAlign w:val="center"/>
                </w:tcPr>
                <w:p w14:paraId="7BBB973D">
                  <w:pPr>
                    <w:bidi w:val="0"/>
                    <w:jc w:val="center"/>
                    <w:rPr>
                      <w:rFonts w:hint="eastAsia"/>
                      <w:color w:val="auto"/>
                      <w:sz w:val="21"/>
                      <w:szCs w:val="21"/>
                      <w:highlight w:val="none"/>
                      <w:lang w:eastAsia="zh-CN"/>
                    </w:rPr>
                  </w:pPr>
                  <w:r>
                    <w:rPr>
                      <w:rFonts w:hint="eastAsia"/>
                      <w:color w:val="auto"/>
                      <w:sz w:val="21"/>
                      <w:szCs w:val="21"/>
                      <w:highlight w:val="none"/>
                      <w:lang w:eastAsia="zh-CN"/>
                    </w:rPr>
                    <w:t>纳滤</w:t>
                  </w:r>
                </w:p>
              </w:tc>
              <w:tc>
                <w:tcPr>
                  <w:tcW w:w="730" w:type="pct"/>
                  <w:vAlign w:val="center"/>
                </w:tcPr>
                <w:p w14:paraId="662C5BBA">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18B5BEB1">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058" w:type="pct"/>
                  <w:shd w:val="clear" w:color="auto" w:fill="auto"/>
                  <w:vAlign w:val="center"/>
                </w:tcPr>
                <w:p w14:paraId="0585BC9F">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eastAsia="zh-CN"/>
                    </w:rPr>
                    <w:t>纳滤</w:t>
                  </w:r>
                </w:p>
              </w:tc>
              <w:tc>
                <w:tcPr>
                  <w:tcW w:w="762" w:type="pct"/>
                  <w:vMerge w:val="continue"/>
                  <w:vAlign w:val="center"/>
                </w:tcPr>
                <w:p w14:paraId="1BD11836">
                  <w:pPr>
                    <w:bidi w:val="0"/>
                    <w:jc w:val="center"/>
                    <w:rPr>
                      <w:rFonts w:hint="default"/>
                      <w:color w:val="auto"/>
                      <w:sz w:val="21"/>
                      <w:szCs w:val="21"/>
                      <w:highlight w:val="none"/>
                    </w:rPr>
                  </w:pPr>
                </w:p>
              </w:tc>
            </w:tr>
            <w:tr w14:paraId="44BF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shd w:val="clear" w:color="auto" w:fill="auto"/>
                  <w:vAlign w:val="center"/>
                </w:tcPr>
                <w:p w14:paraId="2F403AFC">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10</w:t>
                  </w:r>
                </w:p>
              </w:tc>
              <w:tc>
                <w:tcPr>
                  <w:tcW w:w="1089" w:type="pct"/>
                  <w:vAlign w:val="center"/>
                </w:tcPr>
                <w:p w14:paraId="1CDB05E3">
                  <w:pPr>
                    <w:bidi w:val="0"/>
                    <w:jc w:val="center"/>
                    <w:rPr>
                      <w:rFonts w:hint="eastAsia"/>
                      <w:color w:val="auto"/>
                      <w:sz w:val="21"/>
                      <w:szCs w:val="21"/>
                      <w:highlight w:val="none"/>
                      <w:lang w:eastAsia="zh-CN"/>
                    </w:rPr>
                  </w:pPr>
                  <w:r>
                    <w:rPr>
                      <w:rFonts w:hint="eastAsia"/>
                      <w:color w:val="auto"/>
                      <w:sz w:val="21"/>
                      <w:szCs w:val="21"/>
                      <w:highlight w:val="none"/>
                      <w:lang w:eastAsia="zh-CN"/>
                    </w:rPr>
                    <w:t>反渗透</w:t>
                  </w:r>
                </w:p>
              </w:tc>
              <w:tc>
                <w:tcPr>
                  <w:tcW w:w="730" w:type="pct"/>
                  <w:vAlign w:val="center"/>
                </w:tcPr>
                <w:p w14:paraId="6D1A5B6D">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79C65950">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58" w:type="pct"/>
                  <w:shd w:val="clear" w:color="auto" w:fill="auto"/>
                  <w:vAlign w:val="center"/>
                </w:tcPr>
                <w:p w14:paraId="739C540D">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eastAsia="zh-CN"/>
                    </w:rPr>
                    <w:t>反渗透</w:t>
                  </w:r>
                </w:p>
              </w:tc>
              <w:tc>
                <w:tcPr>
                  <w:tcW w:w="762" w:type="pct"/>
                  <w:vMerge w:val="continue"/>
                  <w:vAlign w:val="center"/>
                </w:tcPr>
                <w:p w14:paraId="64FE11B6">
                  <w:pPr>
                    <w:bidi w:val="0"/>
                    <w:jc w:val="center"/>
                    <w:rPr>
                      <w:rFonts w:hint="default"/>
                      <w:color w:val="auto"/>
                      <w:sz w:val="21"/>
                      <w:szCs w:val="21"/>
                      <w:highlight w:val="none"/>
                    </w:rPr>
                  </w:pPr>
                </w:p>
              </w:tc>
            </w:tr>
            <w:tr w14:paraId="1E2A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shd w:val="clear" w:color="auto" w:fill="auto"/>
                  <w:vAlign w:val="center"/>
                </w:tcPr>
                <w:p w14:paraId="35CF6528">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11</w:t>
                  </w:r>
                </w:p>
              </w:tc>
              <w:tc>
                <w:tcPr>
                  <w:tcW w:w="1089" w:type="pct"/>
                  <w:vAlign w:val="center"/>
                </w:tcPr>
                <w:p w14:paraId="3EBBF05E">
                  <w:pPr>
                    <w:bidi w:val="0"/>
                    <w:jc w:val="center"/>
                    <w:rPr>
                      <w:rFonts w:hint="default"/>
                      <w:color w:val="auto"/>
                      <w:sz w:val="21"/>
                      <w:szCs w:val="21"/>
                      <w:highlight w:val="none"/>
                    </w:rPr>
                  </w:pPr>
                  <w:r>
                    <w:rPr>
                      <w:rFonts w:hint="eastAsia"/>
                      <w:color w:val="auto"/>
                      <w:sz w:val="21"/>
                      <w:szCs w:val="21"/>
                      <w:highlight w:val="none"/>
                      <w:lang w:eastAsia="zh-CN"/>
                    </w:rPr>
                    <w:t>保安过滤器</w:t>
                  </w:r>
                </w:p>
              </w:tc>
              <w:tc>
                <w:tcPr>
                  <w:tcW w:w="730" w:type="pct"/>
                  <w:vAlign w:val="center"/>
                </w:tcPr>
                <w:p w14:paraId="319961B0">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0BD69B4C">
                  <w:pPr>
                    <w:bidi w:val="0"/>
                    <w:jc w:val="center"/>
                    <w:rPr>
                      <w:rFonts w:hint="default"/>
                      <w:color w:val="auto"/>
                      <w:sz w:val="21"/>
                      <w:szCs w:val="21"/>
                      <w:highlight w:val="none"/>
                    </w:rPr>
                  </w:pPr>
                  <w:r>
                    <w:rPr>
                      <w:rFonts w:hint="default"/>
                      <w:color w:val="auto"/>
                      <w:sz w:val="21"/>
                      <w:szCs w:val="21"/>
                      <w:highlight w:val="none"/>
                    </w:rPr>
                    <w:t>1</w:t>
                  </w:r>
                </w:p>
              </w:tc>
              <w:tc>
                <w:tcPr>
                  <w:tcW w:w="1058" w:type="pct"/>
                  <w:vAlign w:val="center"/>
                </w:tcPr>
                <w:p w14:paraId="0399EEC6">
                  <w:pPr>
                    <w:bidi w:val="0"/>
                    <w:jc w:val="center"/>
                    <w:rPr>
                      <w:rFonts w:hint="eastAsia"/>
                      <w:color w:val="auto"/>
                      <w:sz w:val="21"/>
                      <w:szCs w:val="21"/>
                      <w:highlight w:val="none"/>
                      <w:lang w:eastAsia="zh-CN"/>
                    </w:rPr>
                  </w:pPr>
                  <w:r>
                    <w:rPr>
                      <w:rFonts w:hint="eastAsia"/>
                      <w:color w:val="auto"/>
                      <w:sz w:val="21"/>
                      <w:szCs w:val="21"/>
                      <w:highlight w:val="none"/>
                      <w:lang w:eastAsia="zh-CN"/>
                    </w:rPr>
                    <w:t>保安过滤</w:t>
                  </w:r>
                </w:p>
              </w:tc>
              <w:tc>
                <w:tcPr>
                  <w:tcW w:w="762" w:type="pct"/>
                  <w:vMerge w:val="continue"/>
                  <w:vAlign w:val="center"/>
                </w:tcPr>
                <w:p w14:paraId="3FD3FC3E">
                  <w:pPr>
                    <w:bidi w:val="0"/>
                    <w:jc w:val="center"/>
                    <w:rPr>
                      <w:rFonts w:hint="eastAsia"/>
                      <w:color w:val="auto"/>
                      <w:sz w:val="21"/>
                      <w:szCs w:val="21"/>
                      <w:highlight w:val="none"/>
                      <w:lang w:eastAsia="zh-CN"/>
                    </w:rPr>
                  </w:pPr>
                </w:p>
              </w:tc>
            </w:tr>
            <w:tr w14:paraId="1283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46" w:type="pct"/>
                  <w:shd w:val="clear" w:color="auto" w:fill="auto"/>
                  <w:vAlign w:val="center"/>
                </w:tcPr>
                <w:p w14:paraId="60842C43">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1089" w:type="pct"/>
                  <w:vAlign w:val="center"/>
                </w:tcPr>
                <w:p w14:paraId="6C3092D7">
                  <w:pPr>
                    <w:bidi w:val="0"/>
                    <w:jc w:val="center"/>
                    <w:rPr>
                      <w:rFonts w:hint="default"/>
                      <w:color w:val="auto"/>
                      <w:sz w:val="21"/>
                      <w:szCs w:val="21"/>
                      <w:highlight w:val="none"/>
                    </w:rPr>
                  </w:pPr>
                  <w:r>
                    <w:rPr>
                      <w:rFonts w:hint="eastAsia"/>
                      <w:color w:val="auto"/>
                      <w:sz w:val="21"/>
                      <w:szCs w:val="21"/>
                      <w:highlight w:val="none"/>
                      <w:lang w:eastAsia="zh-CN"/>
                    </w:rPr>
                    <w:t>臭氧混合系统</w:t>
                  </w:r>
                </w:p>
              </w:tc>
              <w:tc>
                <w:tcPr>
                  <w:tcW w:w="730" w:type="pct"/>
                  <w:vAlign w:val="center"/>
                </w:tcPr>
                <w:p w14:paraId="4B677549">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652F2E67">
                  <w:pPr>
                    <w:bidi w:val="0"/>
                    <w:jc w:val="center"/>
                    <w:rPr>
                      <w:rFonts w:hint="default"/>
                      <w:color w:val="auto"/>
                      <w:sz w:val="21"/>
                      <w:szCs w:val="21"/>
                      <w:highlight w:val="none"/>
                    </w:rPr>
                  </w:pPr>
                  <w:r>
                    <w:rPr>
                      <w:rFonts w:hint="default"/>
                      <w:color w:val="auto"/>
                      <w:sz w:val="21"/>
                      <w:szCs w:val="21"/>
                      <w:highlight w:val="none"/>
                    </w:rPr>
                    <w:t>1</w:t>
                  </w:r>
                </w:p>
              </w:tc>
              <w:tc>
                <w:tcPr>
                  <w:tcW w:w="1058" w:type="pct"/>
                  <w:vAlign w:val="center"/>
                </w:tcPr>
                <w:p w14:paraId="5118D445">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臭氧消毒</w:t>
                  </w:r>
                </w:p>
              </w:tc>
              <w:tc>
                <w:tcPr>
                  <w:tcW w:w="762" w:type="pct"/>
                  <w:vMerge w:val="continue"/>
                  <w:vAlign w:val="center"/>
                </w:tcPr>
                <w:p w14:paraId="7F48409B">
                  <w:pPr>
                    <w:bidi w:val="0"/>
                    <w:jc w:val="center"/>
                    <w:rPr>
                      <w:rFonts w:hint="default"/>
                      <w:color w:val="auto"/>
                      <w:sz w:val="21"/>
                      <w:szCs w:val="21"/>
                      <w:highlight w:val="none"/>
                    </w:rPr>
                  </w:pPr>
                </w:p>
              </w:tc>
            </w:tr>
            <w:tr w14:paraId="11F5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46" w:type="pct"/>
                  <w:shd w:val="clear" w:color="auto" w:fill="auto"/>
                  <w:vAlign w:val="center"/>
                </w:tcPr>
                <w:p w14:paraId="698AEC24">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1089" w:type="pct"/>
                  <w:vAlign w:val="center"/>
                </w:tcPr>
                <w:p w14:paraId="376F933F">
                  <w:pPr>
                    <w:bidi w:val="0"/>
                    <w:jc w:val="center"/>
                    <w:rPr>
                      <w:rFonts w:hint="default"/>
                      <w:color w:val="auto"/>
                      <w:sz w:val="21"/>
                      <w:szCs w:val="21"/>
                      <w:highlight w:val="none"/>
                    </w:rPr>
                  </w:pPr>
                  <w:r>
                    <w:rPr>
                      <w:rFonts w:hint="eastAsia"/>
                      <w:color w:val="auto"/>
                      <w:sz w:val="21"/>
                      <w:szCs w:val="21"/>
                      <w:highlight w:val="none"/>
                      <w:lang w:eastAsia="zh-CN"/>
                    </w:rPr>
                    <w:t>割膜拔盖机</w:t>
                  </w:r>
                </w:p>
              </w:tc>
              <w:tc>
                <w:tcPr>
                  <w:tcW w:w="730" w:type="pct"/>
                  <w:vAlign w:val="center"/>
                </w:tcPr>
                <w:p w14:paraId="502E8E2A">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3743EF93">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0278B97F">
                  <w:pPr>
                    <w:bidi w:val="0"/>
                    <w:jc w:val="center"/>
                    <w:rPr>
                      <w:rFonts w:hint="eastAsia"/>
                      <w:color w:val="auto"/>
                      <w:sz w:val="21"/>
                      <w:szCs w:val="21"/>
                      <w:highlight w:val="none"/>
                      <w:lang w:eastAsia="zh-CN"/>
                    </w:rPr>
                  </w:pPr>
                  <w:r>
                    <w:rPr>
                      <w:rFonts w:hint="eastAsia"/>
                      <w:color w:val="auto"/>
                      <w:sz w:val="21"/>
                      <w:szCs w:val="21"/>
                      <w:highlight w:val="none"/>
                      <w:lang w:eastAsia="zh-CN"/>
                    </w:rPr>
                    <w:t>拔盖</w:t>
                  </w:r>
                </w:p>
              </w:tc>
              <w:tc>
                <w:tcPr>
                  <w:tcW w:w="762" w:type="pct"/>
                  <w:vMerge w:val="restart"/>
                  <w:vAlign w:val="center"/>
                </w:tcPr>
                <w:p w14:paraId="1CC35FB4">
                  <w:pPr>
                    <w:bidi w:val="0"/>
                    <w:jc w:val="center"/>
                    <w:rPr>
                      <w:rFonts w:hint="eastAsia" w:eastAsia="宋体"/>
                      <w:color w:val="auto"/>
                      <w:sz w:val="21"/>
                      <w:szCs w:val="21"/>
                      <w:highlight w:val="none"/>
                      <w:lang w:eastAsia="zh-CN"/>
                    </w:rPr>
                  </w:pPr>
                  <w:r>
                    <w:rPr>
                      <w:rFonts w:hint="eastAsia"/>
                      <w:color w:val="auto"/>
                      <w:sz w:val="21"/>
                      <w:szCs w:val="21"/>
                      <w:highlight w:val="none"/>
                      <w:lang w:eastAsia="zh-CN"/>
                    </w:rPr>
                    <w:t>循环桶装水生产</w:t>
                  </w:r>
                </w:p>
              </w:tc>
            </w:tr>
            <w:tr w14:paraId="09DC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7D4D4C1C">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14</w:t>
                  </w:r>
                </w:p>
              </w:tc>
              <w:tc>
                <w:tcPr>
                  <w:tcW w:w="1089" w:type="pct"/>
                  <w:vAlign w:val="center"/>
                </w:tcPr>
                <w:p w14:paraId="1A005DBB">
                  <w:pPr>
                    <w:bidi w:val="0"/>
                    <w:jc w:val="center"/>
                    <w:rPr>
                      <w:rFonts w:hint="default"/>
                      <w:color w:val="auto"/>
                      <w:sz w:val="21"/>
                      <w:szCs w:val="21"/>
                      <w:highlight w:val="none"/>
                    </w:rPr>
                  </w:pPr>
                  <w:r>
                    <w:rPr>
                      <w:rFonts w:hint="eastAsia"/>
                      <w:color w:val="auto"/>
                      <w:sz w:val="21"/>
                      <w:szCs w:val="21"/>
                      <w:highlight w:val="none"/>
                      <w:lang w:eastAsia="zh-CN"/>
                    </w:rPr>
                    <w:t>直线外刷机</w:t>
                  </w:r>
                </w:p>
              </w:tc>
              <w:tc>
                <w:tcPr>
                  <w:tcW w:w="730" w:type="pct"/>
                  <w:vAlign w:val="center"/>
                </w:tcPr>
                <w:p w14:paraId="6F643024">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6DAF51E4">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0A9B91B5">
                  <w:pPr>
                    <w:bidi w:val="0"/>
                    <w:jc w:val="center"/>
                    <w:rPr>
                      <w:rFonts w:hint="eastAsia" w:eastAsia="宋体"/>
                      <w:color w:val="auto"/>
                      <w:sz w:val="21"/>
                      <w:szCs w:val="21"/>
                      <w:highlight w:val="none"/>
                      <w:lang w:eastAsia="zh-CN"/>
                    </w:rPr>
                  </w:pPr>
                  <w:r>
                    <w:rPr>
                      <w:rFonts w:hint="eastAsia"/>
                      <w:color w:val="auto"/>
                      <w:sz w:val="21"/>
                      <w:szCs w:val="21"/>
                      <w:highlight w:val="none"/>
                      <w:lang w:eastAsia="zh-CN"/>
                    </w:rPr>
                    <w:t>刷洗</w:t>
                  </w:r>
                </w:p>
              </w:tc>
              <w:tc>
                <w:tcPr>
                  <w:tcW w:w="762" w:type="pct"/>
                  <w:vMerge w:val="continue"/>
                  <w:vAlign w:val="center"/>
                </w:tcPr>
                <w:p w14:paraId="1F547E5D">
                  <w:pPr>
                    <w:bidi w:val="0"/>
                    <w:jc w:val="center"/>
                    <w:rPr>
                      <w:rFonts w:hint="default"/>
                      <w:color w:val="auto"/>
                      <w:sz w:val="21"/>
                      <w:szCs w:val="21"/>
                      <w:highlight w:val="none"/>
                    </w:rPr>
                  </w:pPr>
                </w:p>
              </w:tc>
            </w:tr>
            <w:tr w14:paraId="4395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055E6845">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1089" w:type="pct"/>
                  <w:vAlign w:val="center"/>
                </w:tcPr>
                <w:p w14:paraId="46E862E1">
                  <w:pPr>
                    <w:bidi w:val="0"/>
                    <w:jc w:val="center"/>
                    <w:rPr>
                      <w:rFonts w:hint="default"/>
                      <w:color w:val="auto"/>
                      <w:sz w:val="21"/>
                      <w:szCs w:val="21"/>
                      <w:highlight w:val="none"/>
                    </w:rPr>
                  </w:pPr>
                  <w:r>
                    <w:rPr>
                      <w:rFonts w:hint="eastAsia"/>
                      <w:color w:val="auto"/>
                      <w:sz w:val="21"/>
                      <w:szCs w:val="21"/>
                      <w:highlight w:val="none"/>
                      <w:lang w:eastAsia="zh-CN"/>
                    </w:rPr>
                    <w:t>高压内洗机</w:t>
                  </w:r>
                </w:p>
              </w:tc>
              <w:tc>
                <w:tcPr>
                  <w:tcW w:w="730" w:type="pct"/>
                  <w:vAlign w:val="center"/>
                </w:tcPr>
                <w:p w14:paraId="08E9DDEE">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4B613F84">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0338EABD">
                  <w:pPr>
                    <w:bidi w:val="0"/>
                    <w:jc w:val="center"/>
                    <w:rPr>
                      <w:rFonts w:hint="eastAsia" w:eastAsia="宋体"/>
                      <w:color w:val="auto"/>
                      <w:sz w:val="21"/>
                      <w:szCs w:val="21"/>
                      <w:highlight w:val="none"/>
                      <w:lang w:eastAsia="zh-CN"/>
                    </w:rPr>
                  </w:pPr>
                  <w:r>
                    <w:rPr>
                      <w:rFonts w:hint="eastAsia"/>
                      <w:color w:val="auto"/>
                      <w:sz w:val="21"/>
                      <w:szCs w:val="21"/>
                      <w:highlight w:val="none"/>
                      <w:lang w:eastAsia="zh-CN"/>
                    </w:rPr>
                    <w:t>冲洗</w:t>
                  </w:r>
                </w:p>
              </w:tc>
              <w:tc>
                <w:tcPr>
                  <w:tcW w:w="762" w:type="pct"/>
                  <w:vMerge w:val="continue"/>
                  <w:vAlign w:val="center"/>
                </w:tcPr>
                <w:p w14:paraId="6D0FAD6D">
                  <w:pPr>
                    <w:bidi w:val="0"/>
                    <w:jc w:val="center"/>
                    <w:rPr>
                      <w:rFonts w:hint="default"/>
                      <w:color w:val="auto"/>
                      <w:sz w:val="21"/>
                      <w:szCs w:val="21"/>
                      <w:highlight w:val="none"/>
                    </w:rPr>
                  </w:pPr>
                </w:p>
              </w:tc>
            </w:tr>
            <w:tr w14:paraId="15FA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568F45DE">
                  <w:pPr>
                    <w:bidi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16</w:t>
                  </w:r>
                </w:p>
              </w:tc>
              <w:tc>
                <w:tcPr>
                  <w:tcW w:w="1089" w:type="pct"/>
                  <w:vAlign w:val="center"/>
                </w:tcPr>
                <w:p w14:paraId="3AD49CE2">
                  <w:pPr>
                    <w:bidi w:val="0"/>
                    <w:jc w:val="center"/>
                    <w:rPr>
                      <w:rFonts w:hint="eastAsia"/>
                      <w:color w:val="auto"/>
                      <w:sz w:val="21"/>
                      <w:szCs w:val="21"/>
                      <w:highlight w:val="none"/>
                      <w:lang w:eastAsia="zh-CN"/>
                    </w:rPr>
                  </w:pPr>
                  <w:r>
                    <w:rPr>
                      <w:rFonts w:hint="eastAsia"/>
                      <w:color w:val="auto"/>
                      <w:sz w:val="21"/>
                      <w:szCs w:val="21"/>
                      <w:highlight w:val="none"/>
                      <w:lang w:eastAsia="zh-CN"/>
                    </w:rPr>
                    <w:t>吹瓶机</w:t>
                  </w:r>
                </w:p>
              </w:tc>
              <w:tc>
                <w:tcPr>
                  <w:tcW w:w="730" w:type="pct"/>
                  <w:vAlign w:val="center"/>
                </w:tcPr>
                <w:p w14:paraId="4038BA49">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26C60ED7">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2E9A6041">
                  <w:pPr>
                    <w:bidi w:val="0"/>
                    <w:jc w:val="center"/>
                    <w:rPr>
                      <w:rFonts w:hint="eastAsia" w:eastAsia="宋体"/>
                      <w:color w:val="auto"/>
                      <w:sz w:val="21"/>
                      <w:szCs w:val="21"/>
                      <w:highlight w:val="none"/>
                      <w:lang w:eastAsia="zh-CN"/>
                    </w:rPr>
                  </w:pPr>
                  <w:r>
                    <w:rPr>
                      <w:rFonts w:hint="eastAsia"/>
                      <w:color w:val="auto"/>
                      <w:sz w:val="21"/>
                      <w:szCs w:val="21"/>
                      <w:highlight w:val="none"/>
                      <w:lang w:eastAsia="zh-CN"/>
                    </w:rPr>
                    <w:t>吹瓶</w:t>
                  </w:r>
                </w:p>
              </w:tc>
              <w:tc>
                <w:tcPr>
                  <w:tcW w:w="762" w:type="pct"/>
                  <w:vMerge w:val="continue"/>
                  <w:vAlign w:val="center"/>
                </w:tcPr>
                <w:p w14:paraId="7E38CB47">
                  <w:pPr>
                    <w:bidi w:val="0"/>
                    <w:jc w:val="center"/>
                    <w:rPr>
                      <w:rFonts w:hint="default"/>
                      <w:color w:val="auto"/>
                      <w:sz w:val="21"/>
                      <w:szCs w:val="21"/>
                      <w:highlight w:val="none"/>
                    </w:rPr>
                  </w:pPr>
                </w:p>
              </w:tc>
            </w:tr>
            <w:tr w14:paraId="12CE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0F10350F">
                  <w:pPr>
                    <w:bidi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17</w:t>
                  </w:r>
                </w:p>
              </w:tc>
              <w:tc>
                <w:tcPr>
                  <w:tcW w:w="1089" w:type="pct"/>
                  <w:vAlign w:val="center"/>
                </w:tcPr>
                <w:p w14:paraId="228C5F64">
                  <w:pPr>
                    <w:bidi w:val="0"/>
                    <w:jc w:val="center"/>
                    <w:rPr>
                      <w:rFonts w:hint="eastAsia"/>
                      <w:color w:val="auto"/>
                      <w:sz w:val="21"/>
                      <w:szCs w:val="21"/>
                      <w:highlight w:val="none"/>
                      <w:lang w:eastAsia="zh-CN"/>
                    </w:rPr>
                  </w:pPr>
                  <w:r>
                    <w:rPr>
                      <w:rFonts w:hint="eastAsia"/>
                      <w:color w:val="auto"/>
                      <w:sz w:val="21"/>
                      <w:szCs w:val="21"/>
                      <w:highlight w:val="none"/>
                      <w:lang w:eastAsia="zh-CN"/>
                    </w:rPr>
                    <w:t>贴标机</w:t>
                  </w:r>
                </w:p>
              </w:tc>
              <w:tc>
                <w:tcPr>
                  <w:tcW w:w="730" w:type="pct"/>
                  <w:vAlign w:val="center"/>
                </w:tcPr>
                <w:p w14:paraId="6E7C347B">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45327F8F">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1F955167">
                  <w:pPr>
                    <w:bidi w:val="0"/>
                    <w:jc w:val="center"/>
                    <w:rPr>
                      <w:rFonts w:hint="eastAsia" w:eastAsia="宋体"/>
                      <w:color w:val="auto"/>
                      <w:sz w:val="21"/>
                      <w:szCs w:val="21"/>
                      <w:highlight w:val="none"/>
                      <w:lang w:eastAsia="zh-CN"/>
                    </w:rPr>
                  </w:pPr>
                  <w:r>
                    <w:rPr>
                      <w:rFonts w:hint="eastAsia"/>
                      <w:color w:val="auto"/>
                      <w:sz w:val="21"/>
                      <w:szCs w:val="21"/>
                      <w:highlight w:val="none"/>
                      <w:lang w:eastAsia="zh-CN"/>
                    </w:rPr>
                    <w:t>贴标</w:t>
                  </w:r>
                </w:p>
              </w:tc>
              <w:tc>
                <w:tcPr>
                  <w:tcW w:w="762" w:type="pct"/>
                  <w:vMerge w:val="continue"/>
                  <w:vAlign w:val="center"/>
                </w:tcPr>
                <w:p w14:paraId="1ACD55E0">
                  <w:pPr>
                    <w:bidi w:val="0"/>
                    <w:jc w:val="center"/>
                    <w:rPr>
                      <w:rFonts w:hint="default"/>
                      <w:color w:val="auto"/>
                      <w:sz w:val="21"/>
                      <w:szCs w:val="21"/>
                      <w:highlight w:val="none"/>
                    </w:rPr>
                  </w:pPr>
                </w:p>
              </w:tc>
            </w:tr>
            <w:tr w14:paraId="0E8A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2C6F886A">
                  <w:pPr>
                    <w:bidi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18</w:t>
                  </w:r>
                </w:p>
              </w:tc>
              <w:tc>
                <w:tcPr>
                  <w:tcW w:w="1089" w:type="pct"/>
                  <w:vAlign w:val="center"/>
                </w:tcPr>
                <w:p w14:paraId="74235B92">
                  <w:pPr>
                    <w:bidi w:val="0"/>
                    <w:jc w:val="center"/>
                    <w:rPr>
                      <w:rFonts w:hint="eastAsia"/>
                      <w:color w:val="auto"/>
                      <w:sz w:val="21"/>
                      <w:szCs w:val="21"/>
                      <w:highlight w:val="none"/>
                      <w:lang w:eastAsia="zh-CN"/>
                    </w:rPr>
                  </w:pPr>
                  <w:r>
                    <w:rPr>
                      <w:rFonts w:hint="eastAsia"/>
                      <w:color w:val="auto"/>
                      <w:sz w:val="21"/>
                      <w:szCs w:val="21"/>
                      <w:highlight w:val="none"/>
                      <w:lang w:eastAsia="zh-CN"/>
                    </w:rPr>
                    <w:t>套标机</w:t>
                  </w:r>
                </w:p>
              </w:tc>
              <w:tc>
                <w:tcPr>
                  <w:tcW w:w="730" w:type="pct"/>
                  <w:vAlign w:val="center"/>
                </w:tcPr>
                <w:p w14:paraId="58104B1A">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77BECEA7">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058" w:type="pct"/>
                  <w:vAlign w:val="center"/>
                </w:tcPr>
                <w:p w14:paraId="745CD370">
                  <w:pPr>
                    <w:bidi w:val="0"/>
                    <w:jc w:val="center"/>
                    <w:rPr>
                      <w:rFonts w:hint="eastAsia"/>
                      <w:color w:val="auto"/>
                      <w:sz w:val="21"/>
                      <w:szCs w:val="21"/>
                      <w:highlight w:val="none"/>
                      <w:lang w:eastAsia="zh-CN"/>
                    </w:rPr>
                  </w:pPr>
                  <w:r>
                    <w:rPr>
                      <w:rFonts w:hint="eastAsia"/>
                      <w:color w:val="auto"/>
                      <w:sz w:val="21"/>
                      <w:szCs w:val="21"/>
                      <w:highlight w:val="none"/>
                      <w:lang w:eastAsia="zh-CN"/>
                    </w:rPr>
                    <w:t>套标</w:t>
                  </w:r>
                </w:p>
              </w:tc>
              <w:tc>
                <w:tcPr>
                  <w:tcW w:w="762" w:type="pct"/>
                  <w:vAlign w:val="center"/>
                </w:tcPr>
                <w:p w14:paraId="221D9011">
                  <w:pPr>
                    <w:bidi w:val="0"/>
                    <w:jc w:val="center"/>
                    <w:rPr>
                      <w:rFonts w:hint="default"/>
                      <w:color w:val="auto"/>
                      <w:sz w:val="21"/>
                      <w:szCs w:val="21"/>
                      <w:highlight w:val="none"/>
                      <w:lang w:val="en-US"/>
                    </w:rPr>
                  </w:pPr>
                  <w:r>
                    <w:rPr>
                      <w:rFonts w:hint="eastAsia"/>
                      <w:color w:val="auto"/>
                      <w:sz w:val="21"/>
                      <w:szCs w:val="21"/>
                      <w:highlight w:val="none"/>
                      <w:lang w:eastAsia="zh-CN"/>
                    </w:rPr>
                    <w:t>循环桶装、一次性桶装生产</w:t>
                  </w:r>
                </w:p>
              </w:tc>
            </w:tr>
            <w:tr w14:paraId="2100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1EA62B7F">
                  <w:pPr>
                    <w:bidi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19</w:t>
                  </w:r>
                </w:p>
              </w:tc>
              <w:tc>
                <w:tcPr>
                  <w:tcW w:w="1089" w:type="pct"/>
                  <w:vAlign w:val="center"/>
                </w:tcPr>
                <w:p w14:paraId="4A5C1637">
                  <w:pPr>
                    <w:bidi w:val="0"/>
                    <w:jc w:val="center"/>
                    <w:rPr>
                      <w:rFonts w:hint="eastAsia"/>
                      <w:color w:val="auto"/>
                      <w:sz w:val="21"/>
                      <w:szCs w:val="21"/>
                      <w:highlight w:val="none"/>
                      <w:lang w:eastAsia="zh-CN"/>
                    </w:rPr>
                  </w:pPr>
                  <w:r>
                    <w:rPr>
                      <w:rFonts w:hint="eastAsia"/>
                      <w:color w:val="auto"/>
                      <w:sz w:val="21"/>
                      <w:szCs w:val="21"/>
                      <w:highlight w:val="none"/>
                      <w:lang w:eastAsia="zh-CN"/>
                    </w:rPr>
                    <w:t>灌装机</w:t>
                  </w:r>
                </w:p>
              </w:tc>
              <w:tc>
                <w:tcPr>
                  <w:tcW w:w="730" w:type="pct"/>
                  <w:vAlign w:val="center"/>
                </w:tcPr>
                <w:p w14:paraId="5246D243">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5L</w:t>
                  </w:r>
                </w:p>
              </w:tc>
              <w:tc>
                <w:tcPr>
                  <w:tcW w:w="812" w:type="pct"/>
                  <w:vAlign w:val="center"/>
                </w:tcPr>
                <w:p w14:paraId="6D16C46E">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1EC5977D">
                  <w:pPr>
                    <w:bidi w:val="0"/>
                    <w:jc w:val="center"/>
                    <w:rPr>
                      <w:rFonts w:hint="default"/>
                      <w:color w:val="auto"/>
                      <w:sz w:val="21"/>
                      <w:szCs w:val="21"/>
                      <w:highlight w:val="none"/>
                    </w:rPr>
                  </w:pPr>
                  <w:r>
                    <w:rPr>
                      <w:rFonts w:hint="eastAsia"/>
                      <w:color w:val="auto"/>
                      <w:sz w:val="21"/>
                      <w:szCs w:val="21"/>
                      <w:highlight w:val="none"/>
                      <w:lang w:eastAsia="zh-CN"/>
                    </w:rPr>
                    <w:t>消毒、灌装</w:t>
                  </w:r>
                </w:p>
              </w:tc>
              <w:tc>
                <w:tcPr>
                  <w:tcW w:w="762" w:type="pct"/>
                  <w:vAlign w:val="center"/>
                </w:tcPr>
                <w:p w14:paraId="009FFF6D">
                  <w:pPr>
                    <w:bidi w:val="0"/>
                    <w:jc w:val="center"/>
                    <w:rPr>
                      <w:rFonts w:hint="default"/>
                      <w:color w:val="auto"/>
                      <w:sz w:val="21"/>
                      <w:szCs w:val="21"/>
                      <w:highlight w:val="none"/>
                    </w:rPr>
                  </w:pPr>
                  <w:r>
                    <w:rPr>
                      <w:rFonts w:hint="eastAsia"/>
                      <w:color w:val="auto"/>
                      <w:sz w:val="21"/>
                      <w:szCs w:val="21"/>
                      <w:highlight w:val="none"/>
                      <w:lang w:eastAsia="zh-CN"/>
                    </w:rPr>
                    <w:t>一次性桶装生产</w:t>
                  </w:r>
                </w:p>
              </w:tc>
            </w:tr>
            <w:tr w14:paraId="7EF4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196DCC1A">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20</w:t>
                  </w:r>
                </w:p>
              </w:tc>
              <w:tc>
                <w:tcPr>
                  <w:tcW w:w="1089" w:type="pct"/>
                  <w:vAlign w:val="center"/>
                </w:tcPr>
                <w:p w14:paraId="59257F0F">
                  <w:pPr>
                    <w:bidi w:val="0"/>
                    <w:jc w:val="center"/>
                    <w:rPr>
                      <w:rFonts w:hint="default"/>
                      <w:color w:val="auto"/>
                      <w:sz w:val="21"/>
                      <w:szCs w:val="21"/>
                      <w:highlight w:val="none"/>
                    </w:rPr>
                  </w:pPr>
                  <w:r>
                    <w:rPr>
                      <w:rFonts w:hint="eastAsia"/>
                      <w:color w:val="auto"/>
                      <w:sz w:val="21"/>
                      <w:szCs w:val="21"/>
                      <w:highlight w:val="none"/>
                      <w:lang w:eastAsia="zh-CN"/>
                    </w:rPr>
                    <w:t>桶装水灌装机</w:t>
                  </w:r>
                </w:p>
              </w:tc>
              <w:tc>
                <w:tcPr>
                  <w:tcW w:w="730" w:type="pct"/>
                  <w:vAlign w:val="center"/>
                </w:tcPr>
                <w:p w14:paraId="32D7416B">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600桶</w:t>
                  </w:r>
                </w:p>
              </w:tc>
              <w:tc>
                <w:tcPr>
                  <w:tcW w:w="812" w:type="pct"/>
                  <w:vAlign w:val="center"/>
                </w:tcPr>
                <w:p w14:paraId="10FF96FB">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5592D028">
                  <w:pPr>
                    <w:bidi w:val="0"/>
                    <w:jc w:val="center"/>
                    <w:rPr>
                      <w:rFonts w:hint="eastAsia" w:eastAsia="宋体"/>
                      <w:color w:val="auto"/>
                      <w:sz w:val="21"/>
                      <w:szCs w:val="21"/>
                      <w:highlight w:val="none"/>
                      <w:lang w:eastAsia="zh-CN"/>
                    </w:rPr>
                  </w:pPr>
                  <w:r>
                    <w:rPr>
                      <w:rFonts w:hint="eastAsia"/>
                      <w:color w:val="auto"/>
                      <w:sz w:val="21"/>
                      <w:szCs w:val="21"/>
                      <w:highlight w:val="none"/>
                      <w:lang w:eastAsia="zh-CN"/>
                    </w:rPr>
                    <w:t>消毒、灌装</w:t>
                  </w:r>
                </w:p>
              </w:tc>
              <w:tc>
                <w:tcPr>
                  <w:tcW w:w="762" w:type="pct"/>
                  <w:vAlign w:val="center"/>
                </w:tcPr>
                <w:p w14:paraId="6314C9C4">
                  <w:pPr>
                    <w:bidi w:val="0"/>
                    <w:jc w:val="center"/>
                    <w:rPr>
                      <w:rFonts w:hint="default"/>
                      <w:color w:val="auto"/>
                      <w:sz w:val="21"/>
                      <w:szCs w:val="21"/>
                      <w:highlight w:val="none"/>
                    </w:rPr>
                  </w:pPr>
                  <w:r>
                    <w:rPr>
                      <w:rFonts w:hint="eastAsia"/>
                      <w:color w:val="auto"/>
                      <w:sz w:val="21"/>
                      <w:szCs w:val="21"/>
                      <w:highlight w:val="none"/>
                      <w:lang w:eastAsia="zh-CN"/>
                    </w:rPr>
                    <w:t>循环桶装水生产</w:t>
                  </w:r>
                </w:p>
              </w:tc>
            </w:tr>
            <w:tr w14:paraId="2038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2005C50F">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21</w:t>
                  </w:r>
                </w:p>
              </w:tc>
              <w:tc>
                <w:tcPr>
                  <w:tcW w:w="1089" w:type="pct"/>
                  <w:vAlign w:val="center"/>
                </w:tcPr>
                <w:p w14:paraId="774E8761">
                  <w:pPr>
                    <w:bidi w:val="0"/>
                    <w:jc w:val="center"/>
                    <w:rPr>
                      <w:rFonts w:hint="eastAsia"/>
                      <w:color w:val="auto"/>
                      <w:sz w:val="21"/>
                      <w:szCs w:val="21"/>
                      <w:highlight w:val="none"/>
                      <w:lang w:eastAsia="zh-CN"/>
                    </w:rPr>
                  </w:pPr>
                  <w:r>
                    <w:rPr>
                      <w:rFonts w:hint="eastAsia"/>
                      <w:color w:val="auto"/>
                      <w:sz w:val="21"/>
                      <w:szCs w:val="21"/>
                      <w:highlight w:val="none"/>
                      <w:lang w:eastAsia="zh-CN"/>
                    </w:rPr>
                    <w:t>灯检</w:t>
                  </w:r>
                </w:p>
              </w:tc>
              <w:tc>
                <w:tcPr>
                  <w:tcW w:w="730" w:type="pct"/>
                  <w:vAlign w:val="center"/>
                </w:tcPr>
                <w:p w14:paraId="7C79082F">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0E613E7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058" w:type="pct"/>
                  <w:vAlign w:val="center"/>
                </w:tcPr>
                <w:p w14:paraId="23F16434">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灯检</w:t>
                  </w:r>
                </w:p>
              </w:tc>
              <w:tc>
                <w:tcPr>
                  <w:tcW w:w="762" w:type="pct"/>
                  <w:vMerge w:val="restart"/>
                  <w:vAlign w:val="center"/>
                </w:tcPr>
                <w:p w14:paraId="42FF559B">
                  <w:pPr>
                    <w:bidi w:val="0"/>
                    <w:jc w:val="center"/>
                    <w:rPr>
                      <w:rFonts w:hint="default"/>
                      <w:color w:val="auto"/>
                      <w:sz w:val="21"/>
                      <w:szCs w:val="21"/>
                      <w:highlight w:val="none"/>
                    </w:rPr>
                  </w:pPr>
                  <w:r>
                    <w:rPr>
                      <w:rFonts w:hint="eastAsia"/>
                      <w:color w:val="auto"/>
                      <w:sz w:val="21"/>
                      <w:szCs w:val="21"/>
                      <w:highlight w:val="none"/>
                      <w:lang w:eastAsia="zh-CN"/>
                    </w:rPr>
                    <w:t>循环桶装、一次性桶装生产</w:t>
                  </w:r>
                </w:p>
              </w:tc>
            </w:tr>
            <w:tr w14:paraId="770A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47374B40">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22</w:t>
                  </w:r>
                </w:p>
              </w:tc>
              <w:tc>
                <w:tcPr>
                  <w:tcW w:w="1089" w:type="pct"/>
                  <w:vAlign w:val="center"/>
                </w:tcPr>
                <w:p w14:paraId="011DBE33">
                  <w:pPr>
                    <w:bidi w:val="0"/>
                    <w:jc w:val="center"/>
                    <w:rPr>
                      <w:rFonts w:hint="default"/>
                      <w:color w:val="auto"/>
                      <w:sz w:val="21"/>
                      <w:szCs w:val="21"/>
                      <w:highlight w:val="none"/>
                    </w:rPr>
                  </w:pPr>
                  <w:r>
                    <w:rPr>
                      <w:rFonts w:hint="eastAsia"/>
                      <w:color w:val="auto"/>
                      <w:sz w:val="21"/>
                      <w:szCs w:val="21"/>
                      <w:highlight w:val="none"/>
                      <w:lang w:eastAsia="zh-CN"/>
                    </w:rPr>
                    <w:t>码垛机</w:t>
                  </w:r>
                </w:p>
              </w:tc>
              <w:tc>
                <w:tcPr>
                  <w:tcW w:w="730" w:type="pct"/>
                  <w:vAlign w:val="center"/>
                </w:tcPr>
                <w:p w14:paraId="42E0A867">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3A117AFF">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40BFB699">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762" w:type="pct"/>
                  <w:vMerge w:val="continue"/>
                  <w:vAlign w:val="center"/>
                </w:tcPr>
                <w:p w14:paraId="01B926CD">
                  <w:pPr>
                    <w:bidi w:val="0"/>
                    <w:jc w:val="center"/>
                    <w:rPr>
                      <w:rFonts w:hint="default"/>
                      <w:color w:val="auto"/>
                      <w:sz w:val="21"/>
                      <w:szCs w:val="21"/>
                      <w:highlight w:val="none"/>
                    </w:rPr>
                  </w:pPr>
                </w:p>
              </w:tc>
            </w:tr>
            <w:tr w14:paraId="5A37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3E76B7A1">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22</w:t>
                  </w:r>
                </w:p>
              </w:tc>
              <w:tc>
                <w:tcPr>
                  <w:tcW w:w="1089" w:type="pct"/>
                  <w:vAlign w:val="center"/>
                </w:tcPr>
                <w:p w14:paraId="5C2BC28B">
                  <w:pPr>
                    <w:bidi w:val="0"/>
                    <w:jc w:val="center"/>
                    <w:rPr>
                      <w:rFonts w:hint="default"/>
                      <w:color w:val="auto"/>
                      <w:sz w:val="21"/>
                      <w:szCs w:val="21"/>
                      <w:highlight w:val="none"/>
                    </w:rPr>
                  </w:pPr>
                  <w:r>
                    <w:rPr>
                      <w:rFonts w:hint="eastAsia"/>
                      <w:color w:val="auto"/>
                      <w:sz w:val="21"/>
                      <w:szCs w:val="21"/>
                      <w:highlight w:val="none"/>
                      <w:lang w:eastAsia="zh-CN"/>
                    </w:rPr>
                    <w:t>套袋机</w:t>
                  </w:r>
                </w:p>
              </w:tc>
              <w:tc>
                <w:tcPr>
                  <w:tcW w:w="730" w:type="pct"/>
                  <w:vAlign w:val="center"/>
                </w:tcPr>
                <w:p w14:paraId="2B17340B">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3E6AFA68">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1058" w:type="pct"/>
                  <w:vAlign w:val="center"/>
                </w:tcPr>
                <w:p w14:paraId="2312DA2D">
                  <w:pPr>
                    <w:bidi w:val="0"/>
                    <w:jc w:val="center"/>
                    <w:rPr>
                      <w:rFonts w:hint="eastAsia" w:eastAsia="宋体"/>
                      <w:color w:val="auto"/>
                      <w:sz w:val="21"/>
                      <w:szCs w:val="21"/>
                      <w:highlight w:val="none"/>
                      <w:lang w:eastAsia="zh-CN"/>
                    </w:rPr>
                  </w:pPr>
                  <w:r>
                    <w:rPr>
                      <w:rFonts w:hint="eastAsia"/>
                      <w:color w:val="auto"/>
                      <w:sz w:val="21"/>
                      <w:szCs w:val="21"/>
                      <w:highlight w:val="none"/>
                      <w:lang w:eastAsia="zh-CN"/>
                    </w:rPr>
                    <w:t>套袋</w:t>
                  </w:r>
                </w:p>
              </w:tc>
              <w:tc>
                <w:tcPr>
                  <w:tcW w:w="762" w:type="pct"/>
                  <w:vMerge w:val="restart"/>
                  <w:vAlign w:val="center"/>
                </w:tcPr>
                <w:p w14:paraId="77692503">
                  <w:pPr>
                    <w:bidi w:val="0"/>
                    <w:jc w:val="center"/>
                    <w:rPr>
                      <w:rFonts w:hint="default"/>
                      <w:color w:val="auto"/>
                      <w:sz w:val="21"/>
                      <w:szCs w:val="21"/>
                      <w:highlight w:val="none"/>
                    </w:rPr>
                  </w:pPr>
                  <w:r>
                    <w:rPr>
                      <w:rFonts w:hint="eastAsia"/>
                      <w:color w:val="auto"/>
                      <w:sz w:val="21"/>
                      <w:szCs w:val="21"/>
                      <w:highlight w:val="none"/>
                      <w:lang w:eastAsia="zh-CN"/>
                    </w:rPr>
                    <w:t>循环桶装、一次性桶装生产</w:t>
                  </w:r>
                </w:p>
              </w:tc>
            </w:tr>
            <w:tr w14:paraId="4F23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71ABBD25">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23</w:t>
                  </w:r>
                </w:p>
              </w:tc>
              <w:tc>
                <w:tcPr>
                  <w:tcW w:w="1089" w:type="pct"/>
                  <w:vAlign w:val="center"/>
                </w:tcPr>
                <w:p w14:paraId="7CDFA791">
                  <w:pPr>
                    <w:bidi w:val="0"/>
                    <w:jc w:val="center"/>
                    <w:rPr>
                      <w:rFonts w:hint="default"/>
                      <w:color w:val="auto"/>
                      <w:sz w:val="21"/>
                      <w:szCs w:val="21"/>
                      <w:highlight w:val="none"/>
                    </w:rPr>
                  </w:pPr>
                  <w:r>
                    <w:rPr>
                      <w:rFonts w:hint="eastAsia"/>
                      <w:color w:val="auto"/>
                      <w:sz w:val="21"/>
                      <w:szCs w:val="21"/>
                      <w:highlight w:val="none"/>
                      <w:lang w:eastAsia="zh-CN"/>
                    </w:rPr>
                    <w:t>喷码机</w:t>
                  </w:r>
                </w:p>
              </w:tc>
              <w:tc>
                <w:tcPr>
                  <w:tcW w:w="730" w:type="pct"/>
                  <w:vAlign w:val="center"/>
                </w:tcPr>
                <w:p w14:paraId="00949E46">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4448961C">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1058" w:type="pct"/>
                  <w:vAlign w:val="center"/>
                </w:tcPr>
                <w:p w14:paraId="69E9D3B3">
                  <w:pPr>
                    <w:bidi w:val="0"/>
                    <w:jc w:val="center"/>
                    <w:rPr>
                      <w:rFonts w:hint="eastAsia" w:eastAsia="宋体"/>
                      <w:color w:val="auto"/>
                      <w:sz w:val="21"/>
                      <w:szCs w:val="21"/>
                      <w:highlight w:val="none"/>
                      <w:lang w:eastAsia="zh-CN"/>
                    </w:rPr>
                  </w:pPr>
                  <w:r>
                    <w:rPr>
                      <w:rFonts w:hint="eastAsia"/>
                      <w:color w:val="auto"/>
                      <w:sz w:val="21"/>
                      <w:szCs w:val="21"/>
                      <w:highlight w:val="none"/>
                      <w:lang w:eastAsia="zh-CN"/>
                    </w:rPr>
                    <w:t>喷码</w:t>
                  </w:r>
                </w:p>
              </w:tc>
              <w:tc>
                <w:tcPr>
                  <w:tcW w:w="762" w:type="pct"/>
                  <w:vMerge w:val="continue"/>
                  <w:vAlign w:val="center"/>
                </w:tcPr>
                <w:p w14:paraId="70FFA39E">
                  <w:pPr>
                    <w:bidi w:val="0"/>
                    <w:jc w:val="center"/>
                    <w:rPr>
                      <w:rFonts w:hint="default"/>
                      <w:color w:val="auto"/>
                      <w:sz w:val="21"/>
                      <w:szCs w:val="21"/>
                      <w:highlight w:val="none"/>
                    </w:rPr>
                  </w:pPr>
                </w:p>
              </w:tc>
            </w:tr>
            <w:tr w14:paraId="1223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7177D834">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24</w:t>
                  </w:r>
                </w:p>
              </w:tc>
              <w:tc>
                <w:tcPr>
                  <w:tcW w:w="1089" w:type="pct"/>
                  <w:vAlign w:val="center"/>
                </w:tcPr>
                <w:p w14:paraId="3CF236BB">
                  <w:pPr>
                    <w:bidi w:val="0"/>
                    <w:jc w:val="center"/>
                    <w:rPr>
                      <w:rFonts w:hint="default"/>
                      <w:color w:val="auto"/>
                      <w:sz w:val="21"/>
                      <w:szCs w:val="21"/>
                      <w:highlight w:val="none"/>
                    </w:rPr>
                  </w:pPr>
                  <w:r>
                    <w:rPr>
                      <w:rFonts w:hint="eastAsia"/>
                      <w:color w:val="auto"/>
                      <w:sz w:val="21"/>
                      <w:szCs w:val="21"/>
                      <w:highlight w:val="none"/>
                      <w:lang w:eastAsia="zh-CN"/>
                    </w:rPr>
                    <w:t>热缩机</w:t>
                  </w:r>
                </w:p>
              </w:tc>
              <w:tc>
                <w:tcPr>
                  <w:tcW w:w="730" w:type="pct"/>
                  <w:vAlign w:val="center"/>
                </w:tcPr>
                <w:p w14:paraId="19854A02">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7BD0F823">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0816D485">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热收缩</w:t>
                  </w:r>
                </w:p>
              </w:tc>
              <w:tc>
                <w:tcPr>
                  <w:tcW w:w="762" w:type="pct"/>
                  <w:shd w:val="clear" w:color="auto" w:fill="auto"/>
                  <w:vAlign w:val="center"/>
                </w:tcPr>
                <w:p w14:paraId="12A7D715">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eastAsia="zh-CN"/>
                    </w:rPr>
                    <w:t>循环桶装水生产</w:t>
                  </w:r>
                </w:p>
              </w:tc>
            </w:tr>
            <w:tr w14:paraId="38CE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3F3D5902">
                  <w:pPr>
                    <w:bidi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25</w:t>
                  </w:r>
                </w:p>
              </w:tc>
              <w:tc>
                <w:tcPr>
                  <w:tcW w:w="1089" w:type="pct"/>
                  <w:vAlign w:val="center"/>
                </w:tcPr>
                <w:p w14:paraId="26A4F747">
                  <w:pPr>
                    <w:bidi w:val="0"/>
                    <w:jc w:val="center"/>
                    <w:rPr>
                      <w:rFonts w:hint="eastAsia"/>
                      <w:color w:val="auto"/>
                      <w:sz w:val="21"/>
                      <w:szCs w:val="21"/>
                      <w:highlight w:val="none"/>
                      <w:lang w:eastAsia="zh-CN"/>
                    </w:rPr>
                  </w:pPr>
                  <w:r>
                    <w:rPr>
                      <w:rFonts w:hint="eastAsia"/>
                      <w:color w:val="auto"/>
                      <w:sz w:val="21"/>
                      <w:szCs w:val="21"/>
                      <w:highlight w:val="none"/>
                      <w:lang w:eastAsia="zh-CN"/>
                    </w:rPr>
                    <w:t>封包机</w:t>
                  </w:r>
                </w:p>
              </w:tc>
              <w:tc>
                <w:tcPr>
                  <w:tcW w:w="730" w:type="pct"/>
                  <w:vAlign w:val="center"/>
                </w:tcPr>
                <w:p w14:paraId="65C485C0">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55A2A446">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56CF9ECF">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热收缩</w:t>
                  </w:r>
                </w:p>
              </w:tc>
              <w:tc>
                <w:tcPr>
                  <w:tcW w:w="762" w:type="pct"/>
                  <w:vMerge w:val="restart"/>
                  <w:shd w:val="clear" w:color="auto" w:fill="auto"/>
                  <w:vAlign w:val="center"/>
                </w:tcPr>
                <w:p w14:paraId="0B037DBE">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eastAsia="zh-CN"/>
                    </w:rPr>
                    <w:t>一次性桶装生产</w:t>
                  </w:r>
                </w:p>
              </w:tc>
            </w:tr>
            <w:tr w14:paraId="300A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2EDCD1A4">
                  <w:pPr>
                    <w:bidi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26</w:t>
                  </w:r>
                </w:p>
              </w:tc>
              <w:tc>
                <w:tcPr>
                  <w:tcW w:w="1089" w:type="pct"/>
                  <w:vAlign w:val="center"/>
                </w:tcPr>
                <w:p w14:paraId="449246A1">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理瓶机</w:t>
                  </w:r>
                </w:p>
              </w:tc>
              <w:tc>
                <w:tcPr>
                  <w:tcW w:w="730" w:type="pct"/>
                  <w:vAlign w:val="center"/>
                </w:tcPr>
                <w:p w14:paraId="561566B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75871141">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3255B4D9">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762" w:type="pct"/>
                  <w:vMerge w:val="continue"/>
                  <w:vAlign w:val="center"/>
                </w:tcPr>
                <w:p w14:paraId="27D14A5A">
                  <w:pPr>
                    <w:bidi w:val="0"/>
                    <w:jc w:val="center"/>
                    <w:rPr>
                      <w:rFonts w:hint="default"/>
                      <w:color w:val="auto"/>
                      <w:sz w:val="21"/>
                      <w:szCs w:val="21"/>
                      <w:highlight w:val="none"/>
                    </w:rPr>
                  </w:pPr>
                </w:p>
              </w:tc>
            </w:tr>
            <w:tr w14:paraId="0C8E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5A23351C">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27</w:t>
                  </w:r>
                </w:p>
              </w:tc>
              <w:tc>
                <w:tcPr>
                  <w:tcW w:w="1089" w:type="pct"/>
                  <w:vAlign w:val="center"/>
                </w:tcPr>
                <w:p w14:paraId="19CADED9">
                  <w:pPr>
                    <w:bidi w:val="0"/>
                    <w:jc w:val="center"/>
                    <w:rPr>
                      <w:rFonts w:hint="eastAsia"/>
                      <w:color w:val="auto"/>
                      <w:sz w:val="21"/>
                      <w:szCs w:val="21"/>
                      <w:highlight w:val="none"/>
                      <w:lang w:eastAsia="zh-CN"/>
                    </w:rPr>
                  </w:pPr>
                  <w:r>
                    <w:rPr>
                      <w:rFonts w:hint="eastAsia"/>
                      <w:color w:val="auto"/>
                      <w:sz w:val="21"/>
                      <w:szCs w:val="21"/>
                      <w:highlight w:val="none"/>
                      <w:lang w:eastAsia="zh-CN"/>
                    </w:rPr>
                    <w:t>空压机</w:t>
                  </w:r>
                </w:p>
              </w:tc>
              <w:tc>
                <w:tcPr>
                  <w:tcW w:w="730" w:type="pct"/>
                  <w:vAlign w:val="center"/>
                </w:tcPr>
                <w:p w14:paraId="5889BE17">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7925AE7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44CD52A3">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762" w:type="pct"/>
                  <w:vAlign w:val="center"/>
                </w:tcPr>
                <w:p w14:paraId="6178A5E2">
                  <w:pPr>
                    <w:bidi w:val="0"/>
                    <w:jc w:val="center"/>
                    <w:rPr>
                      <w:rFonts w:hint="eastAsia"/>
                      <w:color w:val="auto"/>
                      <w:sz w:val="21"/>
                      <w:szCs w:val="21"/>
                      <w:highlight w:val="none"/>
                      <w:lang w:eastAsia="zh-CN"/>
                    </w:rPr>
                  </w:pPr>
                  <w:r>
                    <w:rPr>
                      <w:rFonts w:hint="eastAsia"/>
                      <w:color w:val="auto"/>
                      <w:sz w:val="21"/>
                      <w:szCs w:val="21"/>
                      <w:highlight w:val="none"/>
                      <w:lang w:eastAsia="zh-CN"/>
                    </w:rPr>
                    <w:t>维修间</w:t>
                  </w:r>
                </w:p>
              </w:tc>
            </w:tr>
            <w:tr w14:paraId="2FF3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2872252B">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28</w:t>
                  </w:r>
                </w:p>
              </w:tc>
              <w:tc>
                <w:tcPr>
                  <w:tcW w:w="1089" w:type="pct"/>
                  <w:vAlign w:val="center"/>
                </w:tcPr>
                <w:p w14:paraId="461B4554">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pH计</w:t>
                  </w:r>
                </w:p>
              </w:tc>
              <w:tc>
                <w:tcPr>
                  <w:tcW w:w="730" w:type="pct"/>
                  <w:vAlign w:val="center"/>
                </w:tcPr>
                <w:p w14:paraId="007357D3">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2895F5FA">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32B33896">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762" w:type="pct"/>
                  <w:vMerge w:val="restart"/>
                  <w:vAlign w:val="center"/>
                </w:tcPr>
                <w:p w14:paraId="57CD328C">
                  <w:pPr>
                    <w:bidi w:val="0"/>
                    <w:jc w:val="center"/>
                    <w:rPr>
                      <w:rFonts w:hint="eastAsia"/>
                      <w:color w:val="auto"/>
                      <w:sz w:val="21"/>
                      <w:szCs w:val="21"/>
                      <w:highlight w:val="none"/>
                      <w:lang w:eastAsia="zh-CN"/>
                    </w:rPr>
                  </w:pPr>
                  <w:r>
                    <w:rPr>
                      <w:rFonts w:hint="eastAsia"/>
                      <w:color w:val="auto"/>
                      <w:sz w:val="21"/>
                      <w:szCs w:val="21"/>
                      <w:highlight w:val="none"/>
                      <w:lang w:eastAsia="zh-CN"/>
                    </w:rPr>
                    <w:t>化验室</w:t>
                  </w:r>
                </w:p>
              </w:tc>
            </w:tr>
            <w:tr w14:paraId="40AA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vAlign w:val="center"/>
                </w:tcPr>
                <w:p w14:paraId="42C63864">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29</w:t>
                  </w:r>
                </w:p>
              </w:tc>
              <w:tc>
                <w:tcPr>
                  <w:tcW w:w="1089" w:type="pct"/>
                  <w:vAlign w:val="center"/>
                </w:tcPr>
                <w:p w14:paraId="27797368">
                  <w:pPr>
                    <w:bidi w:val="0"/>
                    <w:jc w:val="center"/>
                    <w:rPr>
                      <w:rFonts w:hint="eastAsia"/>
                      <w:color w:val="auto"/>
                      <w:sz w:val="21"/>
                      <w:szCs w:val="21"/>
                      <w:highlight w:val="none"/>
                      <w:lang w:eastAsia="zh-CN"/>
                    </w:rPr>
                  </w:pPr>
                  <w:r>
                    <w:rPr>
                      <w:rFonts w:hint="eastAsia"/>
                      <w:color w:val="auto"/>
                      <w:sz w:val="21"/>
                      <w:szCs w:val="21"/>
                      <w:highlight w:val="none"/>
                      <w:lang w:eastAsia="zh-CN"/>
                    </w:rPr>
                    <w:t>电导率仪</w:t>
                  </w:r>
                </w:p>
              </w:tc>
              <w:tc>
                <w:tcPr>
                  <w:tcW w:w="730" w:type="pct"/>
                  <w:vAlign w:val="center"/>
                </w:tcPr>
                <w:p w14:paraId="1403640F">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812" w:type="pct"/>
                  <w:vAlign w:val="center"/>
                </w:tcPr>
                <w:p w14:paraId="1A08AD0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58" w:type="pct"/>
                  <w:vAlign w:val="center"/>
                </w:tcPr>
                <w:p w14:paraId="7E7B0177">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762" w:type="pct"/>
                  <w:vMerge w:val="continue"/>
                  <w:vAlign w:val="center"/>
                </w:tcPr>
                <w:p w14:paraId="460FE044">
                  <w:pPr>
                    <w:bidi w:val="0"/>
                    <w:jc w:val="center"/>
                    <w:rPr>
                      <w:rFonts w:hint="eastAsia"/>
                      <w:color w:val="auto"/>
                      <w:sz w:val="21"/>
                      <w:szCs w:val="21"/>
                      <w:highlight w:val="none"/>
                      <w:lang w:eastAsia="zh-CN"/>
                    </w:rPr>
                  </w:pPr>
                </w:p>
              </w:tc>
            </w:tr>
          </w:tbl>
          <w:p w14:paraId="3AD4003E">
            <w:pPr>
              <w:spacing w:line="360" w:lineRule="auto"/>
              <w:rPr>
                <w:rFonts w:hint="default" w:ascii="Times New Roman" w:hAnsi="Times New Roman" w:eastAsia="宋体" w:cs="Times New Roman"/>
                <w:b/>
                <w:bCs/>
                <w:color w:val="auto"/>
                <w:sz w:val="24"/>
                <w:highlight w:val="none"/>
                <w:lang w:val="en-US" w:eastAsia="zh-CN"/>
              </w:rPr>
            </w:pPr>
            <w:r>
              <w:rPr>
                <w:rFonts w:hint="eastAsia" w:cs="Times New Roman"/>
                <w:b w:val="0"/>
                <w:bCs w:val="0"/>
                <w:color w:val="auto"/>
                <w:sz w:val="21"/>
                <w:szCs w:val="21"/>
                <w:highlight w:val="none"/>
                <w:lang w:eastAsia="zh-CN"/>
              </w:rPr>
              <w:t>注：本项目使用的灌装机和桶装水灌装机均为瓶盖清洗消毒灌装一体机。</w:t>
            </w:r>
          </w:p>
          <w:p w14:paraId="73AB1573">
            <w:pPr>
              <w:spacing w:line="360" w:lineRule="auto"/>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8、生产班制及劳动定员</w:t>
            </w:r>
          </w:p>
          <w:p w14:paraId="0F70F840">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本项目劳动定员</w:t>
            </w:r>
            <w:r>
              <w:rPr>
                <w:rFonts w:hint="eastAsia" w:cs="Times New Roman"/>
                <w:color w:val="auto"/>
                <w:sz w:val="24"/>
                <w:highlight w:val="none"/>
                <w:lang w:val="en-US" w:eastAsia="zh-CN"/>
              </w:rPr>
              <w:t>6</w:t>
            </w:r>
            <w:r>
              <w:rPr>
                <w:rFonts w:hint="default" w:ascii="Times New Roman" w:hAnsi="Times New Roman" w:cs="Times New Roman"/>
                <w:color w:val="auto"/>
                <w:sz w:val="24"/>
                <w:highlight w:val="none"/>
              </w:rPr>
              <w:t>人，生产车间采用</w:t>
            </w:r>
            <w:r>
              <w:rPr>
                <w:rFonts w:hint="eastAsia" w:cs="Times New Roman"/>
                <w:color w:val="auto"/>
                <w:sz w:val="24"/>
                <w:highlight w:val="none"/>
                <w:lang w:eastAsia="zh-CN"/>
              </w:rPr>
              <w:t>一</w:t>
            </w:r>
            <w:r>
              <w:rPr>
                <w:rFonts w:hint="default" w:ascii="Times New Roman" w:hAnsi="Times New Roman" w:cs="Times New Roman"/>
                <w:color w:val="auto"/>
                <w:sz w:val="24"/>
                <w:highlight w:val="none"/>
              </w:rPr>
              <w:t>班制，每天生产</w:t>
            </w:r>
            <w:r>
              <w:rPr>
                <w:rFonts w:hint="eastAsia" w:cs="Times New Roman"/>
                <w:color w:val="auto"/>
                <w:sz w:val="24"/>
                <w:highlight w:val="none"/>
                <w:lang w:val="en-US" w:eastAsia="zh-CN"/>
              </w:rPr>
              <w:t>8</w:t>
            </w:r>
            <w:r>
              <w:rPr>
                <w:rFonts w:hint="default" w:ascii="Times New Roman" w:hAnsi="Times New Roman" w:cs="Times New Roman"/>
                <w:color w:val="auto"/>
                <w:sz w:val="24"/>
                <w:highlight w:val="none"/>
              </w:rPr>
              <w:t>小时，年生产天数为300天，厂区不设食堂。</w:t>
            </w:r>
          </w:p>
          <w:p w14:paraId="6990BB50">
            <w:pPr>
              <w:spacing w:line="360" w:lineRule="auto"/>
              <w:rPr>
                <w:rFonts w:hint="default" w:ascii="Times New Roman" w:hAnsi="Times New Roman" w:cs="Times New Roman"/>
                <w:b/>
                <w:bCs/>
                <w:color w:val="auto"/>
                <w:sz w:val="24"/>
                <w:highlight w:val="none"/>
              </w:rPr>
            </w:pPr>
            <w:r>
              <w:rPr>
                <w:rFonts w:hint="eastAsia" w:cs="Times New Roman"/>
                <w:b/>
                <w:bCs/>
                <w:color w:val="auto"/>
                <w:sz w:val="24"/>
                <w:highlight w:val="none"/>
                <w:lang w:val="en-US" w:eastAsia="zh-CN"/>
              </w:rPr>
              <w:t>9</w:t>
            </w:r>
            <w:r>
              <w:rPr>
                <w:rFonts w:hint="default" w:ascii="Times New Roman" w:hAnsi="Times New Roman" w:cs="Times New Roman"/>
                <w:b/>
                <w:bCs/>
                <w:color w:val="auto"/>
                <w:sz w:val="24"/>
                <w:highlight w:val="none"/>
              </w:rPr>
              <w:t>、公用工程</w:t>
            </w:r>
          </w:p>
          <w:p w14:paraId="01B98683">
            <w:pPr>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（1）给水</w:t>
            </w:r>
          </w:p>
          <w:p w14:paraId="0CAB5E49">
            <w:pPr>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本项目给水依托</w:t>
            </w:r>
            <w:r>
              <w:rPr>
                <w:rFonts w:hint="eastAsia" w:cs="Times New Roman"/>
                <w:color w:val="auto"/>
                <w:sz w:val="24"/>
                <w:szCs w:val="32"/>
                <w:highlight w:val="none"/>
                <w:lang w:eastAsia="zh-CN"/>
              </w:rPr>
              <w:t>地下水采水</w:t>
            </w:r>
            <w:r>
              <w:rPr>
                <w:rFonts w:hint="default" w:ascii="Times New Roman" w:hAnsi="Times New Roman" w:cs="Times New Roman"/>
                <w:color w:val="auto"/>
                <w:sz w:val="24"/>
                <w:szCs w:val="32"/>
                <w:highlight w:val="none"/>
              </w:rPr>
              <w:t>供</w:t>
            </w:r>
            <w:r>
              <w:rPr>
                <w:rFonts w:hint="eastAsia" w:cs="Times New Roman"/>
                <w:color w:val="auto"/>
                <w:sz w:val="24"/>
                <w:szCs w:val="32"/>
                <w:highlight w:val="none"/>
                <w:lang w:eastAsia="zh-CN"/>
              </w:rPr>
              <w:t>给</w:t>
            </w:r>
            <w:r>
              <w:rPr>
                <w:rFonts w:hint="default" w:ascii="Times New Roman" w:hAnsi="Times New Roman" w:cs="Times New Roman"/>
                <w:color w:val="auto"/>
                <w:sz w:val="24"/>
                <w:szCs w:val="32"/>
                <w:highlight w:val="none"/>
              </w:rPr>
              <w:t>，能满足本项目的用水需要。根据工程分析，本项目用水主要为</w:t>
            </w:r>
            <w:r>
              <w:rPr>
                <w:rFonts w:hint="eastAsia" w:cs="Times New Roman"/>
                <w:color w:val="auto"/>
                <w:sz w:val="24"/>
                <w:szCs w:val="32"/>
                <w:highlight w:val="none"/>
                <w:lang w:eastAsia="zh-CN"/>
              </w:rPr>
              <w:t>原料用水、</w:t>
            </w:r>
            <w:r>
              <w:rPr>
                <w:rFonts w:hint="default" w:ascii="Times New Roman" w:hAnsi="Times New Roman" w:cs="Times New Roman"/>
                <w:color w:val="auto"/>
                <w:sz w:val="24"/>
                <w:szCs w:val="32"/>
                <w:highlight w:val="none"/>
              </w:rPr>
              <w:t>生活用水</w:t>
            </w:r>
            <w:r>
              <w:rPr>
                <w:rFonts w:hint="eastAsia" w:cs="Times New Roman"/>
                <w:color w:val="auto"/>
                <w:sz w:val="24"/>
                <w:szCs w:val="32"/>
                <w:highlight w:val="none"/>
                <w:lang w:eastAsia="zh-CN"/>
              </w:rPr>
              <w:t>、保洁用水、实验室用水、</w:t>
            </w:r>
            <w:r>
              <w:rPr>
                <w:rFonts w:hint="eastAsia" w:cs="Times New Roman"/>
                <w:b w:val="0"/>
                <w:bCs w:val="0"/>
                <w:color w:val="auto"/>
                <w:kern w:val="0"/>
                <w:sz w:val="24"/>
                <w:szCs w:val="24"/>
                <w:highlight w:val="none"/>
                <w:lang w:val="en-US" w:eastAsia="zh-CN" w:bidi="ar"/>
              </w:rPr>
              <w:t>瓶/桶/盖</w:t>
            </w:r>
            <w:r>
              <w:rPr>
                <w:rFonts w:hint="eastAsia" w:cs="Times New Roman"/>
                <w:color w:val="auto"/>
                <w:sz w:val="24"/>
                <w:szCs w:val="32"/>
                <w:highlight w:val="none"/>
                <w:lang w:eastAsia="zh-CN"/>
              </w:rPr>
              <w:t>清洗</w:t>
            </w:r>
            <w:r>
              <w:rPr>
                <w:rFonts w:hint="default" w:ascii="Times New Roman" w:hAnsi="Times New Roman" w:cs="Times New Roman"/>
                <w:color w:val="auto"/>
                <w:sz w:val="24"/>
                <w:szCs w:val="32"/>
                <w:highlight w:val="none"/>
              </w:rPr>
              <w:t>用水</w:t>
            </w:r>
            <w:r>
              <w:rPr>
                <w:rFonts w:hint="eastAsia" w:cs="Times New Roman"/>
                <w:color w:val="auto"/>
                <w:sz w:val="24"/>
                <w:szCs w:val="32"/>
                <w:highlight w:val="none"/>
                <w:lang w:eastAsia="zh-CN"/>
              </w:rPr>
              <w:t>、设备清洗用水和冷却循环用水</w:t>
            </w:r>
            <w:r>
              <w:rPr>
                <w:rFonts w:hint="default" w:ascii="Times New Roman" w:hAnsi="Times New Roman" w:cs="Times New Roman"/>
                <w:color w:val="auto"/>
                <w:sz w:val="24"/>
                <w:szCs w:val="32"/>
                <w:highlight w:val="none"/>
              </w:rPr>
              <w:t>。</w:t>
            </w:r>
          </w:p>
          <w:p w14:paraId="59BC1A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①</w:t>
            </w:r>
            <w:r>
              <w:rPr>
                <w:rFonts w:hint="eastAsia" w:ascii="宋体" w:hAnsi="宋体" w:eastAsia="宋体" w:cs="宋体"/>
                <w:bCs/>
                <w:color w:val="auto"/>
                <w:sz w:val="24"/>
                <w:highlight w:val="none"/>
                <w:lang w:eastAsia="zh-CN"/>
              </w:rPr>
              <w:t>生活用水</w:t>
            </w:r>
          </w:p>
          <w:p w14:paraId="60C87B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32"/>
                <w:highlight w:val="none"/>
                <w:lang w:eastAsia="zh-CN"/>
              </w:rPr>
            </w:pPr>
            <w:r>
              <w:rPr>
                <w:rFonts w:hint="default" w:ascii="Times New Roman" w:hAnsi="Times New Roman" w:cs="Times New Roman"/>
                <w:bCs/>
                <w:color w:val="auto"/>
                <w:sz w:val="24"/>
                <w:highlight w:val="none"/>
              </w:rPr>
              <w:t>本项目劳动定员为</w:t>
            </w:r>
            <w:r>
              <w:rPr>
                <w:rFonts w:hint="eastAsia" w:cs="Times New Roman"/>
                <w:bCs/>
                <w:color w:val="auto"/>
                <w:sz w:val="24"/>
                <w:highlight w:val="none"/>
                <w:lang w:val="en-US" w:eastAsia="zh-CN"/>
              </w:rPr>
              <w:t>6</w:t>
            </w:r>
            <w:r>
              <w:rPr>
                <w:rFonts w:hint="default" w:ascii="Times New Roman" w:hAnsi="Times New Roman" w:cs="Times New Roman"/>
                <w:bCs/>
                <w:color w:val="auto"/>
                <w:sz w:val="24"/>
                <w:highlight w:val="none"/>
              </w:rPr>
              <w:t>人，年工作日300d，生活用水量按100L/人·d计算，生活用水量为</w:t>
            </w:r>
            <w:r>
              <w:rPr>
                <w:rFonts w:hint="eastAsia" w:cs="Times New Roman"/>
                <w:bCs/>
                <w:color w:val="auto"/>
                <w:sz w:val="24"/>
                <w:highlight w:val="none"/>
                <w:lang w:val="en-US" w:eastAsia="zh-CN"/>
              </w:rPr>
              <w:t>0.6</w:t>
            </w:r>
            <w:r>
              <w:rPr>
                <w:rFonts w:hint="default" w:ascii="Times New Roman" w:hAnsi="Times New Roman" w:cs="Times New Roman"/>
                <w:bCs/>
                <w:color w:val="auto"/>
                <w:sz w:val="24"/>
                <w:highlight w:val="none"/>
              </w:rPr>
              <w:t>t/d，</w:t>
            </w:r>
            <w:r>
              <w:rPr>
                <w:rFonts w:hint="eastAsia" w:cs="Times New Roman"/>
                <w:bCs/>
                <w:color w:val="auto"/>
                <w:sz w:val="24"/>
                <w:highlight w:val="none"/>
                <w:lang w:val="en-US" w:eastAsia="zh-CN"/>
              </w:rPr>
              <w:t>18</w:t>
            </w:r>
            <w:r>
              <w:rPr>
                <w:rFonts w:hint="default" w:ascii="Times New Roman" w:hAnsi="Times New Roman" w:cs="Times New Roman"/>
                <w:bCs/>
                <w:color w:val="auto"/>
                <w:sz w:val="24"/>
                <w:highlight w:val="none"/>
              </w:rPr>
              <w:t>0t/a</w:t>
            </w:r>
            <w:r>
              <w:rPr>
                <w:rFonts w:hint="eastAsia" w:ascii="Times New Roman" w:hAnsi="Times New Roman" w:cs="Times New Roman"/>
                <w:bCs/>
                <w:color w:val="auto"/>
                <w:sz w:val="24"/>
                <w:highlight w:val="none"/>
                <w:lang w:eastAsia="zh-CN"/>
              </w:rPr>
              <w:t>。</w:t>
            </w:r>
          </w:p>
          <w:p w14:paraId="465F17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②</w:t>
            </w:r>
            <w:r>
              <w:rPr>
                <w:rFonts w:hint="eastAsia" w:cs="Times New Roman"/>
                <w:b w:val="0"/>
                <w:bCs w:val="0"/>
                <w:color w:val="auto"/>
                <w:kern w:val="0"/>
                <w:sz w:val="24"/>
                <w:szCs w:val="24"/>
                <w:highlight w:val="none"/>
                <w:lang w:val="en-US" w:eastAsia="zh-CN" w:bidi="ar"/>
              </w:rPr>
              <w:t>保洁用水</w:t>
            </w:r>
          </w:p>
          <w:p w14:paraId="541FFC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default" w:ascii="Times New Roman" w:hAnsi="Times New Roman" w:eastAsia="宋体" w:cs="Times New Roman"/>
                <w:b w:val="0"/>
                <w:bCs w:val="0"/>
                <w:color w:val="auto"/>
                <w:kern w:val="0"/>
                <w:sz w:val="24"/>
                <w:szCs w:val="24"/>
                <w:highlight w:val="none"/>
                <w:lang w:val="en-US" w:eastAsia="zh-CN" w:bidi="ar"/>
              </w:rPr>
              <w:t>项目营运期每日使用拖布进行清洁</w:t>
            </w:r>
            <w:r>
              <w:rPr>
                <w:rFonts w:hint="eastAsia" w:cs="Times New Roman"/>
                <w:b w:val="0"/>
                <w:bCs w:val="0"/>
                <w:color w:val="auto"/>
                <w:kern w:val="0"/>
                <w:sz w:val="24"/>
                <w:szCs w:val="24"/>
                <w:highlight w:val="none"/>
                <w:lang w:val="en-US" w:eastAsia="zh-CN" w:bidi="ar"/>
              </w:rPr>
              <w:t>，使用纯净水制备浓水进行</w:t>
            </w:r>
            <w:r>
              <w:rPr>
                <w:rFonts w:hint="default" w:ascii="Times New Roman" w:hAnsi="Times New Roman" w:eastAsia="宋体" w:cs="Times New Roman"/>
                <w:b w:val="0"/>
                <w:bCs w:val="0"/>
                <w:color w:val="auto"/>
                <w:kern w:val="0"/>
                <w:sz w:val="24"/>
                <w:szCs w:val="24"/>
                <w:highlight w:val="none"/>
                <w:lang w:val="en-US" w:eastAsia="zh-CN" w:bidi="ar"/>
              </w:rPr>
              <w:t>。</w:t>
            </w:r>
            <w:r>
              <w:rPr>
                <w:rFonts w:hint="eastAsia" w:cs="Times New Roman"/>
                <w:color w:val="auto"/>
                <w:sz w:val="24"/>
                <w:szCs w:val="24"/>
                <w:highlight w:val="none"/>
                <w:lang w:eastAsia="zh-CN"/>
              </w:rPr>
              <w:t>保洁用水</w:t>
            </w:r>
            <w:r>
              <w:rPr>
                <w:rFonts w:hint="default" w:ascii="Times New Roman" w:hAnsi="Times New Roman" w:eastAsia="宋体" w:cs="Times New Roman"/>
                <w:color w:val="auto"/>
                <w:sz w:val="24"/>
                <w:szCs w:val="24"/>
                <w:highlight w:val="none"/>
              </w:rPr>
              <w:t>产生量参照</w:t>
            </w:r>
            <w:r>
              <w:rPr>
                <w:rFonts w:hint="default" w:ascii="Times New Roman" w:hAnsi="Times New Roman" w:eastAsia="宋体" w:cs="Times New Roman"/>
                <w:color w:val="auto"/>
                <w:kern w:val="0"/>
                <w:sz w:val="24"/>
                <w:szCs w:val="24"/>
                <w:highlight w:val="none"/>
                <w:lang w:val="en-US" w:eastAsia="zh-CN" w:bidi="ar"/>
              </w:rPr>
              <w:t>根据《建筑给水排水设计手册》（中国建筑工业出版社，作者：中国建筑设计研究院），场地清洗用水量为1.0~2.0L</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次·m</w:t>
            </w:r>
            <w:r>
              <w:rPr>
                <w:rFonts w:hint="default" w:ascii="Times New Roman" w:hAnsi="Times New Roman" w:eastAsia="宋体" w:cs="Times New Roman"/>
                <w:color w:val="auto"/>
                <w:kern w:val="0"/>
                <w:sz w:val="24"/>
                <w:szCs w:val="24"/>
                <w:highlight w:val="none"/>
                <w:vertAlign w:val="superscript"/>
                <w:lang w:val="en-US" w:eastAsia="zh-CN" w:bidi="ar"/>
              </w:rPr>
              <w:t>2</w:t>
            </w:r>
            <w:r>
              <w:rPr>
                <w:rFonts w:hint="default" w:ascii="Times New Roman" w:hAnsi="Times New Roman" w:eastAsia="宋体" w:cs="Times New Roman"/>
                <w:color w:val="auto"/>
                <w:kern w:val="0"/>
                <w:sz w:val="24"/>
                <w:szCs w:val="24"/>
                <w:highlight w:val="none"/>
                <w:lang w:val="en-US" w:eastAsia="zh-CN" w:bidi="ar"/>
              </w:rPr>
              <w:t>，清洗拖布用水量按标准的5</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（0.05~0.1L</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次·m</w:t>
            </w:r>
            <w:r>
              <w:rPr>
                <w:rFonts w:hint="default" w:ascii="Times New Roman" w:hAnsi="Times New Roman" w:eastAsia="宋体" w:cs="Times New Roman"/>
                <w:color w:val="auto"/>
                <w:kern w:val="0"/>
                <w:sz w:val="24"/>
                <w:szCs w:val="24"/>
                <w:highlight w:val="none"/>
                <w:vertAlign w:val="superscript"/>
                <w:lang w:val="en-US" w:eastAsia="zh-CN" w:bidi="ar"/>
              </w:rPr>
              <w:t>2</w:t>
            </w:r>
            <w:r>
              <w:rPr>
                <w:rFonts w:hint="default" w:ascii="Times New Roman" w:hAnsi="Times New Roman" w:eastAsia="宋体" w:cs="Times New Roman"/>
                <w:color w:val="auto"/>
                <w:kern w:val="0"/>
                <w:sz w:val="24"/>
                <w:szCs w:val="24"/>
                <w:highlight w:val="none"/>
                <w:lang w:val="en-US" w:eastAsia="zh-CN" w:bidi="ar"/>
              </w:rPr>
              <w:t>）计算，取0.1L</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次·m</w:t>
            </w:r>
            <w:r>
              <w:rPr>
                <w:rFonts w:hint="default" w:ascii="Times New Roman" w:hAnsi="Times New Roman" w:eastAsia="宋体" w:cs="Times New Roman"/>
                <w:color w:val="auto"/>
                <w:kern w:val="0"/>
                <w:sz w:val="24"/>
                <w:szCs w:val="24"/>
                <w:highlight w:val="none"/>
                <w:vertAlign w:val="superscript"/>
                <w:lang w:val="en-US" w:eastAsia="zh-CN" w:bidi="ar"/>
              </w:rPr>
              <w:t>2</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则</w:t>
            </w:r>
            <w:r>
              <w:rPr>
                <w:rFonts w:hint="default" w:ascii="Times New Roman" w:hAnsi="Times New Roman" w:eastAsia="宋体" w:cs="Times New Roman"/>
                <w:color w:val="auto"/>
                <w:sz w:val="24"/>
                <w:szCs w:val="24"/>
                <w:highlight w:val="none"/>
              </w:rPr>
              <w:t>保洁水用水</w:t>
            </w:r>
            <w:r>
              <w:rPr>
                <w:rFonts w:hint="eastAsia" w:cs="Times New Roman"/>
                <w:color w:val="auto"/>
                <w:sz w:val="24"/>
                <w:szCs w:val="24"/>
                <w:highlight w:val="none"/>
                <w:lang w:eastAsia="zh-CN"/>
              </w:rPr>
              <w:t>量为</w:t>
            </w:r>
            <w:r>
              <w:rPr>
                <w:rFonts w:hint="eastAsia" w:cs="Times New Roman"/>
                <w:color w:val="auto"/>
                <w:sz w:val="24"/>
                <w:szCs w:val="24"/>
                <w:highlight w:val="none"/>
                <w:lang w:val="en-US" w:eastAsia="zh-CN"/>
              </w:rPr>
              <w:t>46.8</w:t>
            </w:r>
            <w:r>
              <w:rPr>
                <w:rFonts w:hint="default" w:ascii="Times New Roman" w:hAnsi="Times New Roman" w:eastAsia="宋体" w:cs="Times New Roman"/>
                <w:color w:val="auto"/>
                <w:sz w:val="24"/>
                <w:szCs w:val="24"/>
                <w:highlight w:val="none"/>
                <w:lang w:val="en-US" w:eastAsia="zh-CN"/>
              </w:rPr>
              <w:t>t</w:t>
            </w:r>
            <w:r>
              <w:rPr>
                <w:rFonts w:hint="default" w:ascii="Times New Roman" w:hAnsi="Times New Roman" w:eastAsia="宋体" w:cs="Times New Roman"/>
                <w:color w:val="auto"/>
                <w:sz w:val="24"/>
                <w:szCs w:val="24"/>
                <w:highlight w:val="none"/>
              </w:rPr>
              <w:t>/a，0.</w:t>
            </w:r>
            <w:r>
              <w:rPr>
                <w:rFonts w:hint="eastAsia" w:cs="Times New Roman"/>
                <w:color w:val="auto"/>
                <w:sz w:val="24"/>
                <w:szCs w:val="24"/>
                <w:highlight w:val="none"/>
                <w:lang w:val="en-US" w:eastAsia="zh-CN"/>
              </w:rPr>
              <w:t>156</w:t>
            </w:r>
            <w:r>
              <w:rPr>
                <w:rFonts w:hint="default" w:ascii="Times New Roman" w:hAnsi="Times New Roman" w:eastAsia="宋体" w:cs="Times New Roman"/>
                <w:color w:val="auto"/>
                <w:sz w:val="24"/>
                <w:szCs w:val="24"/>
                <w:highlight w:val="none"/>
                <w:lang w:val="en-US" w:eastAsia="zh-CN"/>
              </w:rPr>
              <w:t>t</w:t>
            </w:r>
            <w:r>
              <w:rPr>
                <w:rFonts w:hint="default" w:ascii="Times New Roman" w:hAnsi="Times New Roman" w:eastAsia="宋体" w:cs="Times New Roman"/>
                <w:color w:val="auto"/>
                <w:sz w:val="24"/>
                <w:szCs w:val="24"/>
                <w:highlight w:val="none"/>
              </w:rPr>
              <w:t>/d。</w:t>
            </w:r>
          </w:p>
          <w:p w14:paraId="219E988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③实验室</w:t>
            </w:r>
            <w:r>
              <w:rPr>
                <w:rFonts w:hint="eastAsia" w:cs="Times New Roman"/>
                <w:b w:val="0"/>
                <w:bCs w:val="0"/>
                <w:color w:val="auto"/>
                <w:kern w:val="0"/>
                <w:sz w:val="24"/>
                <w:szCs w:val="24"/>
                <w:highlight w:val="none"/>
                <w:lang w:val="en-US" w:eastAsia="zh-CN" w:bidi="ar"/>
              </w:rPr>
              <w:t>质检</w:t>
            </w:r>
            <w:r>
              <w:rPr>
                <w:rFonts w:hint="default" w:ascii="Times New Roman" w:hAnsi="Times New Roman" w:eastAsia="宋体" w:cs="Times New Roman"/>
                <w:b w:val="0"/>
                <w:bCs w:val="0"/>
                <w:color w:val="auto"/>
                <w:kern w:val="0"/>
                <w:sz w:val="24"/>
                <w:szCs w:val="24"/>
                <w:highlight w:val="none"/>
                <w:lang w:val="en-US" w:eastAsia="zh-CN" w:bidi="ar"/>
              </w:rPr>
              <w:t>用水</w:t>
            </w:r>
          </w:p>
          <w:p w14:paraId="657E36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本项目每天对第一瓶/桶水进行</w:t>
            </w:r>
            <w:r>
              <w:rPr>
                <w:rFonts w:hint="eastAsia" w:cs="Times New Roman"/>
                <w:b w:val="0"/>
                <w:bCs w:val="0"/>
                <w:color w:val="auto"/>
                <w:kern w:val="0"/>
                <w:sz w:val="24"/>
                <w:szCs w:val="24"/>
                <w:highlight w:val="none"/>
                <w:lang w:val="en-US" w:eastAsia="zh-CN" w:bidi="ar"/>
              </w:rPr>
              <w:t>质检</w:t>
            </w:r>
            <w:r>
              <w:rPr>
                <w:rFonts w:hint="default" w:ascii="Times New Roman" w:hAnsi="Times New Roman" w:eastAsia="宋体" w:cs="Times New Roman"/>
                <w:b w:val="0"/>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检测过程不加入其他化学试剂，</w:t>
            </w:r>
            <w:r>
              <w:rPr>
                <w:rFonts w:hint="default" w:ascii="Times New Roman" w:hAnsi="Times New Roman" w:eastAsia="宋体" w:cs="Times New Roman"/>
                <w:b w:val="0"/>
                <w:bCs w:val="0"/>
                <w:color w:val="auto"/>
                <w:kern w:val="0"/>
                <w:sz w:val="24"/>
                <w:szCs w:val="24"/>
                <w:highlight w:val="none"/>
                <w:lang w:val="en-US" w:eastAsia="zh-CN" w:bidi="ar"/>
              </w:rPr>
              <w:t>取样量为</w:t>
            </w:r>
            <w:r>
              <w:rPr>
                <w:rFonts w:hint="eastAsia" w:ascii="Times New Roman" w:hAnsi="Times New Roman" w:eastAsia="宋体" w:cs="Times New Roman"/>
                <w:b w:val="0"/>
                <w:bCs w:val="0"/>
                <w:color w:val="auto"/>
                <w:kern w:val="0"/>
                <w:sz w:val="24"/>
                <w:szCs w:val="24"/>
                <w:highlight w:val="none"/>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桶桶装水（</w:t>
            </w:r>
            <w:r>
              <w:rPr>
                <w:rFonts w:hint="eastAsia" w:ascii="Times New Roman" w:hAnsi="Times New Roman" w:eastAsia="宋体" w:cs="Times New Roman"/>
                <w:b w:val="0"/>
                <w:bCs w:val="0"/>
                <w:color w:val="auto"/>
                <w:kern w:val="0"/>
                <w:sz w:val="24"/>
                <w:szCs w:val="24"/>
                <w:highlight w:val="none"/>
                <w:lang w:val="en-US" w:eastAsia="zh-CN" w:bidi="ar"/>
              </w:rPr>
              <w:t>1桶</w:t>
            </w:r>
            <w:r>
              <w:rPr>
                <w:rFonts w:hint="default" w:ascii="Times New Roman" w:hAnsi="Times New Roman" w:eastAsia="宋体" w:cs="Times New Roman"/>
                <w:b w:val="0"/>
                <w:bCs w:val="0"/>
                <w:color w:val="auto"/>
                <w:kern w:val="0"/>
                <w:sz w:val="24"/>
                <w:szCs w:val="24"/>
                <w:highlight w:val="none"/>
                <w:lang w:val="en-US" w:eastAsia="zh-CN" w:bidi="ar"/>
              </w:rPr>
              <w:t>18L</w:t>
            </w:r>
            <w:r>
              <w:rPr>
                <w:rFonts w:hint="eastAsia" w:ascii="Times New Roman" w:hAnsi="Times New Roman" w:eastAsia="宋体" w:cs="Times New Roman"/>
                <w:b w:val="0"/>
                <w:bCs w:val="0"/>
                <w:color w:val="auto"/>
                <w:kern w:val="0"/>
                <w:sz w:val="24"/>
                <w:szCs w:val="24"/>
                <w:highlight w:val="none"/>
                <w:lang w:val="en-US" w:eastAsia="zh-CN" w:bidi="ar"/>
              </w:rPr>
              <w:t>、1桶17L、1桶15L</w:t>
            </w:r>
            <w:r>
              <w:rPr>
                <w:rFonts w:hint="default" w:ascii="Times New Roman" w:hAnsi="Times New Roman" w:eastAsia="宋体" w:cs="Times New Roman"/>
                <w:b w:val="0"/>
                <w:bCs w:val="0"/>
                <w:color w:val="auto"/>
                <w:kern w:val="0"/>
                <w:sz w:val="24"/>
                <w:szCs w:val="24"/>
                <w:highlight w:val="none"/>
                <w:lang w:val="en-US" w:eastAsia="zh-CN" w:bidi="ar"/>
              </w:rPr>
              <w:t>）+</w:t>
            </w:r>
            <w:r>
              <w:rPr>
                <w:rFonts w:hint="eastAsia" w:ascii="Times New Roman" w:hAnsi="Times New Roman" w:eastAsia="宋体" w:cs="Times New Roman"/>
                <w:b w:val="0"/>
                <w:bCs w:val="0"/>
                <w:color w:val="auto"/>
                <w:kern w:val="0"/>
                <w:sz w:val="24"/>
                <w:szCs w:val="24"/>
                <w:highlight w:val="none"/>
                <w:lang w:val="en-US" w:eastAsia="zh-CN" w:bidi="ar"/>
              </w:rPr>
              <w:t>5</w:t>
            </w:r>
            <w:r>
              <w:rPr>
                <w:rFonts w:hint="default" w:ascii="Times New Roman" w:hAnsi="Times New Roman" w:eastAsia="宋体" w:cs="Times New Roman"/>
                <w:b w:val="0"/>
                <w:bCs w:val="0"/>
                <w:color w:val="auto"/>
                <w:kern w:val="0"/>
                <w:sz w:val="24"/>
                <w:szCs w:val="24"/>
                <w:highlight w:val="none"/>
                <w:lang w:val="en-US" w:eastAsia="zh-CN" w:bidi="ar"/>
              </w:rPr>
              <w:t>瓶瓶装水（500ml/瓶），用水量为0.0</w:t>
            </w:r>
            <w:r>
              <w:rPr>
                <w:rFonts w:hint="eastAsia" w:ascii="Times New Roman" w:hAnsi="Times New Roman" w:eastAsia="宋体" w:cs="Times New Roman"/>
                <w:b w:val="0"/>
                <w:bCs w:val="0"/>
                <w:color w:val="auto"/>
                <w:kern w:val="0"/>
                <w:sz w:val="24"/>
                <w:szCs w:val="24"/>
                <w:highlight w:val="none"/>
                <w:lang w:val="en-US" w:eastAsia="zh-CN" w:bidi="ar"/>
              </w:rPr>
              <w:t>525</w:t>
            </w:r>
            <w:r>
              <w:rPr>
                <w:rFonts w:hint="default" w:ascii="Times New Roman" w:hAnsi="Times New Roman" w:eastAsia="宋体" w:cs="Times New Roman"/>
                <w:b w:val="0"/>
                <w:bCs w:val="0"/>
                <w:color w:val="auto"/>
                <w:kern w:val="0"/>
                <w:sz w:val="24"/>
                <w:szCs w:val="24"/>
                <w:highlight w:val="none"/>
                <w:lang w:val="en-US" w:eastAsia="zh-CN" w:bidi="ar"/>
              </w:rPr>
              <w:t>m</w:t>
            </w:r>
            <w:r>
              <w:rPr>
                <w:rFonts w:hint="default" w:ascii="Times New Roman" w:hAnsi="Times New Roman" w:eastAsia="宋体" w:cs="Times New Roman"/>
                <w:b w:val="0"/>
                <w:bCs w:val="0"/>
                <w:color w:val="auto"/>
                <w:kern w:val="0"/>
                <w:sz w:val="24"/>
                <w:szCs w:val="24"/>
                <w:highlight w:val="none"/>
                <w:vertAlign w:val="superscript"/>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/d</w:t>
            </w:r>
            <w:r>
              <w:rPr>
                <w:rFonts w:hint="eastAsia" w:ascii="Times New Roman" w:hAnsi="Times New Roman" w:eastAsia="宋体" w:cs="Times New Roman"/>
                <w:b w:val="0"/>
                <w:bCs w:val="0"/>
                <w:color w:val="auto"/>
                <w:kern w:val="0"/>
                <w:sz w:val="24"/>
                <w:szCs w:val="24"/>
                <w:highlight w:val="none"/>
                <w:lang w:val="en-US" w:eastAsia="zh-CN" w:bidi="ar"/>
              </w:rPr>
              <w:t>，</w:t>
            </w:r>
            <w:r>
              <w:rPr>
                <w:rFonts w:hint="default" w:ascii="Times New Roman" w:hAnsi="Times New Roman" w:eastAsia="宋体" w:cs="Times New Roman"/>
                <w:b w:val="0"/>
                <w:bCs w:val="0"/>
                <w:color w:val="auto"/>
                <w:kern w:val="0"/>
                <w:sz w:val="24"/>
                <w:szCs w:val="24"/>
                <w:highlight w:val="none"/>
                <w:lang w:val="en-US" w:eastAsia="zh-CN" w:bidi="ar"/>
              </w:rPr>
              <w:t>1</w:t>
            </w:r>
            <w:r>
              <w:rPr>
                <w:rFonts w:hint="eastAsia" w:ascii="Times New Roman" w:hAnsi="Times New Roman" w:eastAsia="宋体" w:cs="Times New Roman"/>
                <w:b w:val="0"/>
                <w:bCs w:val="0"/>
                <w:color w:val="auto"/>
                <w:kern w:val="0"/>
                <w:sz w:val="24"/>
                <w:szCs w:val="24"/>
                <w:highlight w:val="none"/>
                <w:lang w:val="en-US" w:eastAsia="zh-CN" w:bidi="ar"/>
              </w:rPr>
              <w:t>5.75</w:t>
            </w:r>
            <w:r>
              <w:rPr>
                <w:rFonts w:hint="default" w:ascii="Times New Roman" w:hAnsi="Times New Roman" w:eastAsia="宋体" w:cs="Times New Roman"/>
                <w:b w:val="0"/>
                <w:bCs w:val="0"/>
                <w:color w:val="auto"/>
                <w:kern w:val="0"/>
                <w:sz w:val="24"/>
                <w:szCs w:val="24"/>
                <w:highlight w:val="none"/>
                <w:lang w:val="en-US" w:eastAsia="zh-CN" w:bidi="ar"/>
              </w:rPr>
              <w:t>m</w:t>
            </w:r>
            <w:r>
              <w:rPr>
                <w:rFonts w:hint="default" w:ascii="Times New Roman" w:hAnsi="Times New Roman" w:eastAsia="宋体" w:cs="Times New Roman"/>
                <w:b w:val="0"/>
                <w:bCs w:val="0"/>
                <w:color w:val="auto"/>
                <w:kern w:val="0"/>
                <w:sz w:val="24"/>
                <w:szCs w:val="24"/>
                <w:highlight w:val="none"/>
                <w:vertAlign w:val="superscript"/>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/a。</w:t>
            </w:r>
          </w:p>
          <w:p w14:paraId="162CAC3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eastAsia"/>
                <w:color w:val="auto"/>
                <w:sz w:val="24"/>
                <w:szCs w:val="32"/>
                <w:highlight w:val="none"/>
                <w:lang w:val="en-US" w:eastAsia="zh-CN"/>
              </w:rPr>
              <w:t>④</w:t>
            </w:r>
            <w:r>
              <w:rPr>
                <w:rFonts w:hint="eastAsia" w:cs="Times New Roman"/>
                <w:b w:val="0"/>
                <w:bCs w:val="0"/>
                <w:color w:val="auto"/>
                <w:kern w:val="0"/>
                <w:sz w:val="24"/>
                <w:szCs w:val="24"/>
                <w:highlight w:val="none"/>
                <w:lang w:val="en-US" w:eastAsia="zh-CN" w:bidi="ar"/>
              </w:rPr>
              <w:t>瓶/桶/盖</w:t>
            </w:r>
            <w:r>
              <w:rPr>
                <w:rFonts w:hint="default" w:ascii="Times New Roman" w:hAnsi="Times New Roman" w:eastAsia="宋体" w:cs="Times New Roman"/>
                <w:b w:val="0"/>
                <w:bCs w:val="0"/>
                <w:color w:val="auto"/>
                <w:kern w:val="0"/>
                <w:sz w:val="24"/>
                <w:szCs w:val="24"/>
                <w:highlight w:val="none"/>
                <w:lang w:val="en-US" w:eastAsia="zh-CN" w:bidi="ar"/>
              </w:rPr>
              <w:t>清洗用水</w:t>
            </w:r>
          </w:p>
          <w:p w14:paraId="5ECD96B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灌装前需要使用</w:t>
            </w:r>
            <w:r>
              <w:rPr>
                <w:rFonts w:hint="eastAsia"/>
                <w:color w:val="auto"/>
                <w:sz w:val="24"/>
                <w:szCs w:val="32"/>
                <w:highlight w:val="none"/>
                <w:lang w:val="en-US" w:eastAsia="zh-CN"/>
              </w:rPr>
              <w:t>使用制备的纯净</w:t>
            </w:r>
            <w:r>
              <w:rPr>
                <w:rFonts w:hint="default" w:ascii="Times New Roman" w:hAnsi="Times New Roman" w:eastAsia="宋体" w:cs="Times New Roman"/>
                <w:b w:val="0"/>
                <w:bCs w:val="0"/>
                <w:color w:val="auto"/>
                <w:kern w:val="0"/>
                <w:sz w:val="24"/>
                <w:szCs w:val="24"/>
                <w:highlight w:val="none"/>
                <w:lang w:val="en-US" w:eastAsia="zh-CN" w:bidi="ar"/>
              </w:rPr>
              <w:t>水对瓶、盖进行清洗消毒，根据</w:t>
            </w:r>
            <w:r>
              <w:rPr>
                <w:rFonts w:hint="eastAsia" w:ascii="Times New Roman" w:hAnsi="Times New Roman" w:eastAsia="宋体" w:cs="Times New Roman"/>
                <w:b w:val="0"/>
                <w:bCs w:val="0"/>
                <w:color w:val="auto"/>
                <w:kern w:val="0"/>
                <w:sz w:val="24"/>
                <w:szCs w:val="24"/>
                <w:highlight w:val="none"/>
                <w:lang w:val="en-US" w:eastAsia="zh-CN" w:bidi="ar"/>
              </w:rPr>
              <w:t>建设单位提供资料</w:t>
            </w:r>
            <w:r>
              <w:rPr>
                <w:rFonts w:hint="default" w:ascii="Times New Roman" w:hAnsi="Times New Roman" w:eastAsia="宋体" w:cs="Times New Roman"/>
                <w:b w:val="0"/>
                <w:bCs w:val="0"/>
                <w:color w:val="auto"/>
                <w:kern w:val="0"/>
                <w:sz w:val="24"/>
                <w:szCs w:val="24"/>
                <w:highlight w:val="none"/>
                <w:lang w:val="en-US" w:eastAsia="zh-CN" w:bidi="ar"/>
              </w:rPr>
              <w:t>，用水量为</w:t>
            </w:r>
            <w:r>
              <w:rPr>
                <w:rFonts w:hint="eastAsia" w:ascii="Times New Roman" w:hAnsi="Times New Roman" w:eastAsia="宋体" w:cs="Times New Roman"/>
                <w:b w:val="0"/>
                <w:bCs w:val="0"/>
                <w:color w:val="auto"/>
                <w:kern w:val="0"/>
                <w:sz w:val="24"/>
                <w:szCs w:val="24"/>
                <w:highlight w:val="none"/>
                <w:lang w:val="en-US" w:eastAsia="zh-CN" w:bidi="ar"/>
              </w:rPr>
              <w:t>0.5</w:t>
            </w:r>
            <w:r>
              <w:rPr>
                <w:rFonts w:hint="default" w:ascii="Times New Roman" w:hAnsi="Times New Roman" w:eastAsia="宋体" w:cs="Times New Roman"/>
                <w:b w:val="0"/>
                <w:bCs w:val="0"/>
                <w:color w:val="auto"/>
                <w:kern w:val="0"/>
                <w:sz w:val="24"/>
                <w:szCs w:val="24"/>
                <w:highlight w:val="none"/>
                <w:lang w:val="en-US" w:eastAsia="zh-CN" w:bidi="ar"/>
              </w:rPr>
              <w:t>m</w:t>
            </w:r>
            <w:r>
              <w:rPr>
                <w:rFonts w:hint="default" w:ascii="Times New Roman" w:hAnsi="Times New Roman" w:eastAsia="宋体" w:cs="Times New Roman"/>
                <w:b w:val="0"/>
                <w:bCs w:val="0"/>
                <w:color w:val="auto"/>
                <w:kern w:val="0"/>
                <w:sz w:val="24"/>
                <w:szCs w:val="24"/>
                <w:highlight w:val="none"/>
                <w:vertAlign w:val="superscript"/>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 xml:space="preserve"> /d，年运行</w:t>
            </w:r>
            <w:r>
              <w:rPr>
                <w:rFonts w:hint="eastAsia" w:ascii="Times New Roman" w:hAnsi="Times New Roman" w:eastAsia="宋体" w:cs="Times New Roman"/>
                <w:b w:val="0"/>
                <w:bCs w:val="0"/>
                <w:color w:val="auto"/>
                <w:kern w:val="0"/>
                <w:sz w:val="24"/>
                <w:szCs w:val="24"/>
                <w:highlight w:val="none"/>
                <w:lang w:val="en-US" w:eastAsia="zh-CN" w:bidi="ar"/>
              </w:rPr>
              <w:t>30</w:t>
            </w:r>
            <w:r>
              <w:rPr>
                <w:rFonts w:hint="default" w:ascii="Times New Roman" w:hAnsi="Times New Roman" w:eastAsia="宋体" w:cs="Times New Roman"/>
                <w:b w:val="0"/>
                <w:bCs w:val="0"/>
                <w:color w:val="auto"/>
                <w:kern w:val="0"/>
                <w:sz w:val="24"/>
                <w:szCs w:val="24"/>
                <w:highlight w:val="none"/>
                <w:lang w:val="en-US" w:eastAsia="zh-CN" w:bidi="ar"/>
              </w:rPr>
              <w:t>0d，则清洗用水量为</w:t>
            </w:r>
            <w:r>
              <w:rPr>
                <w:rFonts w:hint="eastAsia" w:ascii="Times New Roman" w:hAnsi="Times New Roman" w:eastAsia="宋体" w:cs="Times New Roman"/>
                <w:b w:val="0"/>
                <w:bCs w:val="0"/>
                <w:color w:val="auto"/>
                <w:kern w:val="0"/>
                <w:sz w:val="24"/>
                <w:szCs w:val="24"/>
                <w:highlight w:val="none"/>
                <w:lang w:val="en-US" w:eastAsia="zh-CN" w:bidi="ar"/>
              </w:rPr>
              <w:t>15</w:t>
            </w:r>
            <w:r>
              <w:rPr>
                <w:rFonts w:hint="default" w:ascii="Times New Roman" w:hAnsi="Times New Roman" w:eastAsia="宋体" w:cs="Times New Roman"/>
                <w:b w:val="0"/>
                <w:bCs w:val="0"/>
                <w:color w:val="auto"/>
                <w:kern w:val="0"/>
                <w:sz w:val="24"/>
                <w:szCs w:val="24"/>
                <w:highlight w:val="none"/>
                <w:lang w:val="en-US" w:eastAsia="zh-CN" w:bidi="ar"/>
              </w:rPr>
              <w:t>0m</w:t>
            </w:r>
            <w:r>
              <w:rPr>
                <w:rFonts w:hint="default" w:ascii="Times New Roman" w:hAnsi="Times New Roman" w:eastAsia="宋体" w:cs="Times New Roman"/>
                <w:b w:val="0"/>
                <w:bCs w:val="0"/>
                <w:color w:val="auto"/>
                <w:kern w:val="0"/>
                <w:sz w:val="24"/>
                <w:szCs w:val="24"/>
                <w:highlight w:val="none"/>
                <w:vertAlign w:val="superscript"/>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/a。</w:t>
            </w:r>
          </w:p>
          <w:p w14:paraId="1E082F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eastAsia" w:ascii="宋体" w:hAnsi="宋体" w:eastAsia="宋体" w:cs="宋体"/>
                <w:color w:val="auto"/>
                <w:kern w:val="0"/>
                <w:sz w:val="24"/>
                <w:szCs w:val="24"/>
                <w:highlight w:val="none"/>
                <w:lang w:val="en-US" w:eastAsia="zh-CN" w:bidi="ar"/>
              </w:rPr>
              <w:t>本项目的循环桶属于回收空桶，回收后的空桶需进行清洗消毒，用水量为</w:t>
            </w:r>
            <w:r>
              <w:rPr>
                <w:rFonts w:hint="eastAsia" w:ascii="Times New Roman" w:hAnsi="Times New Roman" w:eastAsia="宋体" w:cs="Times New Roman"/>
                <w:color w:val="auto"/>
                <w:kern w:val="0"/>
                <w:sz w:val="24"/>
                <w:szCs w:val="24"/>
                <w:highlight w:val="none"/>
                <w:lang w:val="en-US" w:eastAsia="zh-CN" w:bidi="ar"/>
              </w:rPr>
              <w:t>0.1</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/d</w:t>
            </w:r>
            <w:r>
              <w:rPr>
                <w:rFonts w:hint="eastAsia" w:ascii="宋体" w:hAnsi="宋体" w:eastAsia="宋体" w:cs="宋体"/>
                <w:color w:val="auto"/>
                <w:kern w:val="0"/>
                <w:sz w:val="24"/>
                <w:szCs w:val="24"/>
                <w:highlight w:val="none"/>
                <w:lang w:val="en-US" w:eastAsia="zh-CN" w:bidi="ar"/>
              </w:rPr>
              <w:t>，年运行</w:t>
            </w:r>
            <w:r>
              <w:rPr>
                <w:rFonts w:hint="default" w:ascii="Times New Roman" w:hAnsi="Times New Roman" w:eastAsia="宋体" w:cs="Times New Roman"/>
                <w:color w:val="auto"/>
                <w:kern w:val="0"/>
                <w:sz w:val="24"/>
                <w:szCs w:val="24"/>
                <w:highlight w:val="none"/>
                <w:lang w:val="en-US" w:eastAsia="zh-CN" w:bidi="ar"/>
              </w:rPr>
              <w:t>3</w:t>
            </w:r>
            <w:r>
              <w:rPr>
                <w:rFonts w:hint="eastAsia" w:ascii="Times New Roman" w:hAnsi="Times New Roman" w:eastAsia="宋体" w:cs="Times New Roman"/>
                <w:color w:val="auto"/>
                <w:kern w:val="0"/>
                <w:sz w:val="24"/>
                <w:szCs w:val="24"/>
                <w:highlight w:val="none"/>
                <w:lang w:val="en-US" w:eastAsia="zh-CN" w:bidi="ar"/>
              </w:rPr>
              <w:t>0</w:t>
            </w:r>
            <w:r>
              <w:rPr>
                <w:rFonts w:hint="default" w:ascii="Times New Roman" w:hAnsi="Times New Roman" w:eastAsia="宋体" w:cs="Times New Roman"/>
                <w:color w:val="auto"/>
                <w:kern w:val="0"/>
                <w:sz w:val="24"/>
                <w:szCs w:val="24"/>
                <w:highlight w:val="none"/>
                <w:lang w:val="en-US" w:eastAsia="zh-CN" w:bidi="ar"/>
              </w:rPr>
              <w:t>0d</w:t>
            </w:r>
            <w:r>
              <w:rPr>
                <w:rFonts w:hint="eastAsia" w:ascii="宋体" w:hAnsi="宋体" w:eastAsia="宋体" w:cs="宋体"/>
                <w:color w:val="auto"/>
                <w:kern w:val="0"/>
                <w:sz w:val="24"/>
                <w:szCs w:val="24"/>
                <w:highlight w:val="none"/>
                <w:lang w:val="en-US" w:eastAsia="zh-CN" w:bidi="ar"/>
              </w:rPr>
              <w:t>，则清洗用水量为</w:t>
            </w:r>
            <w:r>
              <w:rPr>
                <w:rFonts w:hint="eastAsia" w:ascii="Times New Roman" w:hAnsi="Times New Roman" w:eastAsia="宋体" w:cs="Times New Roman"/>
                <w:color w:val="auto"/>
                <w:kern w:val="0"/>
                <w:sz w:val="24"/>
                <w:szCs w:val="24"/>
                <w:highlight w:val="none"/>
                <w:lang w:val="en-US" w:eastAsia="zh-CN" w:bidi="ar"/>
              </w:rPr>
              <w:t>30</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/a</w:t>
            </w:r>
            <w:r>
              <w:rPr>
                <w:rFonts w:hint="eastAsia" w:ascii="宋体" w:hAnsi="宋体" w:eastAsia="宋体" w:cs="宋体"/>
                <w:color w:val="auto"/>
                <w:kern w:val="0"/>
                <w:sz w:val="24"/>
                <w:szCs w:val="24"/>
                <w:highlight w:val="none"/>
                <w:lang w:val="en-US" w:eastAsia="zh-CN" w:bidi="ar"/>
              </w:rPr>
              <w:t>。</w:t>
            </w:r>
          </w:p>
          <w:p w14:paraId="1F5A8A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highlight w:val="none"/>
              </w:rPr>
            </w:pPr>
            <w:r>
              <w:rPr>
                <w:rFonts w:hint="eastAsia" w:ascii="宋体" w:hAnsi="宋体" w:eastAsia="宋体" w:cs="宋体"/>
                <w:color w:val="auto"/>
                <w:sz w:val="24"/>
                <w:szCs w:val="32"/>
                <w:highlight w:val="none"/>
                <w:lang w:val="en-US" w:eastAsia="zh-CN"/>
              </w:rPr>
              <w:t>⑤</w:t>
            </w:r>
            <w:r>
              <w:rPr>
                <w:rFonts w:hint="eastAsia" w:ascii="Times New Roman" w:hAnsi="Times New Roman" w:cs="Times New Roman"/>
                <w:color w:val="auto"/>
                <w:sz w:val="24"/>
                <w:szCs w:val="32"/>
                <w:highlight w:val="none"/>
                <w:lang w:val="en-US" w:eastAsia="zh-CN"/>
              </w:rPr>
              <w:t>反冲洗</w:t>
            </w:r>
            <w:r>
              <w:rPr>
                <w:rFonts w:hint="default" w:ascii="Times New Roman" w:hAnsi="Times New Roman" w:cs="Times New Roman"/>
                <w:color w:val="auto"/>
                <w:sz w:val="24"/>
                <w:szCs w:val="32"/>
                <w:highlight w:val="none"/>
                <w:lang w:val="en-US" w:eastAsia="zh-CN"/>
              </w:rPr>
              <w:t>用水</w:t>
            </w:r>
          </w:p>
          <w:p w14:paraId="3EF796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eastAsia"/>
                <w:color w:val="auto"/>
                <w:sz w:val="24"/>
                <w:szCs w:val="32"/>
                <w:highlight w:val="none"/>
                <w:lang w:val="en-US" w:eastAsia="zh-CN"/>
              </w:rPr>
              <w:t>本项目定期对水处理间设备进行清洗，使用制备的纯净水，根据建设单位提供资料，设备清洗每天大约需要0.5</w:t>
            </w:r>
            <w:r>
              <w:rPr>
                <w:rFonts w:hint="default"/>
                <w:color w:val="auto"/>
                <w:sz w:val="24"/>
                <w:szCs w:val="32"/>
                <w:highlight w:val="none"/>
                <w:lang w:val="en-US" w:eastAsia="zh-CN"/>
              </w:rPr>
              <w:t>m</w:t>
            </w:r>
            <w:r>
              <w:rPr>
                <w:rFonts w:hint="default"/>
                <w:color w:val="auto"/>
                <w:sz w:val="24"/>
                <w:szCs w:val="32"/>
                <w:highlight w:val="none"/>
                <w:vertAlign w:val="superscript"/>
                <w:lang w:val="en-US" w:eastAsia="zh-CN"/>
              </w:rPr>
              <w:t>3</w:t>
            </w:r>
            <w:r>
              <w:rPr>
                <w:rFonts w:hint="eastAsia"/>
                <w:color w:val="auto"/>
                <w:sz w:val="24"/>
                <w:szCs w:val="32"/>
                <w:highlight w:val="none"/>
                <w:lang w:val="en-US" w:eastAsia="zh-CN"/>
              </w:rPr>
              <w:t>，则本项目设备清洗用水为15</w:t>
            </w:r>
            <w:r>
              <w:rPr>
                <w:rFonts w:hint="default"/>
                <w:color w:val="auto"/>
                <w:sz w:val="24"/>
                <w:szCs w:val="32"/>
                <w:highlight w:val="none"/>
                <w:lang w:val="en-US" w:eastAsia="zh-CN"/>
              </w:rPr>
              <w:t>0m</w:t>
            </w:r>
            <w:r>
              <w:rPr>
                <w:rFonts w:hint="default"/>
                <w:color w:val="auto"/>
                <w:sz w:val="24"/>
                <w:szCs w:val="32"/>
                <w:highlight w:val="none"/>
                <w:vertAlign w:val="superscript"/>
                <w:lang w:val="en-US" w:eastAsia="zh-CN"/>
              </w:rPr>
              <w:t>3</w:t>
            </w:r>
            <w:r>
              <w:rPr>
                <w:rFonts w:hint="default"/>
                <w:color w:val="auto"/>
                <w:sz w:val="24"/>
                <w:szCs w:val="32"/>
                <w:highlight w:val="none"/>
                <w:lang w:val="en-US" w:eastAsia="zh-CN"/>
              </w:rPr>
              <w:t>/a</w:t>
            </w:r>
            <w:r>
              <w:rPr>
                <w:rFonts w:hint="eastAsia"/>
                <w:color w:val="auto"/>
                <w:sz w:val="24"/>
                <w:szCs w:val="32"/>
                <w:highlight w:val="none"/>
                <w:lang w:val="en-US" w:eastAsia="zh-CN"/>
              </w:rPr>
              <w:t>。</w:t>
            </w:r>
          </w:p>
          <w:p w14:paraId="67735F9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微软雅黑" w:cs="Times New Roman"/>
                <w:color w:val="auto"/>
                <w:sz w:val="24"/>
                <w:szCs w:val="32"/>
                <w:highlight w:val="none"/>
                <w:lang w:val="en-US" w:eastAsia="zh-CN"/>
              </w:rPr>
              <w:t>⑥</w:t>
            </w:r>
            <w:r>
              <w:rPr>
                <w:rFonts w:hint="eastAsia" w:cs="Times New Roman"/>
                <w:b w:val="0"/>
                <w:bCs w:val="0"/>
                <w:color w:val="auto"/>
                <w:kern w:val="0"/>
                <w:sz w:val="24"/>
                <w:szCs w:val="24"/>
                <w:highlight w:val="none"/>
                <w:lang w:val="en-US" w:eastAsia="zh-CN" w:bidi="ar"/>
              </w:rPr>
              <w:t>冷却循环用水</w:t>
            </w:r>
          </w:p>
          <w:p w14:paraId="18CCE2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32"/>
                <w:highlight w:val="none"/>
              </w:rPr>
            </w:pPr>
            <w:r>
              <w:rPr>
                <w:rFonts w:hint="default" w:ascii="Times New Roman" w:hAnsi="Times New Roman" w:cs="Times New Roman"/>
                <w:b w:val="0"/>
                <w:bCs w:val="0"/>
                <w:color w:val="auto"/>
                <w:kern w:val="0"/>
                <w:sz w:val="24"/>
                <w:szCs w:val="24"/>
                <w:highlight w:val="none"/>
                <w:lang w:val="en-US" w:eastAsia="zh-CN" w:bidi="ar"/>
              </w:rPr>
              <w:t>本项目吹瓶会进行冷却，使用</w:t>
            </w:r>
            <w:r>
              <w:rPr>
                <w:rFonts w:hint="eastAsia" w:cs="Times New Roman"/>
                <w:b w:val="0"/>
                <w:bCs w:val="0"/>
                <w:color w:val="auto"/>
                <w:kern w:val="0"/>
                <w:sz w:val="24"/>
                <w:szCs w:val="24"/>
                <w:highlight w:val="none"/>
                <w:lang w:val="en-US" w:eastAsia="zh-CN" w:bidi="ar"/>
              </w:rPr>
              <w:t>地下水原水</w:t>
            </w:r>
            <w:r>
              <w:rPr>
                <w:rFonts w:hint="default" w:ascii="Times New Roman" w:hAnsi="Times New Roman" w:cs="Times New Roman"/>
                <w:b w:val="0"/>
                <w:bCs w:val="0"/>
                <w:color w:val="auto"/>
                <w:kern w:val="0"/>
                <w:sz w:val="24"/>
                <w:szCs w:val="24"/>
                <w:highlight w:val="none"/>
                <w:lang w:val="en-US" w:eastAsia="zh-CN" w:bidi="ar"/>
              </w:rPr>
              <w:t>，会产生循环冷却水，根据建设单位提供资料，设置</w:t>
            </w:r>
            <w:r>
              <w:rPr>
                <w:rFonts w:hint="eastAsia" w:ascii="Times New Roman" w:hAnsi="Times New Roman" w:cs="Times New Roman"/>
                <w:b w:val="0"/>
                <w:bCs w:val="0"/>
                <w:color w:val="auto"/>
                <w:kern w:val="0"/>
                <w:sz w:val="24"/>
                <w:szCs w:val="24"/>
                <w:highlight w:val="none"/>
                <w:lang w:val="en-US" w:eastAsia="zh-CN" w:bidi="ar"/>
              </w:rPr>
              <w:t>2</w:t>
            </w:r>
            <w:r>
              <w:rPr>
                <w:rFonts w:hint="default" w:ascii="Times New Roman" w:hAnsi="Times New Roman" w:cs="Times New Roman"/>
                <w:b w:val="0"/>
                <w:bCs w:val="0"/>
                <w:color w:val="auto"/>
                <w:kern w:val="0"/>
                <w:sz w:val="24"/>
                <w:szCs w:val="24"/>
                <w:highlight w:val="none"/>
                <w:lang w:val="en-US" w:eastAsia="zh-CN" w:bidi="ar"/>
              </w:rPr>
              <w:t>t循环水桶，</w:t>
            </w:r>
            <w:r>
              <w:rPr>
                <w:rFonts w:hint="default" w:ascii="Times New Roman" w:hAnsi="Times New Roman" w:eastAsia="宋体" w:cs="Times New Roman"/>
                <w:color w:val="auto"/>
                <w:kern w:val="0"/>
                <w:sz w:val="24"/>
                <w:szCs w:val="24"/>
                <w:highlight w:val="none"/>
                <w:lang w:val="en-US" w:eastAsia="zh-CN" w:bidi="ar"/>
              </w:rPr>
              <w:t>补充水量约为循环量的2%，则本项目冷却循环用水量为0.</w:t>
            </w:r>
            <w:r>
              <w:rPr>
                <w:rFonts w:hint="eastAsia" w:ascii="Times New Roman" w:hAnsi="Times New Roman" w:eastAsia="宋体" w:cs="Times New Roman"/>
                <w:color w:val="auto"/>
                <w:kern w:val="0"/>
                <w:sz w:val="24"/>
                <w:szCs w:val="24"/>
                <w:highlight w:val="none"/>
                <w:lang w:val="en-US" w:eastAsia="zh-CN" w:bidi="ar"/>
              </w:rPr>
              <w:t>04</w:t>
            </w:r>
            <w:r>
              <w:rPr>
                <w:rFonts w:hint="default" w:ascii="Times New Roman" w:hAnsi="Times New Roman" w:eastAsia="宋体" w:cs="Times New Roman"/>
                <w:color w:val="auto"/>
                <w:kern w:val="0"/>
                <w:sz w:val="24"/>
                <w:szCs w:val="24"/>
                <w:highlight w:val="none"/>
                <w:lang w:val="en-US" w:eastAsia="zh-CN" w:bidi="ar"/>
              </w:rPr>
              <w:t>t/d，</w:t>
            </w:r>
            <w:r>
              <w:rPr>
                <w:rFonts w:hint="eastAsia" w:ascii="Times New Roman" w:hAnsi="Times New Roman" w:eastAsia="宋体" w:cs="Times New Roman"/>
                <w:color w:val="auto"/>
                <w:kern w:val="0"/>
                <w:sz w:val="24"/>
                <w:szCs w:val="24"/>
                <w:highlight w:val="none"/>
                <w:lang w:val="en-US" w:eastAsia="zh-CN" w:bidi="ar"/>
              </w:rPr>
              <w:t>12</w:t>
            </w:r>
            <w:r>
              <w:rPr>
                <w:rFonts w:hint="default" w:ascii="Times New Roman" w:hAnsi="Times New Roman" w:eastAsia="宋体" w:cs="Times New Roman"/>
                <w:color w:val="auto"/>
                <w:kern w:val="0"/>
                <w:sz w:val="24"/>
                <w:szCs w:val="24"/>
                <w:highlight w:val="none"/>
                <w:lang w:val="en-US" w:eastAsia="zh-CN" w:bidi="ar"/>
              </w:rPr>
              <w:t>t/a。</w:t>
            </w:r>
          </w:p>
          <w:p w14:paraId="2BA978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 w:val="0"/>
                <w:bCs w:val="0"/>
                <w:color w:val="auto"/>
                <w:kern w:val="0"/>
                <w:sz w:val="24"/>
                <w:szCs w:val="24"/>
                <w:highlight w:val="none"/>
                <w:lang w:val="en-US" w:eastAsia="zh-CN" w:bidi="ar"/>
              </w:rPr>
              <w:t>⑦</w:t>
            </w:r>
            <w:r>
              <w:rPr>
                <w:rFonts w:hint="eastAsia" w:ascii="宋体" w:hAnsi="宋体" w:cs="宋体"/>
                <w:bCs/>
                <w:color w:val="auto"/>
                <w:sz w:val="24"/>
                <w:highlight w:val="none"/>
                <w:lang w:val="en-US" w:eastAsia="zh-CN"/>
              </w:rPr>
              <w:t>纯净水</w:t>
            </w:r>
            <w:r>
              <w:rPr>
                <w:rFonts w:hint="eastAsia" w:ascii="宋体" w:hAnsi="宋体" w:cs="宋体"/>
                <w:bCs/>
                <w:color w:val="auto"/>
                <w:sz w:val="24"/>
                <w:highlight w:val="none"/>
                <w:lang w:eastAsia="zh-CN"/>
              </w:rPr>
              <w:t>制备用水</w:t>
            </w:r>
          </w:p>
          <w:p w14:paraId="2A750F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kern w:val="0"/>
                <w:sz w:val="24"/>
                <w:szCs w:val="24"/>
                <w:highlight w:val="none"/>
                <w:lang w:val="en-US" w:eastAsia="zh-CN" w:bidi="ar"/>
              </w:rPr>
            </w:pPr>
            <w:r>
              <w:rPr>
                <w:rFonts w:hint="eastAsia"/>
                <w:color w:val="auto"/>
                <w:sz w:val="24"/>
                <w:szCs w:val="32"/>
                <w:highlight w:val="none"/>
                <w:lang w:val="en-US" w:eastAsia="zh-CN"/>
              </w:rPr>
              <w:t>本项目年产2万吨纯净水，根据上文分析，年使用纯净水345.75t。在水处理间经过处理制备纯净水时会产生浓水，约有25%，则本项目原料用水量为25432.1875</w:t>
            </w:r>
            <w:r>
              <w:rPr>
                <w:rFonts w:hint="default"/>
                <w:color w:val="auto"/>
                <w:sz w:val="24"/>
                <w:szCs w:val="32"/>
                <w:highlight w:val="none"/>
                <w:lang w:val="en-US" w:eastAsia="zh-CN"/>
              </w:rPr>
              <w:t>m</w:t>
            </w:r>
            <w:r>
              <w:rPr>
                <w:rFonts w:hint="default"/>
                <w:color w:val="auto"/>
                <w:sz w:val="24"/>
                <w:szCs w:val="32"/>
                <w:highlight w:val="none"/>
                <w:vertAlign w:val="superscript"/>
                <w:lang w:val="en-US" w:eastAsia="zh-CN"/>
              </w:rPr>
              <w:t>3</w:t>
            </w:r>
            <w:r>
              <w:rPr>
                <w:rFonts w:hint="default"/>
                <w:color w:val="auto"/>
                <w:sz w:val="24"/>
                <w:szCs w:val="32"/>
                <w:highlight w:val="none"/>
                <w:lang w:val="en-US" w:eastAsia="zh-CN"/>
              </w:rPr>
              <w:t>/</w:t>
            </w:r>
            <w:r>
              <w:rPr>
                <w:rFonts w:hint="eastAsia"/>
                <w:color w:val="auto"/>
                <w:sz w:val="24"/>
                <w:szCs w:val="32"/>
                <w:highlight w:val="none"/>
                <w:lang w:val="en-US" w:eastAsia="zh-CN"/>
              </w:rPr>
              <w:t>a，即84.774</w:t>
            </w:r>
            <w:r>
              <w:rPr>
                <w:rFonts w:hint="default"/>
                <w:color w:val="auto"/>
                <w:sz w:val="24"/>
                <w:szCs w:val="32"/>
                <w:highlight w:val="none"/>
                <w:lang w:val="en-US" w:eastAsia="zh-CN"/>
              </w:rPr>
              <w:t>m</w:t>
            </w:r>
            <w:r>
              <w:rPr>
                <w:rFonts w:hint="default"/>
                <w:color w:val="auto"/>
                <w:sz w:val="24"/>
                <w:szCs w:val="32"/>
                <w:highlight w:val="none"/>
                <w:vertAlign w:val="superscript"/>
                <w:lang w:val="en-US" w:eastAsia="zh-CN"/>
              </w:rPr>
              <w:t>3</w:t>
            </w:r>
            <w:r>
              <w:rPr>
                <w:rFonts w:hint="default"/>
                <w:color w:val="auto"/>
                <w:sz w:val="24"/>
                <w:szCs w:val="32"/>
                <w:highlight w:val="none"/>
                <w:lang w:val="en-US" w:eastAsia="zh-CN"/>
              </w:rPr>
              <w:t>/</w:t>
            </w:r>
            <w:r>
              <w:rPr>
                <w:rFonts w:hint="eastAsia"/>
                <w:color w:val="auto"/>
                <w:sz w:val="24"/>
                <w:szCs w:val="32"/>
                <w:highlight w:val="none"/>
                <w:lang w:val="en-US" w:eastAsia="zh-CN"/>
              </w:rPr>
              <w:t>d。</w:t>
            </w:r>
          </w:p>
          <w:p w14:paraId="5C84431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0"/>
                <w:sz w:val="24"/>
                <w:szCs w:val="24"/>
                <w:highlight w:val="none"/>
                <w:lang w:val="en-US" w:eastAsia="zh-CN" w:bidi="ar"/>
              </w:rPr>
            </w:pPr>
            <w:r>
              <w:rPr>
                <w:rFonts w:hint="eastAsia" w:ascii="Times New Roman" w:hAnsi="Times New Roman" w:eastAsia="宋体" w:cs="Times New Roman"/>
                <w:b w:val="0"/>
                <w:bCs w:val="0"/>
                <w:color w:val="auto"/>
                <w:kern w:val="0"/>
                <w:sz w:val="24"/>
                <w:szCs w:val="24"/>
                <w:highlight w:val="none"/>
                <w:lang w:val="en-US" w:eastAsia="zh-CN" w:bidi="ar"/>
              </w:rPr>
              <w:t>（2）排水</w:t>
            </w:r>
          </w:p>
          <w:p w14:paraId="1D0D949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0"/>
                <w:sz w:val="24"/>
                <w:szCs w:val="24"/>
                <w:highlight w:val="none"/>
                <w:lang w:val="en-US" w:eastAsia="zh-CN" w:bidi="ar"/>
              </w:rPr>
            </w:pPr>
            <w:r>
              <w:rPr>
                <w:rFonts w:hint="eastAsia" w:ascii="Times New Roman" w:hAnsi="Times New Roman" w:eastAsia="宋体" w:cs="Times New Roman"/>
                <w:b w:val="0"/>
                <w:bCs w:val="0"/>
                <w:color w:val="auto"/>
                <w:kern w:val="0"/>
                <w:sz w:val="24"/>
                <w:szCs w:val="24"/>
                <w:highlight w:val="none"/>
                <w:lang w:val="en-US" w:eastAsia="zh-CN" w:bidi="ar"/>
              </w:rPr>
              <w:t>本项目废水主要为生活污水、实验室废水、</w:t>
            </w:r>
            <w:r>
              <w:rPr>
                <w:rFonts w:hint="eastAsia" w:cs="Times New Roman"/>
                <w:b w:val="0"/>
                <w:bCs w:val="0"/>
                <w:color w:val="auto"/>
                <w:kern w:val="0"/>
                <w:sz w:val="24"/>
                <w:szCs w:val="24"/>
                <w:highlight w:val="none"/>
                <w:lang w:val="en-US" w:eastAsia="zh-CN" w:bidi="ar"/>
              </w:rPr>
              <w:t>瓶/桶/盖</w:t>
            </w:r>
            <w:r>
              <w:rPr>
                <w:rFonts w:hint="eastAsia" w:cs="Times New Roman"/>
                <w:color w:val="auto"/>
                <w:sz w:val="24"/>
                <w:szCs w:val="32"/>
                <w:highlight w:val="none"/>
                <w:lang w:eastAsia="zh-CN"/>
              </w:rPr>
              <w:t>清洗</w:t>
            </w:r>
            <w:r>
              <w:rPr>
                <w:rFonts w:hint="eastAsia" w:ascii="Times New Roman" w:hAnsi="Times New Roman" w:cs="Times New Roman"/>
                <w:color w:val="auto"/>
                <w:sz w:val="24"/>
                <w:szCs w:val="32"/>
                <w:highlight w:val="none"/>
                <w:lang w:eastAsia="zh-CN"/>
              </w:rPr>
              <w:t>废</w:t>
            </w:r>
            <w:r>
              <w:rPr>
                <w:rFonts w:hint="default" w:ascii="Times New Roman" w:hAnsi="Times New Roman" w:cs="Times New Roman"/>
                <w:color w:val="auto"/>
                <w:sz w:val="24"/>
                <w:szCs w:val="32"/>
                <w:highlight w:val="none"/>
              </w:rPr>
              <w:t>水</w:t>
            </w:r>
            <w:r>
              <w:rPr>
                <w:rFonts w:hint="eastAsia" w:cs="Times New Roman"/>
                <w:color w:val="auto"/>
                <w:sz w:val="24"/>
                <w:szCs w:val="32"/>
                <w:highlight w:val="none"/>
                <w:lang w:eastAsia="zh-CN"/>
              </w:rPr>
              <w:t>和设备清洗废水</w:t>
            </w:r>
            <w:r>
              <w:rPr>
                <w:rFonts w:hint="eastAsia" w:cs="Times New Roman"/>
                <w:b w:val="0"/>
                <w:bCs w:val="0"/>
                <w:color w:val="auto"/>
                <w:kern w:val="0"/>
                <w:sz w:val="24"/>
                <w:szCs w:val="24"/>
                <w:highlight w:val="none"/>
                <w:lang w:val="en-US" w:eastAsia="zh-CN" w:bidi="ar"/>
              </w:rPr>
              <w:t>，瓶/桶/盖</w:t>
            </w:r>
            <w:r>
              <w:rPr>
                <w:rFonts w:hint="eastAsia" w:cs="Times New Roman"/>
                <w:color w:val="auto"/>
                <w:sz w:val="24"/>
                <w:szCs w:val="32"/>
                <w:highlight w:val="none"/>
                <w:lang w:eastAsia="zh-CN"/>
              </w:rPr>
              <w:t>清洗</w:t>
            </w:r>
            <w:r>
              <w:rPr>
                <w:rFonts w:hint="eastAsia" w:ascii="Times New Roman" w:hAnsi="Times New Roman" w:cs="Times New Roman"/>
                <w:color w:val="auto"/>
                <w:sz w:val="24"/>
                <w:szCs w:val="32"/>
                <w:highlight w:val="none"/>
                <w:lang w:eastAsia="zh-CN"/>
              </w:rPr>
              <w:t>废</w:t>
            </w:r>
            <w:r>
              <w:rPr>
                <w:rFonts w:hint="default" w:ascii="Times New Roman" w:hAnsi="Times New Roman" w:cs="Times New Roman"/>
                <w:color w:val="auto"/>
                <w:sz w:val="24"/>
                <w:szCs w:val="32"/>
                <w:highlight w:val="none"/>
              </w:rPr>
              <w:t>水</w:t>
            </w:r>
            <w:r>
              <w:rPr>
                <w:rFonts w:hint="eastAsia" w:cs="Times New Roman"/>
                <w:color w:val="auto"/>
                <w:sz w:val="24"/>
                <w:szCs w:val="32"/>
                <w:highlight w:val="none"/>
                <w:lang w:eastAsia="zh-CN"/>
              </w:rPr>
              <w:t>、设备清洗废水和纯净水制备浓水与生活污水、保洁废水</w:t>
            </w:r>
            <w:r>
              <w:rPr>
                <w:rFonts w:hint="eastAsia" w:cs="Times New Roman"/>
                <w:b w:val="0"/>
                <w:bCs w:val="0"/>
                <w:color w:val="auto"/>
                <w:kern w:val="0"/>
                <w:sz w:val="24"/>
                <w:szCs w:val="24"/>
                <w:highlight w:val="none"/>
                <w:lang w:val="en-US" w:eastAsia="zh-CN" w:bidi="ar"/>
              </w:rPr>
              <w:t>一同经市政管网排入</w:t>
            </w:r>
            <w:r>
              <w:rPr>
                <w:rFonts w:hint="eastAsia" w:ascii="Times New Roman" w:hAnsi="Times New Roman" w:cs="Times New Roman"/>
                <w:bCs/>
                <w:color w:val="auto"/>
                <w:sz w:val="24"/>
                <w:szCs w:val="24"/>
                <w:highlight w:val="none"/>
                <w:lang w:val="zh-CN"/>
              </w:rPr>
              <w:t>宿州市循环经济示范园污水处理厂</w:t>
            </w:r>
            <w:r>
              <w:rPr>
                <w:rFonts w:hint="eastAsia" w:ascii="Times New Roman" w:hAnsi="Times New Roman" w:eastAsia="宋体" w:cs="Times New Roman"/>
                <w:b w:val="0"/>
                <w:bCs w:val="0"/>
                <w:color w:val="auto"/>
                <w:kern w:val="0"/>
                <w:sz w:val="24"/>
                <w:szCs w:val="24"/>
                <w:highlight w:val="none"/>
                <w:lang w:val="en-US" w:eastAsia="zh-CN" w:bidi="ar"/>
              </w:rPr>
              <w:t>。</w:t>
            </w:r>
          </w:p>
          <w:p w14:paraId="0CFE154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eastAsia="宋体"/>
                <w:color w:val="auto"/>
                <w:sz w:val="24"/>
                <w:highlight w:val="none"/>
                <w:lang w:eastAsia="zh-CN"/>
              </w:rPr>
            </w:pPr>
            <w:r>
              <w:rPr>
                <w:rFonts w:hint="eastAsia" w:ascii="Times New Roman" w:hAnsi="Times New Roman" w:eastAsia="宋体" w:cs="Times New Roman"/>
                <w:b w:val="0"/>
                <w:bCs w:val="0"/>
                <w:color w:val="auto"/>
                <w:kern w:val="0"/>
                <w:sz w:val="24"/>
                <w:szCs w:val="24"/>
                <w:highlight w:val="none"/>
                <w:lang w:val="en-US" w:eastAsia="zh-CN" w:bidi="ar"/>
              </w:rPr>
              <w:t>①生活污水</w:t>
            </w:r>
          </w:p>
          <w:p w14:paraId="4FE5A433">
            <w:pPr>
              <w:spacing w:line="360" w:lineRule="auto"/>
              <w:ind w:firstLine="480" w:firstLineChars="200"/>
              <w:rPr>
                <w:color w:val="auto"/>
                <w:sz w:val="24"/>
                <w:highlight w:val="none"/>
              </w:rPr>
            </w:pPr>
            <w:r>
              <w:rPr>
                <w:color w:val="auto"/>
                <w:sz w:val="24"/>
                <w:highlight w:val="none"/>
              </w:rPr>
              <w:t>生活污水产生系数按</w:t>
            </w:r>
            <w:r>
              <w:rPr>
                <w:rFonts w:hint="eastAsia"/>
                <w:color w:val="auto"/>
                <w:sz w:val="24"/>
                <w:highlight w:val="none"/>
                <w:lang w:val="en-US" w:eastAsia="zh-CN"/>
              </w:rPr>
              <w:t>0.80</w:t>
            </w:r>
            <w:r>
              <w:rPr>
                <w:color w:val="auto"/>
                <w:sz w:val="24"/>
                <w:highlight w:val="none"/>
              </w:rPr>
              <w:t>计，则生活污水产生量约为</w:t>
            </w:r>
            <w:r>
              <w:rPr>
                <w:rFonts w:hint="eastAsia"/>
                <w:color w:val="auto"/>
                <w:sz w:val="24"/>
                <w:highlight w:val="none"/>
                <w:lang w:val="en-US" w:eastAsia="zh-CN"/>
              </w:rPr>
              <w:t>0.48</w:t>
            </w:r>
            <w:r>
              <w:rPr>
                <w:color w:val="auto"/>
                <w:sz w:val="24"/>
                <w:highlight w:val="none"/>
              </w:rPr>
              <w:t>t/d，</w:t>
            </w:r>
            <w:r>
              <w:rPr>
                <w:rFonts w:hint="eastAsia"/>
                <w:color w:val="auto"/>
                <w:sz w:val="24"/>
                <w:highlight w:val="none"/>
                <w:lang w:val="en-US" w:eastAsia="zh-CN"/>
              </w:rPr>
              <w:t>144</w:t>
            </w:r>
            <w:r>
              <w:rPr>
                <w:color w:val="auto"/>
                <w:sz w:val="24"/>
                <w:highlight w:val="none"/>
              </w:rPr>
              <w:t>t/a。生活污水经化粪池</w:t>
            </w:r>
            <w:r>
              <w:rPr>
                <w:rFonts w:hint="eastAsia"/>
                <w:color w:val="auto"/>
                <w:sz w:val="24"/>
                <w:highlight w:val="none"/>
              </w:rPr>
              <w:t>收集</w:t>
            </w:r>
            <w:r>
              <w:rPr>
                <w:color w:val="auto"/>
                <w:sz w:val="24"/>
                <w:highlight w:val="none"/>
              </w:rPr>
              <w:t>后</w:t>
            </w:r>
            <w:r>
              <w:rPr>
                <w:rFonts w:hint="eastAsia"/>
                <w:color w:val="auto"/>
                <w:sz w:val="24"/>
                <w:highlight w:val="none"/>
                <w:lang w:eastAsia="zh-CN"/>
              </w:rPr>
              <w:t>排入</w:t>
            </w:r>
            <w:r>
              <w:rPr>
                <w:rFonts w:hint="eastAsia" w:ascii="Times New Roman" w:hAnsi="Times New Roman" w:cs="Times New Roman"/>
                <w:bCs/>
                <w:color w:val="auto"/>
                <w:sz w:val="24"/>
                <w:szCs w:val="24"/>
                <w:highlight w:val="none"/>
                <w:lang w:val="zh-CN"/>
              </w:rPr>
              <w:t>宿州市循环经济示范园污水处理厂</w:t>
            </w:r>
            <w:r>
              <w:rPr>
                <w:color w:val="auto"/>
                <w:sz w:val="24"/>
                <w:highlight w:val="none"/>
              </w:rPr>
              <w:t>。</w:t>
            </w:r>
          </w:p>
          <w:p w14:paraId="76A1D9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32"/>
                <w:highlight w:val="none"/>
                <w:lang w:eastAsia="zh-CN"/>
              </w:rPr>
            </w:pPr>
            <w:r>
              <w:rPr>
                <w:rFonts w:hint="eastAsia"/>
                <w:color w:val="auto"/>
                <w:sz w:val="24"/>
                <w:szCs w:val="32"/>
                <w:highlight w:val="none"/>
              </w:rPr>
              <w:t>②</w:t>
            </w:r>
            <w:r>
              <w:rPr>
                <w:rFonts w:hint="eastAsia"/>
                <w:color w:val="auto"/>
                <w:sz w:val="24"/>
                <w:szCs w:val="32"/>
                <w:highlight w:val="none"/>
                <w:lang w:eastAsia="zh-CN"/>
              </w:rPr>
              <w:t>保洁废水</w:t>
            </w:r>
          </w:p>
          <w:p w14:paraId="2A71A5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32"/>
                <w:highlight w:val="none"/>
              </w:rPr>
            </w:pPr>
            <w:r>
              <w:rPr>
                <w:color w:val="auto"/>
                <w:sz w:val="24"/>
                <w:highlight w:val="none"/>
              </w:rPr>
              <w:t>保洁废水产生系数按</w:t>
            </w:r>
            <w:r>
              <w:rPr>
                <w:rFonts w:hint="eastAsia"/>
                <w:color w:val="auto"/>
                <w:sz w:val="24"/>
                <w:highlight w:val="none"/>
                <w:lang w:val="en-US" w:eastAsia="zh-CN"/>
              </w:rPr>
              <w:t>0.90</w:t>
            </w:r>
            <w:r>
              <w:rPr>
                <w:color w:val="auto"/>
                <w:sz w:val="24"/>
                <w:highlight w:val="none"/>
              </w:rPr>
              <w:t>计，则保洁废水产生量为</w:t>
            </w:r>
            <w:r>
              <w:rPr>
                <w:rFonts w:hint="eastAsia"/>
                <w:color w:val="auto"/>
                <w:sz w:val="24"/>
                <w:highlight w:val="none"/>
                <w:lang w:val="en-US" w:eastAsia="zh-CN"/>
              </w:rPr>
              <w:t>0.140t</w:t>
            </w:r>
            <w:r>
              <w:rPr>
                <w:color w:val="auto"/>
                <w:sz w:val="24"/>
                <w:highlight w:val="none"/>
              </w:rPr>
              <w:t>/d，</w:t>
            </w:r>
            <w:r>
              <w:rPr>
                <w:rFonts w:hint="eastAsia"/>
                <w:color w:val="auto"/>
                <w:sz w:val="24"/>
                <w:highlight w:val="none"/>
                <w:lang w:val="en-US" w:eastAsia="zh-CN"/>
              </w:rPr>
              <w:t>42.12</w:t>
            </w:r>
            <w:r>
              <w:rPr>
                <w:color w:val="auto"/>
                <w:sz w:val="24"/>
                <w:highlight w:val="none"/>
              </w:rPr>
              <w:t>t/a。经化粪池</w:t>
            </w:r>
            <w:r>
              <w:rPr>
                <w:rFonts w:hint="eastAsia"/>
                <w:color w:val="auto"/>
                <w:sz w:val="24"/>
                <w:highlight w:val="none"/>
              </w:rPr>
              <w:t>收集</w:t>
            </w:r>
            <w:r>
              <w:rPr>
                <w:color w:val="auto"/>
                <w:sz w:val="24"/>
                <w:highlight w:val="none"/>
              </w:rPr>
              <w:t>后</w:t>
            </w:r>
            <w:r>
              <w:rPr>
                <w:rFonts w:hint="eastAsia"/>
                <w:color w:val="auto"/>
                <w:sz w:val="24"/>
                <w:highlight w:val="none"/>
                <w:lang w:eastAsia="zh-CN"/>
              </w:rPr>
              <w:t>排入</w:t>
            </w:r>
            <w:r>
              <w:rPr>
                <w:rFonts w:hint="eastAsia" w:ascii="Times New Roman" w:hAnsi="Times New Roman" w:cs="Times New Roman"/>
                <w:bCs/>
                <w:color w:val="auto"/>
                <w:sz w:val="24"/>
                <w:szCs w:val="24"/>
                <w:highlight w:val="none"/>
                <w:lang w:val="zh-CN"/>
              </w:rPr>
              <w:t>宿州市循环经济示范园污水处理厂。</w:t>
            </w:r>
          </w:p>
          <w:p w14:paraId="5B7F86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32"/>
                <w:highlight w:val="none"/>
                <w:lang w:eastAsia="zh-CN"/>
              </w:rPr>
            </w:pPr>
            <w:r>
              <w:rPr>
                <w:rFonts w:hint="default" w:ascii="Times New Roman" w:hAnsi="Times New Roman" w:eastAsia="宋体" w:cs="Times New Roman"/>
                <w:color w:val="auto"/>
                <w:sz w:val="24"/>
                <w:szCs w:val="32"/>
                <w:highlight w:val="none"/>
              </w:rPr>
              <w:t>③</w:t>
            </w:r>
            <w:r>
              <w:rPr>
                <w:rFonts w:hint="eastAsia"/>
                <w:color w:val="auto"/>
                <w:sz w:val="24"/>
                <w:szCs w:val="32"/>
                <w:highlight w:val="none"/>
                <w:lang w:eastAsia="zh-CN"/>
              </w:rPr>
              <w:t>实验室废水</w:t>
            </w:r>
          </w:p>
          <w:p w14:paraId="4746B0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szCs w:val="32"/>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bidi="ar"/>
              </w:rPr>
              <w:t>本项目每天对第一瓶/桶水进行</w:t>
            </w:r>
            <w:r>
              <w:rPr>
                <w:rFonts w:hint="eastAsia" w:ascii="Times New Roman" w:hAnsi="Times New Roman" w:eastAsia="宋体" w:cs="Times New Roman"/>
                <w:b w:val="0"/>
                <w:bCs w:val="0"/>
                <w:color w:val="auto"/>
                <w:kern w:val="0"/>
                <w:sz w:val="24"/>
                <w:szCs w:val="24"/>
                <w:highlight w:val="none"/>
                <w:lang w:val="en-US" w:eastAsia="zh-CN" w:bidi="ar"/>
              </w:rPr>
              <w:t>质检</w:t>
            </w:r>
            <w:r>
              <w:rPr>
                <w:rFonts w:hint="default" w:ascii="Times New Roman" w:hAnsi="Times New Roman" w:eastAsia="宋体" w:cs="Times New Roman"/>
                <w:b w:val="0"/>
                <w:bCs w:val="0"/>
                <w:color w:val="auto"/>
                <w:kern w:val="0"/>
                <w:sz w:val="24"/>
                <w:szCs w:val="24"/>
                <w:highlight w:val="none"/>
                <w:lang w:val="en-US" w:eastAsia="zh-CN" w:bidi="ar"/>
              </w:rPr>
              <w:t>，</w:t>
            </w:r>
            <w:r>
              <w:rPr>
                <w:color w:val="auto"/>
                <w:sz w:val="24"/>
                <w:highlight w:val="none"/>
              </w:rPr>
              <w:t>产生系数按</w:t>
            </w:r>
            <w:r>
              <w:rPr>
                <w:rFonts w:hint="eastAsia"/>
                <w:color w:val="auto"/>
                <w:sz w:val="24"/>
                <w:highlight w:val="none"/>
                <w:lang w:val="en-US" w:eastAsia="zh-CN"/>
              </w:rPr>
              <w:t>0.90</w:t>
            </w:r>
            <w:r>
              <w:rPr>
                <w:color w:val="auto"/>
                <w:sz w:val="24"/>
                <w:highlight w:val="none"/>
              </w:rPr>
              <w:t>计</w:t>
            </w:r>
            <w:r>
              <w:rPr>
                <w:rFonts w:hint="eastAsia"/>
                <w:color w:val="auto"/>
                <w:sz w:val="24"/>
                <w:highlight w:val="none"/>
                <w:lang w:eastAsia="zh-CN"/>
              </w:rPr>
              <w:t>，则实验室废水产生量为</w:t>
            </w:r>
            <w:r>
              <w:rPr>
                <w:rFonts w:hint="eastAsia"/>
                <w:color w:val="auto"/>
                <w:sz w:val="24"/>
                <w:szCs w:val="32"/>
                <w:highlight w:val="none"/>
                <w:lang w:val="en-US" w:eastAsia="zh-CN"/>
              </w:rPr>
              <w:t>0.140</w:t>
            </w:r>
            <w:r>
              <w:rPr>
                <w:rFonts w:hint="default"/>
                <w:color w:val="auto"/>
                <w:sz w:val="24"/>
                <w:szCs w:val="32"/>
                <w:highlight w:val="none"/>
                <w:lang w:val="en-US" w:eastAsia="zh-CN"/>
              </w:rPr>
              <w:t>m</w:t>
            </w:r>
            <w:r>
              <w:rPr>
                <w:rFonts w:hint="default"/>
                <w:color w:val="auto"/>
                <w:sz w:val="24"/>
                <w:szCs w:val="32"/>
                <w:highlight w:val="none"/>
                <w:vertAlign w:val="superscript"/>
                <w:lang w:val="en-US" w:eastAsia="zh-CN"/>
              </w:rPr>
              <w:t>3</w:t>
            </w:r>
            <w:r>
              <w:rPr>
                <w:rFonts w:hint="default"/>
                <w:color w:val="auto"/>
                <w:sz w:val="24"/>
                <w:szCs w:val="32"/>
                <w:highlight w:val="none"/>
                <w:lang w:val="en-US" w:eastAsia="zh-CN"/>
              </w:rPr>
              <w:t>/</w:t>
            </w:r>
            <w:r>
              <w:rPr>
                <w:rFonts w:hint="eastAsia"/>
                <w:color w:val="auto"/>
                <w:sz w:val="24"/>
                <w:szCs w:val="32"/>
                <w:highlight w:val="none"/>
                <w:lang w:val="en-US" w:eastAsia="zh-CN"/>
              </w:rPr>
              <w:t>d，42.12</w:t>
            </w:r>
            <w:r>
              <w:rPr>
                <w:rFonts w:hint="default"/>
                <w:color w:val="auto"/>
                <w:sz w:val="24"/>
                <w:szCs w:val="32"/>
                <w:highlight w:val="none"/>
                <w:lang w:val="en-US" w:eastAsia="zh-CN"/>
              </w:rPr>
              <w:t>m</w:t>
            </w:r>
            <w:r>
              <w:rPr>
                <w:rFonts w:hint="default"/>
                <w:color w:val="auto"/>
                <w:sz w:val="24"/>
                <w:szCs w:val="32"/>
                <w:highlight w:val="none"/>
                <w:vertAlign w:val="superscript"/>
                <w:lang w:val="en-US" w:eastAsia="zh-CN"/>
              </w:rPr>
              <w:t>3</w:t>
            </w:r>
            <w:r>
              <w:rPr>
                <w:rFonts w:hint="eastAsia"/>
                <w:color w:val="auto"/>
                <w:sz w:val="24"/>
                <w:szCs w:val="32"/>
                <w:highlight w:val="none"/>
                <w:lang w:val="en-US" w:eastAsia="zh-CN"/>
              </w:rPr>
              <w:t>/a。</w:t>
            </w:r>
          </w:p>
          <w:p w14:paraId="27D223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32"/>
                <w:highlight w:val="none"/>
              </w:rPr>
            </w:pPr>
            <w:r>
              <w:rPr>
                <w:rFonts w:hint="eastAsia" w:ascii="宋体" w:hAnsi="宋体" w:eastAsia="宋体" w:cs="宋体"/>
                <w:color w:val="auto"/>
                <w:sz w:val="24"/>
                <w:szCs w:val="32"/>
                <w:highlight w:val="none"/>
              </w:rPr>
              <w:t>④</w:t>
            </w:r>
            <w:r>
              <w:rPr>
                <w:rFonts w:hint="default" w:ascii="Times New Roman" w:hAnsi="Times New Roman" w:eastAsia="宋体" w:cs="Times New Roman"/>
                <w:b w:val="0"/>
                <w:bCs w:val="0"/>
                <w:color w:val="auto"/>
                <w:kern w:val="0"/>
                <w:sz w:val="24"/>
                <w:szCs w:val="24"/>
                <w:highlight w:val="none"/>
                <w:lang w:val="en-US" w:eastAsia="zh-CN" w:bidi="ar"/>
              </w:rPr>
              <w:t>瓶/桶/盖</w:t>
            </w:r>
            <w:r>
              <w:rPr>
                <w:rFonts w:hint="default" w:ascii="Times New Roman" w:hAnsi="Times New Roman" w:eastAsia="宋体" w:cs="Times New Roman"/>
                <w:color w:val="auto"/>
                <w:sz w:val="24"/>
                <w:szCs w:val="32"/>
                <w:highlight w:val="none"/>
                <w:lang w:eastAsia="zh-CN"/>
              </w:rPr>
              <w:t>清洗</w:t>
            </w:r>
            <w:r>
              <w:rPr>
                <w:rFonts w:hint="eastAsia" w:ascii="Times New Roman" w:hAnsi="Times New Roman" w:cs="Times New Roman"/>
                <w:color w:val="auto"/>
                <w:sz w:val="24"/>
                <w:szCs w:val="32"/>
                <w:highlight w:val="none"/>
                <w:lang w:eastAsia="zh-CN"/>
              </w:rPr>
              <w:t>废</w:t>
            </w:r>
            <w:r>
              <w:rPr>
                <w:rFonts w:hint="default" w:ascii="Times New Roman" w:hAnsi="Times New Roman" w:cs="Times New Roman"/>
                <w:color w:val="auto"/>
                <w:sz w:val="24"/>
                <w:szCs w:val="32"/>
                <w:highlight w:val="none"/>
              </w:rPr>
              <w:t>水</w:t>
            </w:r>
          </w:p>
          <w:p w14:paraId="084BCD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highlight w:val="none"/>
                <w:lang w:val="en-US" w:eastAsia="zh-CN"/>
              </w:rPr>
            </w:pPr>
            <w:r>
              <w:rPr>
                <w:rFonts w:hint="eastAsia"/>
                <w:color w:val="auto"/>
                <w:sz w:val="24"/>
                <w:szCs w:val="32"/>
                <w:highlight w:val="none"/>
                <w:lang w:eastAsia="zh-CN"/>
              </w:rPr>
              <w:t>本项目对瓶</w:t>
            </w:r>
            <w:r>
              <w:rPr>
                <w:rFonts w:hint="eastAsia"/>
                <w:color w:val="auto"/>
                <w:sz w:val="24"/>
                <w:szCs w:val="32"/>
                <w:highlight w:val="none"/>
                <w:lang w:val="en-US" w:eastAsia="zh-CN"/>
              </w:rPr>
              <w:t>/桶/盖清洗产生的废水，无损耗产生，则</w:t>
            </w:r>
            <w:r>
              <w:rPr>
                <w:rFonts w:hint="default" w:ascii="Times New Roman" w:hAnsi="Times New Roman" w:eastAsia="宋体" w:cs="Times New Roman"/>
                <w:b w:val="0"/>
                <w:bCs w:val="0"/>
                <w:color w:val="auto"/>
                <w:kern w:val="0"/>
                <w:sz w:val="24"/>
                <w:szCs w:val="24"/>
                <w:highlight w:val="none"/>
                <w:lang w:val="en-US" w:eastAsia="zh-CN" w:bidi="ar"/>
              </w:rPr>
              <w:t>瓶/桶/盖</w:t>
            </w:r>
            <w:r>
              <w:rPr>
                <w:rFonts w:hint="default" w:ascii="Times New Roman" w:hAnsi="Times New Roman" w:eastAsia="宋体" w:cs="Times New Roman"/>
                <w:color w:val="auto"/>
                <w:sz w:val="24"/>
                <w:szCs w:val="32"/>
                <w:highlight w:val="none"/>
                <w:lang w:eastAsia="zh-CN"/>
              </w:rPr>
              <w:t>清洗</w:t>
            </w:r>
            <w:r>
              <w:rPr>
                <w:rFonts w:hint="eastAsia" w:ascii="Times New Roman" w:hAnsi="Times New Roman" w:cs="Times New Roman"/>
                <w:color w:val="auto"/>
                <w:sz w:val="24"/>
                <w:szCs w:val="32"/>
                <w:highlight w:val="none"/>
                <w:lang w:eastAsia="zh-CN"/>
              </w:rPr>
              <w:t>废</w:t>
            </w:r>
            <w:r>
              <w:rPr>
                <w:rFonts w:hint="default" w:ascii="Times New Roman" w:hAnsi="Times New Roman" w:cs="Times New Roman"/>
                <w:color w:val="auto"/>
                <w:sz w:val="24"/>
                <w:szCs w:val="32"/>
                <w:highlight w:val="none"/>
              </w:rPr>
              <w:t>水</w:t>
            </w:r>
            <w:r>
              <w:rPr>
                <w:rFonts w:hint="eastAsia" w:ascii="Times New Roman" w:hAnsi="Times New Roman" w:cs="Times New Roman"/>
                <w:color w:val="auto"/>
                <w:sz w:val="24"/>
                <w:szCs w:val="32"/>
                <w:highlight w:val="none"/>
                <w:lang w:eastAsia="zh-CN"/>
              </w:rPr>
              <w:t>产生量为</w:t>
            </w:r>
            <w:r>
              <w:rPr>
                <w:rFonts w:hint="eastAsia" w:ascii="Times New Roman" w:hAnsi="Times New Roman" w:cs="Times New Roman"/>
                <w:color w:val="auto"/>
                <w:sz w:val="24"/>
                <w:szCs w:val="32"/>
                <w:highlight w:val="none"/>
                <w:lang w:val="en-US" w:eastAsia="zh-CN"/>
              </w:rPr>
              <w:t>0.</w:t>
            </w:r>
            <w:r>
              <w:rPr>
                <w:rFonts w:hint="eastAsia" w:cs="Times New Roman"/>
                <w:color w:val="auto"/>
                <w:sz w:val="24"/>
                <w:szCs w:val="32"/>
                <w:highlight w:val="none"/>
                <w:lang w:val="en-US" w:eastAsia="zh-CN"/>
              </w:rPr>
              <w:t>6</w:t>
            </w:r>
            <w:r>
              <w:rPr>
                <w:rFonts w:hint="default"/>
                <w:color w:val="auto"/>
                <w:sz w:val="24"/>
                <w:szCs w:val="32"/>
                <w:highlight w:val="none"/>
                <w:lang w:val="en-US" w:eastAsia="zh-CN"/>
              </w:rPr>
              <w:t>m</w:t>
            </w:r>
            <w:r>
              <w:rPr>
                <w:rFonts w:hint="default"/>
                <w:color w:val="auto"/>
                <w:sz w:val="24"/>
                <w:szCs w:val="32"/>
                <w:highlight w:val="none"/>
                <w:vertAlign w:val="superscript"/>
                <w:lang w:val="en-US" w:eastAsia="zh-CN"/>
              </w:rPr>
              <w:t>3</w:t>
            </w:r>
            <w:r>
              <w:rPr>
                <w:rFonts w:hint="default"/>
                <w:color w:val="auto"/>
                <w:sz w:val="24"/>
                <w:szCs w:val="32"/>
                <w:highlight w:val="none"/>
                <w:lang w:val="en-US" w:eastAsia="zh-CN"/>
              </w:rPr>
              <w:t>/</w:t>
            </w:r>
            <w:r>
              <w:rPr>
                <w:rFonts w:hint="eastAsia"/>
                <w:color w:val="auto"/>
                <w:sz w:val="24"/>
                <w:szCs w:val="32"/>
                <w:highlight w:val="none"/>
                <w:lang w:val="en-US" w:eastAsia="zh-CN"/>
              </w:rPr>
              <w:t>d，180</w:t>
            </w:r>
            <w:r>
              <w:rPr>
                <w:rFonts w:hint="default"/>
                <w:color w:val="auto"/>
                <w:sz w:val="24"/>
                <w:szCs w:val="32"/>
                <w:highlight w:val="none"/>
                <w:lang w:val="en-US" w:eastAsia="zh-CN"/>
              </w:rPr>
              <w:t>m</w:t>
            </w:r>
            <w:r>
              <w:rPr>
                <w:rFonts w:hint="default"/>
                <w:color w:val="auto"/>
                <w:sz w:val="24"/>
                <w:szCs w:val="32"/>
                <w:highlight w:val="none"/>
                <w:vertAlign w:val="superscript"/>
                <w:lang w:val="en-US" w:eastAsia="zh-CN"/>
              </w:rPr>
              <w:t>3</w:t>
            </w:r>
            <w:r>
              <w:rPr>
                <w:rFonts w:hint="eastAsia"/>
                <w:color w:val="auto"/>
                <w:sz w:val="24"/>
                <w:szCs w:val="32"/>
                <w:highlight w:val="none"/>
                <w:lang w:val="en-US" w:eastAsia="zh-CN"/>
              </w:rPr>
              <w:t>/a。</w:t>
            </w:r>
          </w:p>
          <w:p w14:paraId="45739E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32"/>
                <w:highlight w:val="none"/>
              </w:rPr>
            </w:pPr>
            <w:r>
              <w:rPr>
                <w:rFonts w:hint="eastAsia" w:ascii="宋体" w:hAnsi="宋体" w:eastAsia="宋体" w:cs="宋体"/>
                <w:color w:val="auto"/>
                <w:sz w:val="24"/>
                <w:szCs w:val="32"/>
                <w:highlight w:val="none"/>
                <w:lang w:eastAsia="zh-CN"/>
              </w:rPr>
              <w:t>⑤</w:t>
            </w:r>
            <w:r>
              <w:rPr>
                <w:rFonts w:hint="eastAsia" w:cs="Times New Roman"/>
                <w:color w:val="auto"/>
                <w:sz w:val="24"/>
                <w:szCs w:val="32"/>
                <w:highlight w:val="none"/>
                <w:lang w:eastAsia="zh-CN"/>
              </w:rPr>
              <w:t>设备清洗废水</w:t>
            </w:r>
          </w:p>
          <w:p w14:paraId="53078BA5">
            <w:pPr>
              <w:spacing w:line="360" w:lineRule="auto"/>
              <w:ind w:firstLine="480" w:firstLineChars="200"/>
              <w:rPr>
                <w:rFonts w:hint="eastAsia"/>
                <w:color w:val="auto"/>
                <w:sz w:val="24"/>
                <w:szCs w:val="32"/>
                <w:highlight w:val="none"/>
                <w:lang w:val="en-US" w:eastAsia="zh-CN"/>
              </w:rPr>
            </w:pPr>
            <w:r>
              <w:rPr>
                <w:rFonts w:hint="eastAsia" w:ascii="Times New Roman" w:hAnsi="Times New Roman" w:eastAsia="宋体" w:cs="Times New Roman"/>
                <w:color w:val="auto"/>
                <w:sz w:val="24"/>
                <w:szCs w:val="32"/>
                <w:highlight w:val="none"/>
                <w:lang w:eastAsia="zh-CN"/>
              </w:rPr>
              <w:t>本项目水处理间设备清洗产生的废水</w:t>
            </w:r>
            <w:r>
              <w:rPr>
                <w:rFonts w:hint="eastAsia" w:ascii="Times New Roman" w:hAnsi="Times New Roman" w:eastAsia="宋体" w:cs="Times New Roman"/>
                <w:color w:val="auto"/>
                <w:sz w:val="24"/>
                <w:szCs w:val="32"/>
                <w:highlight w:val="none"/>
                <w:lang w:val="en-US" w:eastAsia="zh-CN"/>
              </w:rPr>
              <w:t>，</w:t>
            </w:r>
            <w:r>
              <w:rPr>
                <w:rFonts w:hint="eastAsia"/>
                <w:color w:val="auto"/>
                <w:sz w:val="24"/>
                <w:szCs w:val="32"/>
                <w:highlight w:val="none"/>
                <w:lang w:val="en-US" w:eastAsia="zh-CN"/>
              </w:rPr>
              <w:t>无损耗产生，</w:t>
            </w:r>
            <w:r>
              <w:rPr>
                <w:rFonts w:hint="eastAsia" w:ascii="Times New Roman" w:hAnsi="Times New Roman" w:eastAsia="宋体" w:cs="Times New Roman"/>
                <w:color w:val="auto"/>
                <w:sz w:val="24"/>
                <w:szCs w:val="32"/>
                <w:highlight w:val="none"/>
                <w:lang w:val="en-US" w:eastAsia="zh-CN"/>
              </w:rPr>
              <w:t>则</w:t>
            </w:r>
            <w:r>
              <w:rPr>
                <w:rFonts w:hint="eastAsia" w:cs="Times New Roman"/>
                <w:color w:val="auto"/>
                <w:sz w:val="24"/>
                <w:szCs w:val="32"/>
                <w:highlight w:val="none"/>
                <w:lang w:eastAsia="zh-CN"/>
              </w:rPr>
              <w:t>设备清洗废水产生量为</w:t>
            </w:r>
            <w:r>
              <w:rPr>
                <w:rFonts w:hint="eastAsia" w:cs="Times New Roman"/>
                <w:color w:val="auto"/>
                <w:sz w:val="24"/>
                <w:szCs w:val="32"/>
                <w:highlight w:val="none"/>
                <w:lang w:val="en-US" w:eastAsia="zh-CN"/>
              </w:rPr>
              <w:t>0.5</w:t>
            </w:r>
            <w:r>
              <w:rPr>
                <w:rFonts w:hint="default"/>
                <w:color w:val="auto"/>
                <w:sz w:val="24"/>
                <w:szCs w:val="32"/>
                <w:highlight w:val="none"/>
                <w:lang w:val="en-US" w:eastAsia="zh-CN"/>
              </w:rPr>
              <w:t>m</w:t>
            </w:r>
            <w:r>
              <w:rPr>
                <w:rFonts w:hint="default"/>
                <w:color w:val="auto"/>
                <w:sz w:val="24"/>
                <w:szCs w:val="32"/>
                <w:highlight w:val="none"/>
                <w:vertAlign w:val="superscript"/>
                <w:lang w:val="en-US" w:eastAsia="zh-CN"/>
              </w:rPr>
              <w:t>3</w:t>
            </w:r>
            <w:r>
              <w:rPr>
                <w:rFonts w:hint="default"/>
                <w:color w:val="auto"/>
                <w:sz w:val="24"/>
                <w:szCs w:val="32"/>
                <w:highlight w:val="none"/>
                <w:lang w:val="en-US" w:eastAsia="zh-CN"/>
              </w:rPr>
              <w:t>/</w:t>
            </w:r>
            <w:r>
              <w:rPr>
                <w:rFonts w:hint="eastAsia"/>
                <w:color w:val="auto"/>
                <w:sz w:val="24"/>
                <w:szCs w:val="32"/>
                <w:highlight w:val="none"/>
                <w:lang w:val="en-US" w:eastAsia="zh-CN"/>
              </w:rPr>
              <w:t>d，150</w:t>
            </w:r>
            <w:r>
              <w:rPr>
                <w:rFonts w:hint="default"/>
                <w:color w:val="auto"/>
                <w:sz w:val="24"/>
                <w:szCs w:val="32"/>
                <w:highlight w:val="none"/>
                <w:lang w:val="en-US" w:eastAsia="zh-CN"/>
              </w:rPr>
              <w:t>m</w:t>
            </w:r>
            <w:r>
              <w:rPr>
                <w:rFonts w:hint="default"/>
                <w:color w:val="auto"/>
                <w:sz w:val="24"/>
                <w:szCs w:val="32"/>
                <w:highlight w:val="none"/>
                <w:vertAlign w:val="superscript"/>
                <w:lang w:val="en-US" w:eastAsia="zh-CN"/>
              </w:rPr>
              <w:t>3</w:t>
            </w:r>
            <w:r>
              <w:rPr>
                <w:rFonts w:hint="eastAsia"/>
                <w:color w:val="auto"/>
                <w:sz w:val="24"/>
                <w:szCs w:val="32"/>
                <w:highlight w:val="none"/>
                <w:lang w:val="en-US" w:eastAsia="zh-CN"/>
              </w:rPr>
              <w:t>/a。</w:t>
            </w:r>
          </w:p>
          <w:p w14:paraId="3B5599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微软雅黑" w:cs="Times New Roman"/>
                <w:bCs/>
                <w:color w:val="auto"/>
                <w:sz w:val="24"/>
                <w:highlight w:val="none"/>
                <w:lang w:val="en-US" w:eastAsia="zh-CN"/>
              </w:rPr>
            </w:pPr>
            <w:r>
              <w:rPr>
                <w:rFonts w:hint="default" w:ascii="Times New Roman" w:hAnsi="Times New Roman" w:eastAsia="宋体" w:cs="Times New Roman"/>
                <w:bCs/>
                <w:color w:val="auto"/>
                <w:sz w:val="24"/>
                <w:highlight w:val="none"/>
              </w:rPr>
              <w:t>⑥</w:t>
            </w:r>
            <w:r>
              <w:rPr>
                <w:rFonts w:hint="eastAsia" w:cs="Times New Roman"/>
                <w:bCs/>
                <w:color w:val="auto"/>
                <w:sz w:val="24"/>
                <w:highlight w:val="none"/>
                <w:lang w:eastAsia="zh-CN"/>
              </w:rPr>
              <w:t>纯净水</w:t>
            </w:r>
            <w:r>
              <w:rPr>
                <w:rFonts w:hint="default" w:ascii="Times New Roman" w:hAnsi="Times New Roman" w:eastAsia="宋体" w:cs="Times New Roman"/>
                <w:bCs/>
                <w:color w:val="auto"/>
                <w:sz w:val="24"/>
                <w:highlight w:val="none"/>
                <w:lang w:eastAsia="zh-CN"/>
              </w:rPr>
              <w:t>制备浓水</w:t>
            </w:r>
          </w:p>
          <w:p w14:paraId="708CCF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eastAsia="zh-CN"/>
              </w:rPr>
              <w:t>本项目在水处理间制备纯净水时，会有浓水产生，产量量为</w:t>
            </w:r>
            <w:r>
              <w:rPr>
                <w:rFonts w:hint="eastAsia" w:cs="Times New Roman"/>
                <w:bCs/>
                <w:color w:val="auto"/>
                <w:sz w:val="24"/>
                <w:highlight w:val="none"/>
                <w:lang w:val="en-US" w:eastAsia="zh-CN"/>
              </w:rPr>
              <w:t>5089.45t/a，16.965t/d。</w:t>
            </w:r>
          </w:p>
          <w:p w14:paraId="307627A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cs="Times New Roman"/>
                <w:bCs/>
                <w:color w:val="auto"/>
                <w:sz w:val="24"/>
                <w:highlight w:val="none"/>
              </w:rPr>
              <w:t>综上所述，本项目的用水情况汇总如下：</w:t>
            </w:r>
            <w:r>
              <w:rPr>
                <w:rFonts w:hint="default" w:ascii="Times New Roman" w:hAnsi="Times New Roman" w:eastAsia="宋体" w:cs="Times New Roman"/>
                <w:b/>
                <w:color w:val="auto"/>
                <w:sz w:val="24"/>
                <w:szCs w:val="24"/>
                <w:highlight w:val="none"/>
              </w:rPr>
              <w:t xml:space="preserve"> </w:t>
            </w:r>
          </w:p>
          <w:p w14:paraId="26504B07">
            <w:pPr>
              <w:keepNext w:val="0"/>
              <w:keepLines w:val="0"/>
              <w:pageBreakBefore w:val="0"/>
              <w:widowControl w:val="0"/>
              <w:kinsoku/>
              <w:wordWrap/>
              <w:overflowPunct/>
              <w:topLinePunct w:val="0"/>
              <w:autoSpaceDE/>
              <w:autoSpaceDN/>
              <w:bidi w:val="0"/>
              <w:adjustRightInd/>
              <w:snapToGrid/>
              <w:spacing w:before="157" w:beforeLines="50" w:line="240" w:lineRule="auto"/>
              <w:ind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2-</w:t>
            </w:r>
            <w:r>
              <w:rPr>
                <w:rFonts w:hint="eastAsia"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  建设项目用水量分析表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83"/>
              <w:gridCol w:w="1214"/>
              <w:gridCol w:w="883"/>
              <w:gridCol w:w="871"/>
              <w:gridCol w:w="883"/>
              <w:gridCol w:w="871"/>
              <w:gridCol w:w="1004"/>
              <w:gridCol w:w="1185"/>
            </w:tblGrid>
            <w:tr w14:paraId="7008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27" w:type="dxa"/>
                  <w:noWrap w:val="0"/>
                  <w:vAlign w:val="center"/>
                </w:tcPr>
                <w:p w14:paraId="632121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
                      <w:bCs/>
                      <w:color w:val="auto"/>
                      <w:sz w:val="21"/>
                      <w:szCs w:val="21"/>
                      <w:highlight w:val="none"/>
                    </w:rPr>
                  </w:pPr>
                  <w:r>
                    <w:rPr>
                      <w:rFonts w:hAnsi="宋体"/>
                      <w:b/>
                      <w:bCs/>
                      <w:color w:val="auto"/>
                      <w:sz w:val="21"/>
                      <w:szCs w:val="21"/>
                      <w:highlight w:val="none"/>
                    </w:rPr>
                    <w:t>名称</w:t>
                  </w:r>
                </w:p>
              </w:tc>
              <w:tc>
                <w:tcPr>
                  <w:tcW w:w="883" w:type="dxa"/>
                  <w:noWrap w:val="0"/>
                  <w:vAlign w:val="center"/>
                </w:tcPr>
                <w:p w14:paraId="39D54E5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lang w:eastAsia="zh-CN"/>
                    </w:rPr>
                    <w:t>新鲜水</w:t>
                  </w:r>
                  <w:r>
                    <w:rPr>
                      <w:rFonts w:hint="default" w:ascii="Times New Roman" w:hAnsi="Times New Roman" w:cs="Times New Roman"/>
                      <w:b/>
                      <w:bCs/>
                      <w:color w:val="auto"/>
                      <w:sz w:val="21"/>
                      <w:szCs w:val="21"/>
                      <w:highlight w:val="none"/>
                    </w:rPr>
                    <w:t>用水量（</w:t>
                  </w:r>
                  <w:r>
                    <w:rPr>
                      <w:rFonts w:hint="eastAsia" w:ascii="Times New Roman" w:hAnsi="Times New Roman" w:cs="Times New Roman"/>
                      <w:b/>
                      <w:bCs/>
                      <w:color w:val="auto"/>
                      <w:sz w:val="21"/>
                      <w:szCs w:val="21"/>
                      <w:highlight w:val="none"/>
                      <w:lang w:val="en-US" w:eastAsia="zh-CN"/>
                    </w:rPr>
                    <w:t>t</w:t>
                  </w:r>
                  <w:r>
                    <w:rPr>
                      <w:rFonts w:hint="default"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d</w:t>
                  </w:r>
                  <w:r>
                    <w:rPr>
                      <w:rFonts w:hint="default" w:ascii="Times New Roman" w:hAnsi="Times New Roman" w:cs="Times New Roman"/>
                      <w:b/>
                      <w:bCs/>
                      <w:color w:val="auto"/>
                      <w:sz w:val="21"/>
                      <w:szCs w:val="21"/>
                      <w:highlight w:val="none"/>
                    </w:rPr>
                    <w:t>）</w:t>
                  </w:r>
                </w:p>
              </w:tc>
              <w:tc>
                <w:tcPr>
                  <w:tcW w:w="1214" w:type="dxa"/>
                  <w:noWrap w:val="0"/>
                  <w:vAlign w:val="center"/>
                </w:tcPr>
                <w:p w14:paraId="3D61109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lang w:eastAsia="zh-CN"/>
                    </w:rPr>
                    <w:t>新鲜水</w:t>
                  </w:r>
                  <w:r>
                    <w:rPr>
                      <w:rFonts w:hint="default" w:ascii="Times New Roman" w:hAnsi="Times New Roman" w:cs="Times New Roman"/>
                      <w:b/>
                      <w:bCs/>
                      <w:color w:val="auto"/>
                      <w:sz w:val="21"/>
                      <w:szCs w:val="21"/>
                      <w:highlight w:val="none"/>
                    </w:rPr>
                    <w:t>用水量（</w:t>
                  </w:r>
                  <w:r>
                    <w:rPr>
                      <w:rFonts w:hint="eastAsia" w:ascii="Times New Roman" w:hAnsi="Times New Roman" w:cs="Times New Roman"/>
                      <w:b/>
                      <w:bCs/>
                      <w:color w:val="auto"/>
                      <w:sz w:val="21"/>
                      <w:szCs w:val="21"/>
                      <w:highlight w:val="none"/>
                      <w:lang w:val="en-US" w:eastAsia="zh-CN"/>
                    </w:rPr>
                    <w:t>t</w:t>
                  </w:r>
                  <w:r>
                    <w:rPr>
                      <w:rFonts w:hint="default" w:ascii="Times New Roman" w:hAnsi="Times New Roman" w:cs="Times New Roman"/>
                      <w:b/>
                      <w:bCs/>
                      <w:color w:val="auto"/>
                      <w:sz w:val="21"/>
                      <w:szCs w:val="21"/>
                      <w:highlight w:val="none"/>
                    </w:rPr>
                    <w:t>/</w:t>
                  </w:r>
                  <w:r>
                    <w:rPr>
                      <w:rFonts w:hint="default" w:ascii="Times New Roman" w:hAnsi="Times New Roman" w:cs="Times New Roman"/>
                      <w:b/>
                      <w:bCs/>
                      <w:color w:val="auto"/>
                      <w:sz w:val="21"/>
                      <w:szCs w:val="21"/>
                      <w:highlight w:val="none"/>
                      <w:lang w:val="en-US" w:eastAsia="zh-CN"/>
                    </w:rPr>
                    <w:t>a</w:t>
                  </w:r>
                  <w:r>
                    <w:rPr>
                      <w:rFonts w:hint="default" w:ascii="Times New Roman" w:hAnsi="Times New Roman" w:cs="Times New Roman"/>
                      <w:b/>
                      <w:bCs/>
                      <w:color w:val="auto"/>
                      <w:sz w:val="21"/>
                      <w:szCs w:val="21"/>
                      <w:highlight w:val="none"/>
                    </w:rPr>
                    <w:t>）</w:t>
                  </w:r>
                </w:p>
              </w:tc>
              <w:tc>
                <w:tcPr>
                  <w:tcW w:w="883" w:type="dxa"/>
                  <w:noWrap w:val="0"/>
                  <w:vAlign w:val="center"/>
                </w:tcPr>
                <w:p w14:paraId="4ABAE5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cs="Times New Roman"/>
                      <w:b/>
                      <w:bCs/>
                      <w:color w:val="auto"/>
                      <w:sz w:val="21"/>
                      <w:szCs w:val="21"/>
                      <w:highlight w:val="none"/>
                      <w:lang w:eastAsia="zh-CN"/>
                    </w:rPr>
                  </w:pPr>
                  <w:r>
                    <w:rPr>
                      <w:rFonts w:hint="eastAsia" w:cs="Times New Roman"/>
                      <w:b/>
                      <w:bCs/>
                      <w:color w:val="auto"/>
                      <w:sz w:val="21"/>
                      <w:szCs w:val="21"/>
                      <w:highlight w:val="none"/>
                      <w:lang w:eastAsia="zh-CN"/>
                    </w:rPr>
                    <w:t>纯净水用量</w:t>
                  </w:r>
                  <w:r>
                    <w:rPr>
                      <w:rFonts w:hint="default"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t</w:t>
                  </w:r>
                  <w:r>
                    <w:rPr>
                      <w:rFonts w:hint="default"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d</w:t>
                  </w:r>
                  <w:r>
                    <w:rPr>
                      <w:rFonts w:hint="default" w:ascii="Times New Roman" w:hAnsi="Times New Roman" w:cs="Times New Roman"/>
                      <w:b/>
                      <w:bCs/>
                      <w:color w:val="auto"/>
                      <w:sz w:val="21"/>
                      <w:szCs w:val="21"/>
                      <w:highlight w:val="none"/>
                    </w:rPr>
                    <w:t>）</w:t>
                  </w:r>
                </w:p>
              </w:tc>
              <w:tc>
                <w:tcPr>
                  <w:tcW w:w="871" w:type="dxa"/>
                  <w:noWrap w:val="0"/>
                  <w:vAlign w:val="center"/>
                </w:tcPr>
                <w:p w14:paraId="5877623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cs="Times New Roman"/>
                      <w:b/>
                      <w:bCs/>
                      <w:color w:val="auto"/>
                      <w:sz w:val="21"/>
                      <w:szCs w:val="21"/>
                      <w:highlight w:val="none"/>
                      <w:lang w:eastAsia="zh-CN"/>
                    </w:rPr>
                  </w:pPr>
                  <w:r>
                    <w:rPr>
                      <w:rFonts w:hint="eastAsia" w:cs="Times New Roman"/>
                      <w:b/>
                      <w:bCs/>
                      <w:color w:val="auto"/>
                      <w:sz w:val="21"/>
                      <w:szCs w:val="21"/>
                      <w:highlight w:val="none"/>
                      <w:lang w:eastAsia="zh-CN"/>
                    </w:rPr>
                    <w:t>纯净水用量</w:t>
                  </w:r>
                  <w:r>
                    <w:rPr>
                      <w:rFonts w:hint="default"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t</w:t>
                  </w:r>
                  <w:r>
                    <w:rPr>
                      <w:rFonts w:hint="default"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a</w:t>
                  </w:r>
                  <w:r>
                    <w:rPr>
                      <w:rFonts w:hint="default" w:ascii="Times New Roman" w:hAnsi="Times New Roman" w:cs="Times New Roman"/>
                      <w:b/>
                      <w:bCs/>
                      <w:color w:val="auto"/>
                      <w:sz w:val="21"/>
                      <w:szCs w:val="21"/>
                      <w:highlight w:val="none"/>
                    </w:rPr>
                    <w:t>）</w:t>
                  </w:r>
                </w:p>
              </w:tc>
              <w:tc>
                <w:tcPr>
                  <w:tcW w:w="883" w:type="dxa"/>
                  <w:noWrap w:val="0"/>
                  <w:vAlign w:val="center"/>
                </w:tcPr>
                <w:p w14:paraId="6DF9292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cs="Times New Roman"/>
                      <w:b/>
                      <w:bCs/>
                      <w:color w:val="auto"/>
                      <w:sz w:val="21"/>
                      <w:szCs w:val="21"/>
                      <w:highlight w:val="none"/>
                      <w:lang w:eastAsia="zh-CN"/>
                    </w:rPr>
                  </w:pPr>
                  <w:r>
                    <w:rPr>
                      <w:rFonts w:hint="eastAsia" w:cs="Times New Roman"/>
                      <w:b/>
                      <w:bCs/>
                      <w:color w:val="auto"/>
                      <w:sz w:val="21"/>
                      <w:szCs w:val="21"/>
                      <w:highlight w:val="none"/>
                      <w:lang w:eastAsia="zh-CN"/>
                    </w:rPr>
                    <w:t>浓水用量（</w:t>
                  </w:r>
                  <w:r>
                    <w:rPr>
                      <w:rFonts w:hint="eastAsia" w:cs="Times New Roman"/>
                      <w:b/>
                      <w:bCs/>
                      <w:color w:val="auto"/>
                      <w:sz w:val="21"/>
                      <w:szCs w:val="21"/>
                      <w:highlight w:val="none"/>
                      <w:lang w:val="en-US" w:eastAsia="zh-CN"/>
                    </w:rPr>
                    <w:t>t/d</w:t>
                  </w:r>
                  <w:r>
                    <w:rPr>
                      <w:rFonts w:hint="eastAsia" w:cs="Times New Roman"/>
                      <w:b/>
                      <w:bCs/>
                      <w:color w:val="auto"/>
                      <w:sz w:val="21"/>
                      <w:szCs w:val="21"/>
                      <w:highlight w:val="none"/>
                      <w:lang w:eastAsia="zh-CN"/>
                    </w:rPr>
                    <w:t>）</w:t>
                  </w:r>
                </w:p>
              </w:tc>
              <w:tc>
                <w:tcPr>
                  <w:tcW w:w="871" w:type="dxa"/>
                  <w:noWrap w:val="0"/>
                  <w:vAlign w:val="center"/>
                </w:tcPr>
                <w:p w14:paraId="69EBE76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cs="Times New Roman"/>
                      <w:b/>
                      <w:bCs/>
                      <w:color w:val="auto"/>
                      <w:sz w:val="21"/>
                      <w:szCs w:val="21"/>
                      <w:highlight w:val="none"/>
                      <w:lang w:eastAsia="zh-CN"/>
                    </w:rPr>
                  </w:pPr>
                  <w:r>
                    <w:rPr>
                      <w:rFonts w:hint="eastAsia" w:cs="Times New Roman"/>
                      <w:b/>
                      <w:bCs/>
                      <w:color w:val="auto"/>
                      <w:sz w:val="21"/>
                      <w:szCs w:val="21"/>
                      <w:highlight w:val="none"/>
                      <w:lang w:eastAsia="zh-CN"/>
                    </w:rPr>
                    <w:t>浓水用量（</w:t>
                  </w:r>
                  <w:r>
                    <w:rPr>
                      <w:rFonts w:hint="eastAsia" w:cs="Times New Roman"/>
                      <w:b/>
                      <w:bCs/>
                      <w:color w:val="auto"/>
                      <w:sz w:val="21"/>
                      <w:szCs w:val="21"/>
                      <w:highlight w:val="none"/>
                      <w:lang w:val="en-US" w:eastAsia="zh-CN"/>
                    </w:rPr>
                    <w:t>t/a</w:t>
                  </w:r>
                  <w:r>
                    <w:rPr>
                      <w:rFonts w:hint="eastAsia" w:cs="Times New Roman"/>
                      <w:b/>
                      <w:bCs/>
                      <w:color w:val="auto"/>
                      <w:sz w:val="21"/>
                      <w:szCs w:val="21"/>
                      <w:highlight w:val="none"/>
                      <w:lang w:eastAsia="zh-CN"/>
                    </w:rPr>
                    <w:t>）</w:t>
                  </w:r>
                </w:p>
              </w:tc>
              <w:tc>
                <w:tcPr>
                  <w:tcW w:w="1004" w:type="dxa"/>
                  <w:noWrap w:val="0"/>
                  <w:vAlign w:val="center"/>
                </w:tcPr>
                <w:p w14:paraId="1242C5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b/>
                      <w:bCs/>
                      <w:color w:val="auto"/>
                      <w:sz w:val="21"/>
                      <w:szCs w:val="21"/>
                      <w:highlight w:val="none"/>
                    </w:rPr>
                  </w:pPr>
                  <w:r>
                    <w:rPr>
                      <w:rFonts w:hint="eastAsia" w:ascii="Times New Roman" w:hAnsi="Times New Roman" w:cs="Times New Roman"/>
                      <w:b/>
                      <w:bCs/>
                      <w:color w:val="auto"/>
                      <w:sz w:val="21"/>
                      <w:szCs w:val="21"/>
                      <w:highlight w:val="none"/>
                      <w:lang w:eastAsia="zh-CN"/>
                    </w:rPr>
                    <w:t>排水量</w:t>
                  </w:r>
                  <w:r>
                    <w:rPr>
                      <w:rFonts w:hint="default"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t</w:t>
                  </w:r>
                  <w:r>
                    <w:rPr>
                      <w:rFonts w:hint="default"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d</w:t>
                  </w:r>
                  <w:r>
                    <w:rPr>
                      <w:rFonts w:hint="default" w:ascii="Times New Roman" w:hAnsi="Times New Roman" w:cs="Times New Roman"/>
                      <w:b/>
                      <w:bCs/>
                      <w:color w:val="auto"/>
                      <w:sz w:val="21"/>
                      <w:szCs w:val="21"/>
                      <w:highlight w:val="none"/>
                    </w:rPr>
                    <w:t>）</w:t>
                  </w:r>
                </w:p>
              </w:tc>
              <w:tc>
                <w:tcPr>
                  <w:tcW w:w="1214" w:type="dxa"/>
                  <w:noWrap w:val="0"/>
                  <w:vAlign w:val="center"/>
                </w:tcPr>
                <w:p w14:paraId="3256D66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Ansi="宋体"/>
                      <w:b/>
                      <w:bCs/>
                      <w:color w:val="auto"/>
                      <w:sz w:val="21"/>
                      <w:szCs w:val="21"/>
                      <w:highlight w:val="none"/>
                    </w:rPr>
                  </w:pPr>
                  <w:r>
                    <w:rPr>
                      <w:rFonts w:hint="eastAsia" w:ascii="Times New Roman" w:hAnsi="Times New Roman" w:cs="Times New Roman"/>
                      <w:b/>
                      <w:bCs/>
                      <w:color w:val="auto"/>
                      <w:sz w:val="21"/>
                      <w:szCs w:val="21"/>
                      <w:highlight w:val="none"/>
                      <w:lang w:eastAsia="zh-CN"/>
                    </w:rPr>
                    <w:t>排水量</w:t>
                  </w:r>
                  <w:r>
                    <w:rPr>
                      <w:rFonts w:hint="default"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lang w:val="en-US" w:eastAsia="zh-CN"/>
                    </w:rPr>
                    <w:t>t</w:t>
                  </w:r>
                  <w:r>
                    <w:rPr>
                      <w:rFonts w:hint="default" w:ascii="Times New Roman" w:hAnsi="Times New Roman" w:cs="Times New Roman"/>
                      <w:b/>
                      <w:bCs/>
                      <w:color w:val="auto"/>
                      <w:sz w:val="21"/>
                      <w:szCs w:val="21"/>
                      <w:highlight w:val="none"/>
                    </w:rPr>
                    <w:t>/</w:t>
                  </w:r>
                  <w:r>
                    <w:rPr>
                      <w:rFonts w:hint="default" w:ascii="Times New Roman" w:hAnsi="Times New Roman" w:cs="Times New Roman"/>
                      <w:b/>
                      <w:bCs/>
                      <w:color w:val="auto"/>
                      <w:sz w:val="21"/>
                      <w:szCs w:val="21"/>
                      <w:highlight w:val="none"/>
                      <w:lang w:val="en-US" w:eastAsia="zh-CN"/>
                    </w:rPr>
                    <w:t>a</w:t>
                  </w:r>
                  <w:r>
                    <w:rPr>
                      <w:rFonts w:hint="default" w:ascii="Times New Roman" w:hAnsi="Times New Roman" w:cs="Times New Roman"/>
                      <w:b/>
                      <w:bCs/>
                      <w:color w:val="auto"/>
                      <w:sz w:val="21"/>
                      <w:szCs w:val="21"/>
                      <w:highlight w:val="none"/>
                    </w:rPr>
                    <w:t>）</w:t>
                  </w:r>
                </w:p>
              </w:tc>
            </w:tr>
            <w:tr w14:paraId="5966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dxa"/>
                  <w:shd w:val="clear" w:color="auto" w:fill="auto"/>
                  <w:noWrap w:val="0"/>
                  <w:vAlign w:val="center"/>
                </w:tcPr>
                <w:p w14:paraId="386253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pacing w:val="-2"/>
                      <w:sz w:val="21"/>
                      <w:szCs w:val="21"/>
                      <w:highlight w:val="none"/>
                      <w:lang w:eastAsia="zh-CN"/>
                    </w:rPr>
                  </w:pPr>
                  <w:r>
                    <w:rPr>
                      <w:rFonts w:hint="eastAsia"/>
                      <w:color w:val="auto"/>
                      <w:spacing w:val="-2"/>
                      <w:sz w:val="21"/>
                      <w:szCs w:val="21"/>
                      <w:highlight w:val="none"/>
                      <w:lang w:eastAsia="zh-CN"/>
                    </w:rPr>
                    <w:t>纯净水制备</w:t>
                  </w:r>
                </w:p>
              </w:tc>
              <w:tc>
                <w:tcPr>
                  <w:tcW w:w="883" w:type="dxa"/>
                  <w:shd w:val="clear" w:color="auto" w:fill="auto"/>
                  <w:noWrap w:val="0"/>
                  <w:vAlign w:val="center"/>
                </w:tcPr>
                <w:p w14:paraId="1D57CE5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84.774</w:t>
                  </w:r>
                </w:p>
              </w:tc>
              <w:tc>
                <w:tcPr>
                  <w:tcW w:w="1214" w:type="dxa"/>
                  <w:shd w:val="clear" w:color="auto" w:fill="auto"/>
                  <w:noWrap w:val="0"/>
                  <w:vAlign w:val="center"/>
                </w:tcPr>
                <w:p w14:paraId="1B9B1E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25432.1875</w:t>
                  </w:r>
                </w:p>
              </w:tc>
              <w:tc>
                <w:tcPr>
                  <w:tcW w:w="883" w:type="dxa"/>
                  <w:shd w:val="clear" w:color="auto" w:fill="auto"/>
                  <w:noWrap w:val="0"/>
                  <w:vAlign w:val="center"/>
                </w:tcPr>
                <w:p w14:paraId="1221D5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871" w:type="dxa"/>
                  <w:shd w:val="clear" w:color="auto" w:fill="auto"/>
                  <w:noWrap w:val="0"/>
                  <w:vAlign w:val="center"/>
                </w:tcPr>
                <w:p w14:paraId="1642EA2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883" w:type="dxa"/>
                  <w:shd w:val="clear" w:color="auto" w:fill="auto"/>
                  <w:noWrap w:val="0"/>
                  <w:vAlign w:val="center"/>
                </w:tcPr>
                <w:p w14:paraId="761CC8C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871" w:type="dxa"/>
                  <w:shd w:val="clear" w:color="auto" w:fill="auto"/>
                  <w:noWrap w:val="0"/>
                  <w:vAlign w:val="center"/>
                </w:tcPr>
                <w:p w14:paraId="2C2BB00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004" w:type="dxa"/>
                  <w:shd w:val="clear" w:color="auto" w:fill="auto"/>
                  <w:noWrap w:val="0"/>
                  <w:vAlign w:val="center"/>
                </w:tcPr>
                <w:p w14:paraId="23C5A6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16.799</w:t>
                  </w:r>
                </w:p>
              </w:tc>
              <w:tc>
                <w:tcPr>
                  <w:tcW w:w="1214" w:type="dxa"/>
                  <w:shd w:val="clear" w:color="auto" w:fill="auto"/>
                  <w:noWrap w:val="0"/>
                  <w:vAlign w:val="center"/>
                </w:tcPr>
                <w:p w14:paraId="2D0BF4F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5039.6375</w:t>
                  </w:r>
                </w:p>
              </w:tc>
            </w:tr>
            <w:tr w14:paraId="11D0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dxa"/>
                  <w:shd w:val="clear" w:color="auto" w:fill="auto"/>
                  <w:noWrap w:val="0"/>
                  <w:vAlign w:val="center"/>
                </w:tcPr>
                <w:p w14:paraId="17A14E5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color w:val="auto"/>
                      <w:spacing w:val="-2"/>
                      <w:sz w:val="21"/>
                      <w:szCs w:val="21"/>
                      <w:highlight w:val="none"/>
                    </w:rPr>
                    <w:t>生活</w:t>
                  </w:r>
                </w:p>
              </w:tc>
              <w:tc>
                <w:tcPr>
                  <w:tcW w:w="883" w:type="dxa"/>
                  <w:shd w:val="clear" w:color="auto" w:fill="auto"/>
                  <w:noWrap w:val="0"/>
                  <w:vAlign w:val="center"/>
                </w:tcPr>
                <w:p w14:paraId="5B41B62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0.6</w:t>
                  </w:r>
                </w:p>
              </w:tc>
              <w:tc>
                <w:tcPr>
                  <w:tcW w:w="1214" w:type="dxa"/>
                  <w:shd w:val="clear" w:color="auto" w:fill="auto"/>
                  <w:noWrap w:val="0"/>
                  <w:vAlign w:val="center"/>
                </w:tcPr>
                <w:p w14:paraId="3F232B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180</w:t>
                  </w:r>
                </w:p>
              </w:tc>
              <w:tc>
                <w:tcPr>
                  <w:tcW w:w="883" w:type="dxa"/>
                  <w:shd w:val="clear" w:color="auto" w:fill="auto"/>
                  <w:noWrap w:val="0"/>
                  <w:vAlign w:val="center"/>
                </w:tcPr>
                <w:p w14:paraId="1405A0D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871" w:type="dxa"/>
                  <w:shd w:val="clear" w:color="auto" w:fill="auto"/>
                  <w:noWrap w:val="0"/>
                  <w:vAlign w:val="center"/>
                </w:tcPr>
                <w:p w14:paraId="39775F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883" w:type="dxa"/>
                  <w:shd w:val="clear" w:color="auto" w:fill="auto"/>
                  <w:noWrap w:val="0"/>
                  <w:vAlign w:val="center"/>
                </w:tcPr>
                <w:p w14:paraId="079833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871" w:type="dxa"/>
                  <w:shd w:val="clear" w:color="auto" w:fill="auto"/>
                  <w:noWrap w:val="0"/>
                  <w:vAlign w:val="center"/>
                </w:tcPr>
                <w:p w14:paraId="5E2D749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004" w:type="dxa"/>
                  <w:shd w:val="clear" w:color="auto" w:fill="auto"/>
                  <w:noWrap w:val="0"/>
                  <w:vAlign w:val="center"/>
                </w:tcPr>
                <w:p w14:paraId="4C4A4D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0.48</w:t>
                  </w:r>
                </w:p>
              </w:tc>
              <w:tc>
                <w:tcPr>
                  <w:tcW w:w="1214" w:type="dxa"/>
                  <w:shd w:val="clear" w:color="auto" w:fill="auto"/>
                  <w:noWrap w:val="0"/>
                  <w:vAlign w:val="center"/>
                </w:tcPr>
                <w:p w14:paraId="7A0E516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144</w:t>
                  </w:r>
                </w:p>
              </w:tc>
            </w:tr>
            <w:tr w14:paraId="02E0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dxa"/>
                  <w:shd w:val="clear" w:color="auto" w:fill="auto"/>
                  <w:noWrap w:val="0"/>
                  <w:vAlign w:val="center"/>
                </w:tcPr>
                <w:p w14:paraId="6EE2506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color w:val="auto"/>
                      <w:spacing w:val="-2"/>
                      <w:sz w:val="21"/>
                      <w:szCs w:val="21"/>
                      <w:highlight w:val="none"/>
                      <w:lang w:val="en-US" w:eastAsia="zh-CN"/>
                    </w:rPr>
                  </w:pPr>
                  <w:r>
                    <w:rPr>
                      <w:rFonts w:hint="eastAsia"/>
                      <w:color w:val="auto"/>
                      <w:spacing w:val="-2"/>
                      <w:sz w:val="21"/>
                      <w:szCs w:val="21"/>
                      <w:highlight w:val="none"/>
                      <w:lang w:val="en-US" w:eastAsia="zh-CN"/>
                    </w:rPr>
                    <w:t>保洁</w:t>
                  </w:r>
                </w:p>
              </w:tc>
              <w:tc>
                <w:tcPr>
                  <w:tcW w:w="883" w:type="dxa"/>
                  <w:shd w:val="clear" w:color="auto" w:fill="auto"/>
                  <w:noWrap w:val="0"/>
                  <w:vAlign w:val="center"/>
                </w:tcPr>
                <w:p w14:paraId="33E4D24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214" w:type="dxa"/>
                  <w:shd w:val="clear" w:color="auto" w:fill="auto"/>
                  <w:noWrap w:val="0"/>
                  <w:vAlign w:val="center"/>
                </w:tcPr>
                <w:p w14:paraId="7084A17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883" w:type="dxa"/>
                  <w:shd w:val="clear" w:color="auto" w:fill="auto"/>
                  <w:noWrap w:val="0"/>
                  <w:vAlign w:val="center"/>
                </w:tcPr>
                <w:p w14:paraId="1518A2C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871" w:type="dxa"/>
                  <w:shd w:val="clear" w:color="auto" w:fill="auto"/>
                  <w:noWrap w:val="0"/>
                  <w:vAlign w:val="center"/>
                </w:tcPr>
                <w:p w14:paraId="132DF5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883" w:type="dxa"/>
                  <w:shd w:val="clear" w:color="auto" w:fill="auto"/>
                  <w:noWrap w:val="0"/>
                  <w:vAlign w:val="center"/>
                </w:tcPr>
                <w:p w14:paraId="0126913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0.156</w:t>
                  </w:r>
                </w:p>
              </w:tc>
              <w:tc>
                <w:tcPr>
                  <w:tcW w:w="871" w:type="dxa"/>
                  <w:shd w:val="clear" w:color="auto" w:fill="auto"/>
                  <w:noWrap w:val="0"/>
                  <w:vAlign w:val="center"/>
                </w:tcPr>
                <w:p w14:paraId="5B7D22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46.8</w:t>
                  </w:r>
                </w:p>
              </w:tc>
              <w:tc>
                <w:tcPr>
                  <w:tcW w:w="1004" w:type="dxa"/>
                  <w:shd w:val="clear" w:color="auto" w:fill="auto"/>
                  <w:noWrap w:val="0"/>
                  <w:vAlign w:val="center"/>
                </w:tcPr>
                <w:p w14:paraId="3507A3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0.140</w:t>
                  </w:r>
                </w:p>
              </w:tc>
              <w:tc>
                <w:tcPr>
                  <w:tcW w:w="1214" w:type="dxa"/>
                  <w:shd w:val="clear" w:color="auto" w:fill="auto"/>
                  <w:noWrap w:val="0"/>
                  <w:vAlign w:val="center"/>
                </w:tcPr>
                <w:p w14:paraId="54EA01B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42.12</w:t>
                  </w:r>
                </w:p>
              </w:tc>
            </w:tr>
            <w:tr w14:paraId="1CC7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dxa"/>
                  <w:noWrap w:val="0"/>
                  <w:vAlign w:val="center"/>
                </w:tcPr>
                <w:p w14:paraId="3A8CCEE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eastAsia="宋体"/>
                      <w:color w:val="auto"/>
                      <w:spacing w:val="-2"/>
                      <w:sz w:val="21"/>
                      <w:szCs w:val="21"/>
                      <w:highlight w:val="none"/>
                      <w:lang w:val="en-US" w:eastAsia="zh-CN"/>
                    </w:rPr>
                  </w:pPr>
                  <w:r>
                    <w:rPr>
                      <w:rFonts w:hint="eastAsia"/>
                      <w:color w:val="auto"/>
                      <w:spacing w:val="-2"/>
                      <w:sz w:val="21"/>
                      <w:szCs w:val="21"/>
                      <w:highlight w:val="none"/>
                      <w:lang w:val="en-US" w:eastAsia="zh-CN"/>
                    </w:rPr>
                    <w:t>实验室</w:t>
                  </w:r>
                </w:p>
              </w:tc>
              <w:tc>
                <w:tcPr>
                  <w:tcW w:w="883" w:type="dxa"/>
                  <w:noWrap w:val="0"/>
                  <w:vAlign w:val="center"/>
                </w:tcPr>
                <w:p w14:paraId="7CEB5A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1214" w:type="dxa"/>
                  <w:noWrap w:val="0"/>
                  <w:vAlign w:val="center"/>
                </w:tcPr>
                <w:p w14:paraId="109BBD0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883" w:type="dxa"/>
                  <w:shd w:val="clear" w:color="auto" w:fill="auto"/>
                  <w:noWrap w:val="0"/>
                  <w:vAlign w:val="center"/>
                </w:tcPr>
                <w:p w14:paraId="6BE5796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kern w:val="2"/>
                      <w:sz w:val="21"/>
                      <w:szCs w:val="21"/>
                      <w:highlight w:val="none"/>
                      <w:lang w:val="en-US" w:eastAsia="zh-CN" w:bidi="ar-SA"/>
                    </w:rPr>
                    <w:t>0.0525</w:t>
                  </w:r>
                </w:p>
              </w:tc>
              <w:tc>
                <w:tcPr>
                  <w:tcW w:w="871" w:type="dxa"/>
                  <w:shd w:val="clear" w:color="auto" w:fill="auto"/>
                  <w:noWrap w:val="0"/>
                  <w:vAlign w:val="center"/>
                </w:tcPr>
                <w:p w14:paraId="5D26EA3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kern w:val="2"/>
                      <w:sz w:val="21"/>
                      <w:szCs w:val="21"/>
                      <w:highlight w:val="none"/>
                      <w:lang w:val="en-US" w:eastAsia="zh-CN" w:bidi="ar-SA"/>
                    </w:rPr>
                    <w:t>15.75</w:t>
                  </w:r>
                </w:p>
              </w:tc>
              <w:tc>
                <w:tcPr>
                  <w:tcW w:w="883" w:type="dxa"/>
                  <w:noWrap w:val="0"/>
                  <w:vAlign w:val="center"/>
                </w:tcPr>
                <w:p w14:paraId="2961891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871" w:type="dxa"/>
                  <w:noWrap w:val="0"/>
                  <w:vAlign w:val="center"/>
                </w:tcPr>
                <w:p w14:paraId="4042E9E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1004" w:type="dxa"/>
                  <w:noWrap w:val="0"/>
                  <w:vAlign w:val="center"/>
                </w:tcPr>
                <w:p w14:paraId="1F7CD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0.04725</w:t>
                  </w:r>
                </w:p>
              </w:tc>
              <w:tc>
                <w:tcPr>
                  <w:tcW w:w="1214" w:type="dxa"/>
                  <w:noWrap w:val="0"/>
                  <w:vAlign w:val="center"/>
                </w:tcPr>
                <w:p w14:paraId="234495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14.175</w:t>
                  </w:r>
                </w:p>
              </w:tc>
            </w:tr>
            <w:tr w14:paraId="63DD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dxa"/>
                  <w:noWrap w:val="0"/>
                  <w:vAlign w:val="center"/>
                </w:tcPr>
                <w:p w14:paraId="215446D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color w:val="auto"/>
                      <w:spacing w:val="-2"/>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瓶/桶/盖</w:t>
                  </w:r>
                  <w:r>
                    <w:rPr>
                      <w:rFonts w:hint="default" w:ascii="Times New Roman" w:hAnsi="Times New Roman" w:eastAsia="宋体" w:cs="Times New Roman"/>
                      <w:color w:val="auto"/>
                      <w:sz w:val="21"/>
                      <w:szCs w:val="21"/>
                      <w:highlight w:val="none"/>
                      <w:lang w:eastAsia="zh-CN"/>
                    </w:rPr>
                    <w:t>清洗</w:t>
                  </w:r>
                </w:p>
              </w:tc>
              <w:tc>
                <w:tcPr>
                  <w:tcW w:w="883" w:type="dxa"/>
                  <w:noWrap w:val="0"/>
                  <w:vAlign w:val="center"/>
                </w:tcPr>
                <w:p w14:paraId="57A76F3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1214" w:type="dxa"/>
                  <w:noWrap w:val="0"/>
                  <w:vAlign w:val="center"/>
                </w:tcPr>
                <w:p w14:paraId="13C2141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883" w:type="dxa"/>
                  <w:shd w:val="clear" w:color="auto" w:fill="auto"/>
                  <w:noWrap w:val="0"/>
                  <w:vAlign w:val="center"/>
                </w:tcPr>
                <w:p w14:paraId="247991F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kern w:val="2"/>
                      <w:sz w:val="21"/>
                      <w:szCs w:val="21"/>
                      <w:highlight w:val="none"/>
                      <w:lang w:val="en-US" w:eastAsia="zh-CN" w:bidi="ar-SA"/>
                    </w:rPr>
                    <w:t>0.6</w:t>
                  </w:r>
                </w:p>
              </w:tc>
              <w:tc>
                <w:tcPr>
                  <w:tcW w:w="871" w:type="dxa"/>
                  <w:shd w:val="clear" w:color="auto" w:fill="auto"/>
                  <w:noWrap w:val="0"/>
                  <w:vAlign w:val="center"/>
                </w:tcPr>
                <w:p w14:paraId="75CEA8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kern w:val="2"/>
                      <w:sz w:val="21"/>
                      <w:szCs w:val="21"/>
                      <w:highlight w:val="none"/>
                      <w:lang w:val="en-US" w:eastAsia="zh-CN" w:bidi="ar-SA"/>
                    </w:rPr>
                    <w:t>180</w:t>
                  </w:r>
                </w:p>
              </w:tc>
              <w:tc>
                <w:tcPr>
                  <w:tcW w:w="883" w:type="dxa"/>
                  <w:noWrap w:val="0"/>
                  <w:vAlign w:val="center"/>
                </w:tcPr>
                <w:p w14:paraId="2EC1D4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871" w:type="dxa"/>
                  <w:noWrap w:val="0"/>
                  <w:vAlign w:val="center"/>
                </w:tcPr>
                <w:p w14:paraId="3E2BAA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1004" w:type="dxa"/>
                  <w:noWrap w:val="0"/>
                  <w:vAlign w:val="center"/>
                </w:tcPr>
                <w:p w14:paraId="112B7FA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1"/>
                      <w:szCs w:val="21"/>
                      <w:highlight w:val="none"/>
                      <w:lang w:val="en-US" w:eastAsia="zh-CN"/>
                    </w:rPr>
                  </w:pPr>
                  <w:r>
                    <w:rPr>
                      <w:rFonts w:hint="eastAsia"/>
                      <w:color w:val="auto"/>
                      <w:kern w:val="2"/>
                      <w:sz w:val="21"/>
                      <w:szCs w:val="21"/>
                      <w:highlight w:val="none"/>
                      <w:lang w:val="en-US" w:eastAsia="zh-CN" w:bidi="ar-SA"/>
                    </w:rPr>
                    <w:t>0.6</w:t>
                  </w:r>
                </w:p>
              </w:tc>
              <w:tc>
                <w:tcPr>
                  <w:tcW w:w="1214" w:type="dxa"/>
                  <w:noWrap w:val="0"/>
                  <w:vAlign w:val="center"/>
                </w:tcPr>
                <w:p w14:paraId="54ED004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sz w:val="21"/>
                      <w:szCs w:val="21"/>
                      <w:highlight w:val="none"/>
                      <w:lang w:val="en-US" w:eastAsia="zh-CN"/>
                    </w:rPr>
                  </w:pPr>
                  <w:r>
                    <w:rPr>
                      <w:rFonts w:hint="eastAsia"/>
                      <w:color w:val="auto"/>
                      <w:kern w:val="2"/>
                      <w:sz w:val="21"/>
                      <w:szCs w:val="21"/>
                      <w:highlight w:val="none"/>
                      <w:lang w:val="en-US" w:eastAsia="zh-CN" w:bidi="ar-SA"/>
                    </w:rPr>
                    <w:t>180</w:t>
                  </w:r>
                </w:p>
              </w:tc>
            </w:tr>
            <w:tr w14:paraId="4D54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dxa"/>
                  <w:noWrap w:val="0"/>
                  <w:vAlign w:val="center"/>
                </w:tcPr>
                <w:p w14:paraId="063389B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color w:val="auto"/>
                      <w:sz w:val="21"/>
                      <w:szCs w:val="21"/>
                      <w:highlight w:val="none"/>
                    </w:rPr>
                  </w:pPr>
                  <w:r>
                    <w:rPr>
                      <w:rFonts w:hint="eastAsia" w:cs="Times New Roman"/>
                      <w:color w:val="auto"/>
                      <w:sz w:val="21"/>
                      <w:szCs w:val="21"/>
                      <w:highlight w:val="none"/>
                      <w:lang w:eastAsia="zh-CN"/>
                    </w:rPr>
                    <w:t>反冲洗</w:t>
                  </w:r>
                </w:p>
              </w:tc>
              <w:tc>
                <w:tcPr>
                  <w:tcW w:w="883" w:type="dxa"/>
                  <w:noWrap w:val="0"/>
                  <w:vAlign w:val="center"/>
                </w:tcPr>
                <w:p w14:paraId="2A0D9E2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1214" w:type="dxa"/>
                  <w:noWrap w:val="0"/>
                  <w:vAlign w:val="center"/>
                </w:tcPr>
                <w:p w14:paraId="3521B40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883" w:type="dxa"/>
                  <w:shd w:val="clear" w:color="auto" w:fill="auto"/>
                  <w:noWrap w:val="0"/>
                  <w:vAlign w:val="center"/>
                </w:tcPr>
                <w:p w14:paraId="0C4813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kern w:val="2"/>
                      <w:sz w:val="21"/>
                      <w:szCs w:val="21"/>
                      <w:highlight w:val="none"/>
                      <w:lang w:val="en-US" w:eastAsia="zh-CN" w:bidi="ar-SA"/>
                    </w:rPr>
                    <w:t>0.5</w:t>
                  </w:r>
                </w:p>
              </w:tc>
              <w:tc>
                <w:tcPr>
                  <w:tcW w:w="871" w:type="dxa"/>
                  <w:shd w:val="clear" w:color="auto" w:fill="auto"/>
                  <w:noWrap w:val="0"/>
                  <w:vAlign w:val="center"/>
                </w:tcPr>
                <w:p w14:paraId="24B5D17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kern w:val="2"/>
                      <w:sz w:val="21"/>
                      <w:szCs w:val="21"/>
                      <w:highlight w:val="none"/>
                      <w:lang w:val="en-US" w:eastAsia="zh-CN" w:bidi="ar-SA"/>
                    </w:rPr>
                    <w:t>150</w:t>
                  </w:r>
                </w:p>
              </w:tc>
              <w:tc>
                <w:tcPr>
                  <w:tcW w:w="883" w:type="dxa"/>
                  <w:noWrap w:val="0"/>
                  <w:vAlign w:val="center"/>
                </w:tcPr>
                <w:p w14:paraId="3CB7D16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871" w:type="dxa"/>
                  <w:noWrap w:val="0"/>
                  <w:vAlign w:val="center"/>
                </w:tcPr>
                <w:p w14:paraId="754819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1004" w:type="dxa"/>
                  <w:noWrap w:val="0"/>
                  <w:vAlign w:val="center"/>
                </w:tcPr>
                <w:p w14:paraId="72A533E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color w:val="auto"/>
                      <w:sz w:val="21"/>
                      <w:szCs w:val="21"/>
                      <w:highlight w:val="none"/>
                      <w:lang w:val="en-US" w:eastAsia="zh-CN"/>
                    </w:rPr>
                  </w:pPr>
                  <w:r>
                    <w:rPr>
                      <w:rFonts w:hint="eastAsia"/>
                      <w:color w:val="auto"/>
                      <w:kern w:val="2"/>
                      <w:sz w:val="21"/>
                      <w:szCs w:val="21"/>
                      <w:highlight w:val="none"/>
                      <w:lang w:val="en-US" w:eastAsia="zh-CN" w:bidi="ar-SA"/>
                    </w:rPr>
                    <w:t>0.5</w:t>
                  </w:r>
                </w:p>
              </w:tc>
              <w:tc>
                <w:tcPr>
                  <w:tcW w:w="1214" w:type="dxa"/>
                  <w:noWrap w:val="0"/>
                  <w:vAlign w:val="center"/>
                </w:tcPr>
                <w:p w14:paraId="6E4498D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color w:val="auto"/>
                      <w:sz w:val="21"/>
                      <w:szCs w:val="21"/>
                      <w:highlight w:val="none"/>
                      <w:lang w:val="en-US" w:eastAsia="zh-CN"/>
                    </w:rPr>
                  </w:pPr>
                  <w:r>
                    <w:rPr>
                      <w:rFonts w:hint="eastAsia"/>
                      <w:color w:val="auto"/>
                      <w:kern w:val="2"/>
                      <w:sz w:val="21"/>
                      <w:szCs w:val="21"/>
                      <w:highlight w:val="none"/>
                      <w:lang w:val="en-US" w:eastAsia="zh-CN" w:bidi="ar-SA"/>
                    </w:rPr>
                    <w:t>150</w:t>
                  </w:r>
                </w:p>
              </w:tc>
            </w:tr>
            <w:tr w14:paraId="192E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dxa"/>
                  <w:noWrap w:val="0"/>
                  <w:vAlign w:val="center"/>
                </w:tcPr>
                <w:p w14:paraId="6CF05D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冷却循环</w:t>
                  </w:r>
                </w:p>
              </w:tc>
              <w:tc>
                <w:tcPr>
                  <w:tcW w:w="883" w:type="dxa"/>
                  <w:shd w:val="clear" w:color="auto" w:fill="auto"/>
                  <w:noWrap w:val="0"/>
                  <w:vAlign w:val="center"/>
                </w:tcPr>
                <w:p w14:paraId="32F887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kern w:val="2"/>
                      <w:sz w:val="21"/>
                      <w:szCs w:val="21"/>
                      <w:highlight w:val="none"/>
                      <w:lang w:val="en-US" w:eastAsia="zh-CN" w:bidi="ar-SA"/>
                    </w:rPr>
                    <w:t>0.04</w:t>
                  </w:r>
                </w:p>
              </w:tc>
              <w:tc>
                <w:tcPr>
                  <w:tcW w:w="1214" w:type="dxa"/>
                  <w:shd w:val="clear" w:color="auto" w:fill="auto"/>
                  <w:noWrap w:val="0"/>
                  <w:vAlign w:val="center"/>
                </w:tcPr>
                <w:p w14:paraId="6AD3343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kern w:val="2"/>
                      <w:sz w:val="21"/>
                      <w:szCs w:val="21"/>
                      <w:highlight w:val="none"/>
                      <w:lang w:val="en-US" w:eastAsia="zh-CN" w:bidi="ar-SA"/>
                    </w:rPr>
                    <w:t>12</w:t>
                  </w:r>
                </w:p>
              </w:tc>
              <w:tc>
                <w:tcPr>
                  <w:tcW w:w="883" w:type="dxa"/>
                  <w:shd w:val="clear" w:color="auto" w:fill="auto"/>
                  <w:noWrap w:val="0"/>
                  <w:vAlign w:val="center"/>
                </w:tcPr>
                <w:p w14:paraId="3036166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871" w:type="dxa"/>
                  <w:shd w:val="clear" w:color="auto" w:fill="auto"/>
                  <w:noWrap w:val="0"/>
                  <w:vAlign w:val="center"/>
                </w:tcPr>
                <w:p w14:paraId="4ABA8C3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883" w:type="dxa"/>
                  <w:noWrap w:val="0"/>
                  <w:vAlign w:val="center"/>
                </w:tcPr>
                <w:p w14:paraId="3878F74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871" w:type="dxa"/>
                  <w:noWrap w:val="0"/>
                  <w:vAlign w:val="center"/>
                </w:tcPr>
                <w:p w14:paraId="693C69B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olor w:val="auto"/>
                      <w:kern w:val="2"/>
                      <w:sz w:val="21"/>
                      <w:szCs w:val="21"/>
                      <w:highlight w:val="none"/>
                      <w:lang w:val="en-US" w:eastAsia="zh-CN" w:bidi="ar-SA"/>
                    </w:rPr>
                  </w:pPr>
                  <w:r>
                    <w:rPr>
                      <w:rFonts w:hint="eastAsia"/>
                      <w:color w:val="auto"/>
                      <w:kern w:val="2"/>
                      <w:sz w:val="21"/>
                      <w:szCs w:val="21"/>
                      <w:highlight w:val="none"/>
                      <w:lang w:val="en-US" w:eastAsia="zh-CN" w:bidi="ar-SA"/>
                    </w:rPr>
                    <w:t>/</w:t>
                  </w:r>
                </w:p>
              </w:tc>
              <w:tc>
                <w:tcPr>
                  <w:tcW w:w="1004" w:type="dxa"/>
                  <w:noWrap w:val="0"/>
                  <w:vAlign w:val="center"/>
                </w:tcPr>
                <w:p w14:paraId="7812C32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1214" w:type="dxa"/>
                  <w:noWrap w:val="0"/>
                  <w:vAlign w:val="center"/>
                </w:tcPr>
                <w:p w14:paraId="19123C3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14:paraId="5AEA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dxa"/>
                  <w:noWrap w:val="0"/>
                  <w:vAlign w:val="center"/>
                </w:tcPr>
                <w:p w14:paraId="74E8937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eastAsia="宋体" w:cs="Times New Roman"/>
                      <w:color w:val="auto"/>
                      <w:spacing w:val="-2"/>
                      <w:sz w:val="21"/>
                      <w:szCs w:val="21"/>
                      <w:highlight w:val="none"/>
                    </w:rPr>
                  </w:pPr>
                  <w:r>
                    <w:rPr>
                      <w:rFonts w:ascii="Times New Roman" w:hAnsi="Times New Roman" w:eastAsia="宋体" w:cs="Times New Roman"/>
                      <w:color w:val="auto"/>
                      <w:spacing w:val="-2"/>
                      <w:sz w:val="21"/>
                      <w:szCs w:val="21"/>
                      <w:highlight w:val="none"/>
                    </w:rPr>
                    <w:t>总计</w:t>
                  </w:r>
                </w:p>
              </w:tc>
              <w:tc>
                <w:tcPr>
                  <w:tcW w:w="883" w:type="dxa"/>
                  <w:noWrap w:val="0"/>
                  <w:vAlign w:val="center"/>
                </w:tcPr>
                <w:p w14:paraId="71EA6535">
                  <w:pPr>
                    <w:keepNext w:val="0"/>
                    <w:keepLines w:val="0"/>
                    <w:widowControl/>
                    <w:suppressLineNumbers w:val="0"/>
                    <w:jc w:val="center"/>
                    <w:textAlignment w:val="center"/>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85.</w:t>
                  </w:r>
                  <w:r>
                    <w:rPr>
                      <w:rFonts w:hint="eastAsia" w:cs="Times New Roman"/>
                      <w:i w:val="0"/>
                      <w:iCs w:val="0"/>
                      <w:color w:val="auto"/>
                      <w:kern w:val="0"/>
                      <w:sz w:val="21"/>
                      <w:szCs w:val="21"/>
                      <w:highlight w:val="none"/>
                      <w:u w:val="none"/>
                      <w:lang w:val="en-US" w:eastAsia="zh-CN" w:bidi="ar"/>
                    </w:rPr>
                    <w:t>414</w:t>
                  </w:r>
                </w:p>
              </w:tc>
              <w:tc>
                <w:tcPr>
                  <w:tcW w:w="1214" w:type="dxa"/>
                  <w:noWrap w:val="0"/>
                  <w:vAlign w:val="center"/>
                </w:tcPr>
                <w:p w14:paraId="1C83B98F">
                  <w:pPr>
                    <w:keepNext w:val="0"/>
                    <w:keepLines w:val="0"/>
                    <w:widowControl/>
                    <w:suppressLineNumbers w:val="0"/>
                    <w:jc w:val="center"/>
                    <w:textAlignment w:val="center"/>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256</w:t>
                  </w:r>
                  <w:r>
                    <w:rPr>
                      <w:rFonts w:hint="eastAsia" w:cs="Times New Roman"/>
                      <w:i w:val="0"/>
                      <w:iCs w:val="0"/>
                      <w:color w:val="auto"/>
                      <w:kern w:val="0"/>
                      <w:sz w:val="21"/>
                      <w:szCs w:val="21"/>
                      <w:highlight w:val="none"/>
                      <w:u w:val="none"/>
                      <w:lang w:val="en-US" w:eastAsia="zh-CN" w:bidi="ar"/>
                    </w:rPr>
                    <w:t>24</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1875</w:t>
                  </w:r>
                </w:p>
              </w:tc>
              <w:tc>
                <w:tcPr>
                  <w:tcW w:w="883" w:type="dxa"/>
                  <w:noWrap w:val="0"/>
                  <w:vAlign w:val="center"/>
                </w:tcPr>
                <w:p w14:paraId="623B4924">
                  <w:pPr>
                    <w:keepNext w:val="0"/>
                    <w:keepLines w:val="0"/>
                    <w:widowControl/>
                    <w:suppressLineNumbers w:val="0"/>
                    <w:jc w:val="center"/>
                    <w:textAlignment w:val="center"/>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w:t>
                  </w:r>
                  <w:r>
                    <w:rPr>
                      <w:rFonts w:hint="eastAsia"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871" w:type="dxa"/>
                  <w:noWrap w:val="0"/>
                  <w:vAlign w:val="center"/>
                </w:tcPr>
                <w:p w14:paraId="3684736D">
                  <w:pPr>
                    <w:keepNext w:val="0"/>
                    <w:keepLines w:val="0"/>
                    <w:widowControl/>
                    <w:suppressLineNumbers w:val="0"/>
                    <w:jc w:val="center"/>
                    <w:textAlignment w:val="center"/>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eastAsia" w:cs="Times New Roman"/>
                      <w:i w:val="0"/>
                      <w:iCs w:val="0"/>
                      <w:color w:val="auto"/>
                      <w:kern w:val="0"/>
                      <w:sz w:val="21"/>
                      <w:szCs w:val="21"/>
                      <w:highlight w:val="none"/>
                      <w:u w:val="none"/>
                      <w:lang w:val="en-US" w:eastAsia="zh-CN" w:bidi="ar"/>
                    </w:rPr>
                    <w:t>45</w:t>
                  </w:r>
                  <w:r>
                    <w:rPr>
                      <w:rFonts w:hint="default" w:ascii="Times New Roman" w:hAnsi="Times New Roman" w:eastAsia="宋体" w:cs="Times New Roman"/>
                      <w:i w:val="0"/>
                      <w:iCs w:val="0"/>
                      <w:color w:val="auto"/>
                      <w:kern w:val="0"/>
                      <w:sz w:val="21"/>
                      <w:szCs w:val="21"/>
                      <w:highlight w:val="none"/>
                      <w:u w:val="none"/>
                      <w:lang w:val="en-US" w:eastAsia="zh-CN" w:bidi="ar"/>
                    </w:rPr>
                    <w:t>.75</w:t>
                  </w:r>
                </w:p>
              </w:tc>
              <w:tc>
                <w:tcPr>
                  <w:tcW w:w="883" w:type="dxa"/>
                  <w:shd w:val="clear" w:color="auto" w:fill="auto"/>
                  <w:noWrap w:val="0"/>
                  <w:vAlign w:val="center"/>
                </w:tcPr>
                <w:p w14:paraId="5DAFE3B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0.156</w:t>
                  </w:r>
                </w:p>
              </w:tc>
              <w:tc>
                <w:tcPr>
                  <w:tcW w:w="871" w:type="dxa"/>
                  <w:shd w:val="clear" w:color="auto" w:fill="auto"/>
                  <w:noWrap w:val="0"/>
                  <w:vAlign w:val="center"/>
                </w:tcPr>
                <w:p w14:paraId="3A55E89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46.8</w:t>
                  </w:r>
                </w:p>
              </w:tc>
              <w:tc>
                <w:tcPr>
                  <w:tcW w:w="1004" w:type="dxa"/>
                  <w:noWrap w:val="0"/>
                  <w:vAlign w:val="center"/>
                </w:tcPr>
                <w:p w14:paraId="032CC61A">
                  <w:pPr>
                    <w:keepNext w:val="0"/>
                    <w:keepLines w:val="0"/>
                    <w:widowControl/>
                    <w:suppressLineNumbers w:val="0"/>
                    <w:jc w:val="center"/>
                    <w:textAlignment w:val="center"/>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18.56625</w:t>
                  </w:r>
                </w:p>
              </w:tc>
              <w:tc>
                <w:tcPr>
                  <w:tcW w:w="1214" w:type="dxa"/>
                  <w:shd w:val="clear" w:color="auto" w:fill="auto"/>
                  <w:noWrap w:val="0"/>
                  <w:vAlign w:val="center"/>
                </w:tcPr>
                <w:p w14:paraId="6CAD3BF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5569.9325</w:t>
                  </w:r>
                </w:p>
              </w:tc>
            </w:tr>
          </w:tbl>
          <w:p w14:paraId="039F918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color w:val="auto"/>
                <w:highlight w:val="none"/>
              </w:rPr>
            </w:pPr>
            <w:r>
              <w:rPr>
                <w:color w:val="auto"/>
                <w:sz w:val="24"/>
                <w:highlight w:val="none"/>
              </w:rPr>
              <w:t>本项目的水平衡图见下图：</w:t>
            </w:r>
          </w:p>
          <w:p w14:paraId="5611B65F">
            <w:pPr>
              <w:spacing w:line="360" w:lineRule="auto"/>
              <w:jc w:val="center"/>
              <w:rPr>
                <w:rFonts w:hint="default" w:eastAsia="宋体"/>
                <w:b/>
                <w:bCs/>
                <w:color w:val="auto"/>
                <w:sz w:val="24"/>
                <w:szCs w:val="24"/>
                <w:highlight w:val="none"/>
                <w:lang w:val="en-US" w:eastAsia="zh-CN"/>
              </w:rPr>
            </w:pPr>
            <w:r>
              <w:rPr>
                <w:rFonts w:hint="default" w:ascii="Times New Roman" w:hAnsi="Times New Roman" w:cs="Times New Roman"/>
                <w:color w:val="auto"/>
                <w:highlight w:val="none"/>
              </w:rPr>
              <w:object>
                <v:shape id="_x0000_i1025" o:spt="75" type="#_x0000_t75" style="height:242.25pt;width:411.5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r>
              <w:rPr>
                <w:rFonts w:hint="eastAsia" w:cs="Times New Roman"/>
                <w:b/>
                <w:bCs/>
                <w:color w:val="auto"/>
                <w:sz w:val="24"/>
                <w:szCs w:val="24"/>
                <w:highlight w:val="none"/>
                <w:lang w:eastAsia="zh-CN"/>
              </w:rPr>
              <w:t>图</w:t>
            </w:r>
            <w:r>
              <w:rPr>
                <w:rFonts w:hint="eastAsia" w:cs="Times New Roman"/>
                <w:b/>
                <w:bCs/>
                <w:color w:val="auto"/>
                <w:sz w:val="24"/>
                <w:szCs w:val="24"/>
                <w:highlight w:val="none"/>
                <w:lang w:val="en-US" w:eastAsia="zh-CN"/>
              </w:rPr>
              <w:t>2-1 项目水平衡图（t/d）</w:t>
            </w:r>
          </w:p>
          <w:p w14:paraId="4D59190F">
            <w:pPr>
              <w:adjustRightInd w:val="0"/>
              <w:snapToGrid w:val="0"/>
              <w:spacing w:line="360" w:lineRule="auto"/>
              <w:rPr>
                <w:color w:val="auto"/>
                <w:sz w:val="24"/>
                <w:highlight w:val="none"/>
              </w:rPr>
            </w:pPr>
            <w:r>
              <w:rPr>
                <w:color w:val="auto"/>
                <w:sz w:val="24"/>
                <w:highlight w:val="none"/>
              </w:rPr>
              <w:t>（3）供电</w:t>
            </w:r>
          </w:p>
          <w:p w14:paraId="42F4DE79">
            <w:pPr>
              <w:spacing w:line="360" w:lineRule="auto"/>
              <w:ind w:firstLine="480" w:firstLineChars="200"/>
              <w:rPr>
                <w:color w:val="auto"/>
                <w:sz w:val="24"/>
                <w:highlight w:val="none"/>
              </w:rPr>
            </w:pPr>
            <w:r>
              <w:rPr>
                <w:bCs/>
                <w:color w:val="auto"/>
                <w:sz w:val="24"/>
                <w:szCs w:val="32"/>
                <w:highlight w:val="none"/>
              </w:rPr>
              <w:t>本项目由</w:t>
            </w:r>
            <w:r>
              <w:rPr>
                <w:rFonts w:hint="eastAsia"/>
                <w:color w:val="auto"/>
                <w:sz w:val="24"/>
                <w:szCs w:val="32"/>
                <w:highlight w:val="none"/>
                <w:lang w:eastAsia="zh-CN" w:bidi="ar"/>
              </w:rPr>
              <w:t>朱仙庄镇镇西村</w:t>
            </w:r>
            <w:r>
              <w:rPr>
                <w:bCs/>
                <w:color w:val="auto"/>
                <w:sz w:val="24"/>
                <w:szCs w:val="32"/>
                <w:highlight w:val="none"/>
              </w:rPr>
              <w:t>供应，年用电量</w:t>
            </w:r>
            <w:r>
              <w:rPr>
                <w:rFonts w:hint="eastAsia"/>
                <w:bCs/>
                <w:color w:val="auto"/>
                <w:sz w:val="24"/>
                <w:szCs w:val="32"/>
                <w:highlight w:val="none"/>
                <w:lang w:val="en-US" w:eastAsia="zh-CN"/>
              </w:rPr>
              <w:t>50</w:t>
            </w:r>
            <w:r>
              <w:rPr>
                <w:bCs/>
                <w:color w:val="auto"/>
                <w:sz w:val="24"/>
                <w:szCs w:val="32"/>
                <w:highlight w:val="none"/>
              </w:rPr>
              <w:t>万KWh。</w:t>
            </w:r>
          </w:p>
          <w:p w14:paraId="2AC90591">
            <w:pPr>
              <w:spacing w:line="360" w:lineRule="auto"/>
              <w:ind w:firstLine="480" w:firstLineChars="200"/>
              <w:rPr>
                <w:color w:val="auto"/>
                <w:sz w:val="24"/>
                <w:highlight w:val="none"/>
              </w:rPr>
            </w:pPr>
          </w:p>
        </w:tc>
      </w:tr>
      <w:tr w14:paraId="10E68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658" w:type="dxa"/>
            <w:vAlign w:val="center"/>
          </w:tcPr>
          <w:p w14:paraId="591E9D29">
            <w:pPr>
              <w:pStyle w:val="35"/>
              <w:adjustRightInd w:val="0"/>
              <w:snapToGrid w:val="0"/>
              <w:spacing w:before="0" w:beforeAutospacing="0" w:after="0" w:afterAutospacing="0"/>
              <w:jc w:val="center"/>
              <w:rPr>
                <w:rFonts w:ascii="Times New Roman" w:hAnsi="Times New Roman"/>
                <w:b/>
                <w:color w:val="auto"/>
                <w:szCs w:val="24"/>
                <w:highlight w:val="none"/>
              </w:rPr>
            </w:pPr>
            <w:r>
              <w:rPr>
                <w:rFonts w:ascii="Times New Roman" w:hAnsi="Times New Roman"/>
                <w:color w:val="auto"/>
                <w:szCs w:val="24"/>
                <w:highlight w:val="none"/>
              </w:rPr>
              <w:t>工艺流程和产排污环节</w:t>
            </w:r>
          </w:p>
        </w:tc>
        <w:tc>
          <w:tcPr>
            <w:tcW w:w="8402" w:type="dxa"/>
          </w:tcPr>
          <w:p w14:paraId="7BA1931A">
            <w:pPr>
              <w:spacing w:line="360" w:lineRule="auto"/>
              <w:rPr>
                <w:color w:val="auto"/>
                <w:sz w:val="24"/>
                <w:highlight w:val="none"/>
              </w:rPr>
            </w:pPr>
            <w:r>
              <w:rPr>
                <w:rFonts w:hint="eastAsia" w:ascii="Times New Roman" w:hAnsi="Times New Roman"/>
                <w:color w:val="auto"/>
                <w:sz w:val="24"/>
                <w:szCs w:val="32"/>
                <w:highlight w:val="none"/>
                <w:lang w:val="en-US" w:eastAsia="zh-CN"/>
              </w:rPr>
              <w:t>1、</w:t>
            </w:r>
            <w:r>
              <w:rPr>
                <w:rFonts w:ascii="Times New Roman" w:hAnsi="Times New Roman"/>
                <w:color w:val="auto"/>
                <w:sz w:val="24"/>
                <w:szCs w:val="32"/>
                <w:highlight w:val="none"/>
              </w:rPr>
              <w:t>工艺流程和产排污环节</w:t>
            </w:r>
          </w:p>
          <w:p w14:paraId="71A8EE16">
            <w:pPr>
              <w:spacing w:line="360" w:lineRule="auto"/>
              <w:jc w:val="center"/>
              <w:rPr>
                <w:color w:val="auto"/>
                <w:sz w:val="24"/>
                <w:highlight w:val="none"/>
              </w:rPr>
            </w:pPr>
            <w:r>
              <w:rPr>
                <w:color w:val="auto"/>
                <w:sz w:val="24"/>
                <w:highlight w:val="none"/>
              </w:rPr>
              <w:object>
                <v:shape id="_x0000_i1026" o:spt="75" type="#_x0000_t75" style="height:619.5pt;width:329.25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p>
          <w:p w14:paraId="4F1CB0C4">
            <w:pPr>
              <w:spacing w:line="360" w:lineRule="auto"/>
              <w:jc w:val="both"/>
              <w:rPr>
                <w:rFonts w:hint="eastAsia"/>
                <w:b/>
                <w:bCs/>
                <w:color w:val="auto"/>
                <w:sz w:val="21"/>
                <w:szCs w:val="21"/>
                <w:highlight w:val="none"/>
                <w:lang w:val="en-US" w:eastAsia="zh-CN"/>
              </w:rPr>
            </w:pPr>
            <w:r>
              <w:rPr>
                <w:rFonts w:hint="eastAsia"/>
                <w:b/>
                <w:bCs/>
                <w:color w:val="auto"/>
                <w:sz w:val="21"/>
                <w:szCs w:val="21"/>
                <w:highlight w:val="none"/>
                <w:lang w:val="en-US" w:eastAsia="zh-CN"/>
              </w:rPr>
              <w:t>注：G1-有机废气；W1-</w:t>
            </w:r>
            <w:r>
              <w:rPr>
                <w:rFonts w:hint="eastAsia" w:cs="Times New Roman"/>
                <w:b/>
                <w:bCs/>
                <w:color w:val="auto"/>
                <w:szCs w:val="21"/>
                <w:highlight w:val="none"/>
                <w:lang w:eastAsia="zh-CN"/>
              </w:rPr>
              <w:t>瓶</w:t>
            </w:r>
            <w:r>
              <w:rPr>
                <w:rFonts w:hint="eastAsia" w:cs="Times New Roman"/>
                <w:b/>
                <w:bCs/>
                <w:color w:val="auto"/>
                <w:szCs w:val="21"/>
                <w:highlight w:val="none"/>
                <w:lang w:val="en-US" w:eastAsia="zh-CN"/>
              </w:rPr>
              <w:t>/桶/盖</w:t>
            </w:r>
            <w:r>
              <w:rPr>
                <w:rFonts w:hint="eastAsia"/>
                <w:b/>
                <w:bCs/>
                <w:color w:val="auto"/>
                <w:sz w:val="21"/>
                <w:szCs w:val="21"/>
                <w:highlight w:val="none"/>
                <w:lang w:val="en-US" w:eastAsia="zh-CN"/>
              </w:rPr>
              <w:t>清洗废水；S1-</w:t>
            </w:r>
            <w:r>
              <w:rPr>
                <w:rFonts w:hint="eastAsia" w:ascii="Times New Roman" w:hAnsi="Times New Roman" w:eastAsia="宋体" w:cs="Times New Roman"/>
                <w:b/>
                <w:bCs/>
                <w:color w:val="auto"/>
                <w:sz w:val="21"/>
                <w:szCs w:val="21"/>
                <w:highlight w:val="none"/>
                <w:lang w:val="en-US" w:eastAsia="zh-CN"/>
              </w:rPr>
              <w:t>废瓶/桶及瓶盖</w:t>
            </w:r>
            <w:r>
              <w:rPr>
                <w:rFonts w:hint="eastAsia"/>
                <w:b/>
                <w:bCs/>
                <w:color w:val="auto"/>
                <w:sz w:val="21"/>
                <w:szCs w:val="21"/>
                <w:highlight w:val="none"/>
                <w:lang w:val="en-US" w:eastAsia="zh-CN"/>
              </w:rPr>
              <w:t>，S2-废包装材料，S3-废灯管。</w:t>
            </w:r>
          </w:p>
          <w:p w14:paraId="6A47093D">
            <w:pPr>
              <w:spacing w:line="360" w:lineRule="auto"/>
              <w:jc w:val="center"/>
              <w:rPr>
                <w:rFonts w:hint="default" w:ascii="Times New Roman" w:hAnsi="Times New Roman" w:eastAsia="宋体" w:cs="Times New Roman"/>
                <w:b/>
                <w:bCs/>
                <w:color w:val="auto"/>
                <w:kern w:val="0"/>
                <w:sz w:val="24"/>
                <w:szCs w:val="24"/>
                <w:highlight w:val="none"/>
                <w:lang w:val="en-US" w:eastAsia="zh-CN" w:bidi="ar"/>
              </w:rPr>
            </w:pPr>
            <w:r>
              <w:rPr>
                <w:rFonts w:hint="eastAsia"/>
                <w:b/>
                <w:bCs/>
                <w:color w:val="auto"/>
                <w:sz w:val="24"/>
                <w:highlight w:val="none"/>
                <w:lang w:eastAsia="zh-CN"/>
              </w:rPr>
              <w:t>图</w:t>
            </w:r>
            <w:r>
              <w:rPr>
                <w:rFonts w:hint="eastAsia"/>
                <w:b/>
                <w:bCs/>
                <w:color w:val="auto"/>
                <w:sz w:val="24"/>
                <w:highlight w:val="none"/>
                <w:lang w:val="en-US" w:eastAsia="zh-CN"/>
              </w:rPr>
              <w:t>2-1 一次性桶装水工艺流程图</w:t>
            </w:r>
            <w:r>
              <w:rPr>
                <w:rFonts w:hint="default" w:ascii="Times New Roman" w:hAnsi="Times New Roman" w:eastAsia="宋体" w:cs="Times New Roman"/>
                <w:b/>
                <w:bCs/>
                <w:color w:val="auto"/>
                <w:kern w:val="0"/>
                <w:sz w:val="24"/>
                <w:szCs w:val="24"/>
                <w:highlight w:val="none"/>
                <w:lang w:val="en-US" w:eastAsia="zh-CN" w:bidi="ar"/>
              </w:rPr>
              <w:t>及产污环节图</w:t>
            </w:r>
          </w:p>
          <w:p w14:paraId="3FCD1E13">
            <w:pPr>
              <w:spacing w:line="360" w:lineRule="auto"/>
              <w:jc w:val="both"/>
              <w:rPr>
                <w:rFonts w:hint="eastAsia" w:eastAsia="宋体"/>
                <w:color w:val="auto"/>
                <w:sz w:val="24"/>
                <w:highlight w:val="none"/>
                <w:lang w:eastAsia="zh-CN"/>
              </w:rPr>
            </w:pPr>
            <w:r>
              <w:rPr>
                <w:rFonts w:hint="eastAsia"/>
                <w:color w:val="auto"/>
                <w:sz w:val="24"/>
                <w:highlight w:val="none"/>
                <w:lang w:eastAsia="zh-CN"/>
              </w:rPr>
              <w:t>工艺流程简述：</w:t>
            </w:r>
          </w:p>
          <w:p w14:paraId="59C8FC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原水处理：本项目将地下水通过多介质（石英砂）过滤、活性炭芯过滤器、精密过滤、臭氧灭菌和钛管超滤的工艺（工艺流程：原水箱→多介质过滤→活性炭芯过滤→精密过滤→中空超滤装置→臭氧灭菌系统→钛管过滤器→成品水）</w:t>
            </w:r>
          </w:p>
          <w:p w14:paraId="52715AB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吹瓶：</w:t>
            </w:r>
            <w:r>
              <w:rPr>
                <w:rFonts w:hint="default" w:ascii="Times New Roman" w:hAnsi="Times New Roman" w:eastAsia="宋体" w:cs="Times New Roman"/>
                <w:color w:val="auto"/>
                <w:kern w:val="0"/>
                <w:sz w:val="24"/>
                <w:szCs w:val="24"/>
                <w:highlight w:val="none"/>
                <w:lang w:val="en-US" w:eastAsia="zh-CN" w:bidi="ar"/>
              </w:rPr>
              <w:t>是在吹瓶机上用高压压缩空气将瓶坯吹瓶成形</w:t>
            </w:r>
            <w:r>
              <w:rPr>
                <w:rFonts w:hint="eastAsia" w:ascii="Times New Roman" w:hAnsi="Times New Roman" w:eastAsia="宋体" w:cs="Times New Roman"/>
                <w:color w:val="auto"/>
                <w:kern w:val="0"/>
                <w:sz w:val="24"/>
                <w:szCs w:val="24"/>
                <w:highlight w:val="none"/>
                <w:lang w:val="en-US" w:eastAsia="zh-CN" w:bidi="ar"/>
              </w:rPr>
              <w:t>。</w:t>
            </w:r>
          </w:p>
          <w:p w14:paraId="4E4A7BB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贴标：在吹瓶完成后的瓶</w:t>
            </w:r>
            <w:r>
              <w:rPr>
                <w:rFonts w:hint="eastAsia" w:cs="Times New Roman"/>
                <w:b w:val="0"/>
                <w:bCs w:val="0"/>
                <w:color w:val="auto"/>
                <w:kern w:val="0"/>
                <w:sz w:val="24"/>
                <w:szCs w:val="24"/>
                <w:highlight w:val="none"/>
                <w:lang w:val="en-US" w:eastAsia="zh-CN" w:bidi="ar"/>
              </w:rPr>
              <w:t>身上</w:t>
            </w:r>
            <w:r>
              <w:rPr>
                <w:rFonts w:hint="default" w:ascii="Times New Roman" w:hAnsi="Times New Roman" w:eastAsia="宋体" w:cs="Times New Roman"/>
                <w:b w:val="0"/>
                <w:bCs w:val="0"/>
                <w:color w:val="auto"/>
                <w:kern w:val="0"/>
                <w:sz w:val="24"/>
                <w:szCs w:val="24"/>
                <w:highlight w:val="none"/>
                <w:lang w:val="en-US" w:eastAsia="zh-CN" w:bidi="ar"/>
              </w:rPr>
              <w:t>贴标签。</w:t>
            </w:r>
          </w:p>
          <w:p w14:paraId="55EADB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消毒清洗：项目空桶、塑料瓶、瓶盖在使用前需进行清洗消毒</w:t>
            </w:r>
            <w:r>
              <w:rPr>
                <w:rFonts w:hint="eastAsia" w:ascii="宋体" w:hAnsi="宋体" w:cs="宋体"/>
                <w:b w:val="0"/>
                <w:bCs w:val="0"/>
                <w:color w:val="auto"/>
                <w:kern w:val="0"/>
                <w:sz w:val="24"/>
                <w:szCs w:val="24"/>
                <w:highlight w:val="none"/>
                <w:lang w:val="en-US" w:eastAsia="zh-CN" w:bidi="ar"/>
              </w:rPr>
              <w:t>（使用臭氧消毒）</w:t>
            </w:r>
            <w:r>
              <w:rPr>
                <w:rFonts w:hint="eastAsia" w:ascii="宋体" w:hAnsi="宋体" w:eastAsia="宋体" w:cs="宋体"/>
                <w:b w:val="0"/>
                <w:bCs w:val="0"/>
                <w:color w:val="auto"/>
                <w:kern w:val="0"/>
                <w:sz w:val="24"/>
                <w:szCs w:val="24"/>
                <w:highlight w:val="none"/>
                <w:lang w:val="en-US" w:eastAsia="zh-CN" w:bidi="ar"/>
              </w:rPr>
              <w:t>，包括空桶、塑料瓶的外壁、内壁，经清洗消毒后的空桶、塑料瓶、瓶盖进入灌装生产线。</w:t>
            </w:r>
          </w:p>
          <w:p w14:paraId="298A46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灌装：清洗后的瓶子</w:t>
            </w:r>
            <w:r>
              <w:rPr>
                <w:rFonts w:hint="default" w:ascii="Times New Roman" w:hAnsi="Times New Roman" w:eastAsia="宋体" w:cs="Times New Roman"/>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桶和纯净水在自动灌装机下进行灌装，全部自动化、封闭化。罐装后通过自动旋盖机旋盖、封盖。</w:t>
            </w:r>
          </w:p>
          <w:p w14:paraId="3CBF279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灯检：灯检标准为不得检出肉眼可见物。对产品进行抽检，合格批次入库代售；不合格批次，将水</w:t>
            </w:r>
            <w:r>
              <w:rPr>
                <w:rFonts w:hint="eastAsia" w:ascii="宋体" w:hAnsi="宋体" w:cs="宋体"/>
                <w:b w:val="0"/>
                <w:bCs w:val="0"/>
                <w:color w:val="auto"/>
                <w:kern w:val="0"/>
                <w:sz w:val="24"/>
                <w:szCs w:val="24"/>
                <w:highlight w:val="none"/>
                <w:lang w:val="en-US" w:eastAsia="zh-CN" w:bidi="ar"/>
              </w:rPr>
              <w:t>回</w:t>
            </w:r>
            <w:r>
              <w:rPr>
                <w:rFonts w:hint="eastAsia" w:ascii="宋体" w:hAnsi="宋体" w:eastAsia="宋体" w:cs="宋体"/>
                <w:b w:val="0"/>
                <w:bCs w:val="0"/>
                <w:color w:val="auto"/>
                <w:kern w:val="0"/>
                <w:sz w:val="24"/>
                <w:szCs w:val="24"/>
                <w:highlight w:val="none"/>
                <w:lang w:val="en-US" w:eastAsia="zh-CN" w:bidi="ar"/>
              </w:rPr>
              <w:t>用于</w:t>
            </w:r>
            <w:r>
              <w:rPr>
                <w:rFonts w:hint="eastAsia" w:ascii="宋体" w:hAnsi="宋体" w:cs="宋体"/>
                <w:b w:val="0"/>
                <w:bCs w:val="0"/>
                <w:color w:val="auto"/>
                <w:kern w:val="0"/>
                <w:sz w:val="24"/>
                <w:szCs w:val="24"/>
                <w:highlight w:val="none"/>
                <w:lang w:val="en-US" w:eastAsia="zh-CN" w:bidi="ar"/>
              </w:rPr>
              <w:t>灌装</w:t>
            </w:r>
            <w:r>
              <w:rPr>
                <w:rFonts w:hint="eastAsia" w:ascii="宋体" w:hAnsi="宋体" w:eastAsia="宋体" w:cs="宋体"/>
                <w:b w:val="0"/>
                <w:bCs w:val="0"/>
                <w:color w:val="auto"/>
                <w:kern w:val="0"/>
                <w:sz w:val="24"/>
                <w:szCs w:val="24"/>
                <w:highlight w:val="none"/>
                <w:lang w:val="en-US" w:eastAsia="zh-CN" w:bidi="ar"/>
              </w:rPr>
              <w:t>，废瓶/桶及瓶盖全部外售。</w:t>
            </w:r>
          </w:p>
          <w:p w14:paraId="596225C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套标：灯检完成后在瓶口上套标签。</w:t>
            </w:r>
          </w:p>
          <w:p w14:paraId="0F1566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喷码：成品瓶</w:t>
            </w:r>
            <w:r>
              <w:rPr>
                <w:rFonts w:hint="default" w:ascii="Times New Roman" w:hAnsi="Times New Roman" w:eastAsia="宋体" w:cs="Times New Roman"/>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桶装水经过打码生产日期。由于采用激光打码，故不产生废气。</w:t>
            </w:r>
          </w:p>
          <w:p w14:paraId="3D7868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理瓶：利用理瓶机降喷码完成后的瓶整理，以便完成后期封包工艺。</w:t>
            </w:r>
          </w:p>
          <w:p w14:paraId="4B7A9A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封包</w:t>
            </w:r>
            <w:r>
              <w:rPr>
                <w:rFonts w:hint="eastAsia" w:ascii="宋体" w:hAnsi="宋体" w:eastAsia="宋体" w:cs="宋体"/>
                <w:b w:val="0"/>
                <w:bCs w:val="0"/>
                <w:color w:val="auto"/>
                <w:kern w:val="0"/>
                <w:sz w:val="24"/>
                <w:szCs w:val="24"/>
                <w:highlight w:val="none"/>
                <w:lang w:val="en-US" w:eastAsia="zh-CN" w:bidi="ar"/>
              </w:rPr>
              <w:t>：利用</w:t>
            </w:r>
            <w:r>
              <w:rPr>
                <w:rFonts w:hint="eastAsia" w:ascii="宋体" w:hAnsi="宋体" w:cs="宋体"/>
                <w:b w:val="0"/>
                <w:bCs w:val="0"/>
                <w:color w:val="auto"/>
                <w:kern w:val="0"/>
                <w:sz w:val="24"/>
                <w:szCs w:val="24"/>
                <w:highlight w:val="none"/>
                <w:lang w:val="en-US" w:eastAsia="zh-CN" w:bidi="ar"/>
              </w:rPr>
              <w:t>封包</w:t>
            </w:r>
            <w:r>
              <w:rPr>
                <w:rFonts w:hint="eastAsia" w:ascii="宋体" w:hAnsi="宋体" w:eastAsia="宋体" w:cs="宋体"/>
                <w:b w:val="0"/>
                <w:bCs w:val="0"/>
                <w:color w:val="auto"/>
                <w:kern w:val="0"/>
                <w:sz w:val="24"/>
                <w:szCs w:val="24"/>
                <w:highlight w:val="none"/>
                <w:lang w:val="en-US" w:eastAsia="zh-CN" w:bidi="ar"/>
              </w:rPr>
              <w:t>机</w:t>
            </w:r>
            <w:r>
              <w:rPr>
                <w:rFonts w:ascii="宋体" w:hAnsi="宋体" w:eastAsia="宋体" w:cs="宋体"/>
                <w:color w:val="auto"/>
                <w:sz w:val="24"/>
                <w:szCs w:val="24"/>
                <w:highlight w:val="none"/>
              </w:rPr>
              <w:t>通过加热</w:t>
            </w:r>
            <w:r>
              <w:rPr>
                <w:rFonts w:hint="eastAsia" w:ascii="宋体" w:hAnsi="宋体" w:eastAsia="宋体" w:cs="宋体"/>
                <w:b w:val="0"/>
                <w:bCs w:val="0"/>
                <w:color w:val="auto"/>
                <w:kern w:val="0"/>
                <w:sz w:val="24"/>
                <w:szCs w:val="24"/>
                <w:highlight w:val="none"/>
                <w:lang w:val="en-US" w:eastAsia="zh-CN" w:bidi="ar"/>
              </w:rPr>
              <w:t>将</w:t>
            </w:r>
            <w:r>
              <w:rPr>
                <w:rFonts w:hint="eastAsia" w:ascii="Times New Roman" w:hAnsi="Times New Roman" w:eastAsia="宋体" w:cs="Times New Roman"/>
                <w:color w:val="auto"/>
                <w:kern w:val="2"/>
                <w:sz w:val="24"/>
                <w:szCs w:val="24"/>
                <w:highlight w:val="none"/>
                <w:lang w:val="en-US" w:eastAsia="zh-CN" w:bidi="ar-SA"/>
              </w:rPr>
              <w:t>桶口热缩膜</w:t>
            </w:r>
            <w:r>
              <w:rPr>
                <w:rFonts w:ascii="宋体" w:hAnsi="宋体" w:eastAsia="宋体" w:cs="宋体"/>
                <w:color w:val="auto"/>
                <w:sz w:val="24"/>
                <w:szCs w:val="24"/>
                <w:highlight w:val="none"/>
              </w:rPr>
              <w:t>收缩并紧密包裹</w:t>
            </w:r>
            <w:r>
              <w:rPr>
                <w:rFonts w:hint="eastAsia" w:ascii="宋体" w:hAnsi="宋体" w:eastAsia="宋体" w:cs="宋体"/>
                <w:color w:val="auto"/>
                <w:sz w:val="24"/>
                <w:szCs w:val="24"/>
                <w:highlight w:val="none"/>
                <w:lang w:eastAsia="zh-CN"/>
              </w:rPr>
              <w:t>水桶</w:t>
            </w:r>
            <w:r>
              <w:rPr>
                <w:rFonts w:hint="eastAsia" w:ascii="宋体" w:hAnsi="宋体" w:eastAsia="宋体" w:cs="宋体"/>
                <w:b w:val="0"/>
                <w:bCs w:val="0"/>
                <w:color w:val="auto"/>
                <w:kern w:val="0"/>
                <w:sz w:val="24"/>
                <w:szCs w:val="24"/>
                <w:highlight w:val="none"/>
                <w:lang w:val="en-US" w:eastAsia="zh-CN" w:bidi="ar"/>
              </w:rPr>
              <w:t>。</w:t>
            </w:r>
            <w:r>
              <w:rPr>
                <w:rFonts w:ascii="宋体" w:hAnsi="宋体" w:eastAsia="宋体" w:cs="宋体"/>
                <w:color w:val="auto"/>
                <w:sz w:val="24"/>
                <w:szCs w:val="24"/>
                <w:highlight w:val="none"/>
              </w:rPr>
              <w:t>热缩</w:t>
            </w:r>
            <w:r>
              <w:rPr>
                <w:rFonts w:hint="eastAsia"/>
                <w:color w:val="auto"/>
                <w:sz w:val="24"/>
                <w:szCs w:val="24"/>
                <w:highlight w:val="none"/>
                <w:lang w:eastAsia="zh-CN"/>
              </w:rPr>
              <w:t>机使用蒸汽加热，</w:t>
            </w:r>
            <w:r>
              <w:rPr>
                <w:rFonts w:ascii="宋体" w:hAnsi="宋体" w:eastAsia="宋体" w:cs="宋体"/>
                <w:color w:val="auto"/>
                <w:sz w:val="24"/>
                <w:szCs w:val="24"/>
                <w:highlight w:val="none"/>
              </w:rPr>
              <w:t>在收缩过程中，</w:t>
            </w:r>
            <w:r>
              <w:rPr>
                <w:rFonts w:hint="eastAsia" w:ascii="宋体" w:hAnsi="宋体" w:eastAsia="宋体" w:cs="宋体"/>
                <w:color w:val="auto"/>
                <w:sz w:val="24"/>
                <w:szCs w:val="24"/>
                <w:highlight w:val="none"/>
                <w:lang w:eastAsia="zh-CN"/>
              </w:rPr>
              <w:t>会产生少量</w:t>
            </w:r>
            <w:r>
              <w:rPr>
                <w:rFonts w:ascii="宋体" w:hAnsi="宋体" w:eastAsia="宋体" w:cs="宋体"/>
                <w:color w:val="auto"/>
                <w:sz w:val="24"/>
                <w:szCs w:val="24"/>
                <w:highlight w:val="none"/>
              </w:rPr>
              <w:t>废气，废气的排放量较低</w:t>
            </w:r>
            <w:r>
              <w:rPr>
                <w:rFonts w:hint="eastAsia" w:ascii="宋体" w:hAnsi="宋体" w:eastAsia="宋体" w:cs="宋体"/>
                <w:color w:val="auto"/>
                <w:sz w:val="24"/>
                <w:szCs w:val="24"/>
                <w:highlight w:val="none"/>
                <w:lang w:eastAsia="zh-CN"/>
              </w:rPr>
              <w:t>，本项目不对其进行定量分析。</w:t>
            </w:r>
          </w:p>
          <w:p w14:paraId="07D60D7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包装：</w:t>
            </w:r>
            <w:r>
              <w:rPr>
                <w:rFonts w:hint="eastAsia" w:ascii="宋体" w:hAnsi="宋体" w:cs="宋体"/>
                <w:b w:val="0"/>
                <w:bCs w:val="0"/>
                <w:color w:val="auto"/>
                <w:kern w:val="0"/>
                <w:sz w:val="24"/>
                <w:szCs w:val="24"/>
                <w:highlight w:val="none"/>
                <w:lang w:val="en-US" w:eastAsia="zh-CN" w:bidi="ar"/>
              </w:rPr>
              <w:t>利用套袋机降</w:t>
            </w:r>
            <w:r>
              <w:rPr>
                <w:rFonts w:hint="eastAsia" w:ascii="宋体" w:hAnsi="宋体" w:eastAsia="宋体" w:cs="宋体"/>
                <w:b w:val="0"/>
                <w:bCs w:val="0"/>
                <w:color w:val="auto"/>
                <w:kern w:val="0"/>
                <w:sz w:val="24"/>
                <w:szCs w:val="24"/>
                <w:highlight w:val="none"/>
                <w:lang w:val="en-US" w:eastAsia="zh-CN" w:bidi="ar"/>
              </w:rPr>
              <w:t>成品瓶</w:t>
            </w:r>
            <w:r>
              <w:rPr>
                <w:rFonts w:hint="default" w:ascii="Times New Roman" w:hAnsi="Times New Roman" w:eastAsia="宋体" w:cs="Times New Roman"/>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桶装水</w:t>
            </w:r>
            <w:r>
              <w:rPr>
                <w:rFonts w:hint="eastAsia" w:ascii="宋体" w:hAnsi="宋体" w:cs="宋体"/>
                <w:b w:val="0"/>
                <w:bCs w:val="0"/>
                <w:color w:val="auto"/>
                <w:kern w:val="0"/>
                <w:sz w:val="24"/>
                <w:szCs w:val="24"/>
                <w:highlight w:val="none"/>
                <w:lang w:val="en-US" w:eastAsia="zh-CN" w:bidi="ar"/>
              </w:rPr>
              <w:t>套袋</w:t>
            </w:r>
            <w:r>
              <w:rPr>
                <w:rFonts w:hint="eastAsia" w:ascii="宋体" w:hAnsi="宋体" w:eastAsia="宋体" w:cs="宋体"/>
                <w:b w:val="0"/>
                <w:bCs w:val="0"/>
                <w:color w:val="auto"/>
                <w:kern w:val="0"/>
                <w:sz w:val="24"/>
                <w:szCs w:val="24"/>
                <w:highlight w:val="none"/>
                <w:lang w:val="en-US" w:eastAsia="zh-CN" w:bidi="ar"/>
              </w:rPr>
              <w:t>，入库待售。</w:t>
            </w:r>
          </w:p>
          <w:p w14:paraId="78CD3DD0">
            <w:pPr>
              <w:spacing w:line="360" w:lineRule="auto"/>
              <w:jc w:val="center"/>
              <w:rPr>
                <w:color w:val="auto"/>
                <w:sz w:val="24"/>
                <w:highlight w:val="none"/>
              </w:rPr>
            </w:pPr>
            <w:r>
              <w:rPr>
                <w:color w:val="auto"/>
                <w:sz w:val="24"/>
                <w:highlight w:val="none"/>
              </w:rPr>
              <w:object>
                <v:shape id="_x0000_i1027" o:spt="75" type="#_x0000_t75" style="height:521.75pt;width:327.7pt;" o:ole="t" filled="f" o:preferrelative="t" stroked="f" coordsize="21600,21600">
                  <v:path/>
                  <v:fill on="f" focussize="0,0"/>
                  <v:stroke on="f"/>
                  <v:imagedata r:id="rId13" o:title=""/>
                  <o:lock v:ext="edit" aspectratio="f"/>
                  <w10:wrap type="none"/>
                  <w10:anchorlock/>
                </v:shape>
                <o:OLEObject Type="Embed" ProgID="Visio.Drawing.11" ShapeID="_x0000_i1027" DrawAspect="Content" ObjectID="_1468075727" r:id="rId12">
                  <o:LockedField>false</o:LockedField>
                </o:OLEObject>
              </w:object>
            </w:r>
          </w:p>
          <w:p w14:paraId="1682A813">
            <w:pPr>
              <w:spacing w:line="360" w:lineRule="auto"/>
              <w:jc w:val="both"/>
              <w:rPr>
                <w:rFonts w:hint="default" w:eastAsia="宋体"/>
                <w:b/>
                <w:bCs/>
                <w:color w:val="auto"/>
                <w:sz w:val="24"/>
                <w:highlight w:val="none"/>
                <w:lang w:val="en-US" w:eastAsia="zh-CN"/>
              </w:rPr>
            </w:pPr>
            <w:r>
              <w:rPr>
                <w:rFonts w:hint="eastAsia" w:ascii="Times New Roman" w:hAnsi="Times New Roman" w:eastAsia="宋体" w:cs="Times New Roman"/>
                <w:b/>
                <w:bCs/>
                <w:color w:val="auto"/>
                <w:sz w:val="21"/>
                <w:szCs w:val="21"/>
                <w:highlight w:val="none"/>
                <w:lang w:val="en-US" w:eastAsia="zh-CN"/>
              </w:rPr>
              <w:t>注：W1-瓶/桶/盖清洗废水；S1-废瓶/桶及瓶盖</w:t>
            </w:r>
            <w:r>
              <w:rPr>
                <w:rFonts w:hint="eastAsia"/>
                <w:b/>
                <w:bCs/>
                <w:color w:val="auto"/>
                <w:sz w:val="21"/>
                <w:szCs w:val="21"/>
                <w:highlight w:val="none"/>
                <w:lang w:val="en-US" w:eastAsia="zh-CN"/>
              </w:rPr>
              <w:t>，S2-废包装材料，S3-废灯管</w:t>
            </w:r>
            <w:r>
              <w:rPr>
                <w:rFonts w:hint="eastAsia"/>
                <w:b/>
                <w:bCs/>
                <w:color w:val="auto"/>
                <w:sz w:val="24"/>
                <w:szCs w:val="24"/>
                <w:highlight w:val="none"/>
                <w:lang w:val="en-US" w:eastAsia="zh-CN"/>
              </w:rPr>
              <w:t>。</w:t>
            </w:r>
          </w:p>
          <w:p w14:paraId="43144830">
            <w:pPr>
              <w:spacing w:line="360" w:lineRule="auto"/>
              <w:jc w:val="center"/>
              <w:rPr>
                <w:rFonts w:hint="default" w:ascii="Times New Roman" w:hAnsi="Times New Roman" w:eastAsia="宋体" w:cs="Times New Roman"/>
                <w:b/>
                <w:bCs/>
                <w:color w:val="auto"/>
                <w:kern w:val="0"/>
                <w:sz w:val="24"/>
                <w:szCs w:val="24"/>
                <w:highlight w:val="none"/>
                <w:lang w:val="en-US" w:eastAsia="zh-CN" w:bidi="ar"/>
              </w:rPr>
            </w:pPr>
            <w:r>
              <w:rPr>
                <w:rFonts w:hint="eastAsia"/>
                <w:b/>
                <w:bCs/>
                <w:color w:val="auto"/>
                <w:sz w:val="24"/>
                <w:highlight w:val="none"/>
                <w:lang w:eastAsia="zh-CN"/>
              </w:rPr>
              <w:t>图</w:t>
            </w:r>
            <w:r>
              <w:rPr>
                <w:rFonts w:hint="eastAsia"/>
                <w:b/>
                <w:bCs/>
                <w:color w:val="auto"/>
                <w:sz w:val="24"/>
                <w:highlight w:val="none"/>
                <w:lang w:val="en-US" w:eastAsia="zh-CN"/>
              </w:rPr>
              <w:t>2-2 循环桶装水工艺流程图</w:t>
            </w:r>
            <w:r>
              <w:rPr>
                <w:rFonts w:hint="default" w:ascii="Times New Roman" w:hAnsi="Times New Roman" w:eastAsia="宋体" w:cs="Times New Roman"/>
                <w:b/>
                <w:bCs/>
                <w:color w:val="auto"/>
                <w:kern w:val="0"/>
                <w:sz w:val="24"/>
                <w:szCs w:val="24"/>
                <w:highlight w:val="none"/>
                <w:lang w:val="en-US" w:eastAsia="zh-CN" w:bidi="ar"/>
              </w:rPr>
              <w:t>及产污环节图</w:t>
            </w:r>
          </w:p>
          <w:p w14:paraId="63CFD4DB">
            <w:pPr>
              <w:spacing w:line="360" w:lineRule="auto"/>
              <w:jc w:val="both"/>
              <w:rPr>
                <w:rFonts w:hint="default" w:ascii="Times New Roman" w:hAnsi="Times New Roman" w:eastAsia="宋体" w:cs="Times New Roman"/>
                <w:b/>
                <w:bCs/>
                <w:color w:val="auto"/>
                <w:kern w:val="0"/>
                <w:sz w:val="24"/>
                <w:szCs w:val="24"/>
                <w:highlight w:val="none"/>
                <w:lang w:val="en-US" w:eastAsia="zh-CN" w:bidi="ar"/>
              </w:rPr>
            </w:pPr>
            <w:r>
              <w:rPr>
                <w:rFonts w:hint="eastAsia" w:cs="Times New Roman"/>
                <w:b/>
                <w:bCs/>
                <w:color w:val="auto"/>
                <w:kern w:val="0"/>
                <w:sz w:val="24"/>
                <w:szCs w:val="24"/>
                <w:highlight w:val="none"/>
                <w:lang w:val="en-US" w:eastAsia="zh-CN" w:bidi="ar"/>
              </w:rPr>
              <w:t>工艺流程简述：</w:t>
            </w:r>
          </w:p>
          <w:p w14:paraId="40225E4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olor w:val="auto"/>
                <w:sz w:val="24"/>
                <w:szCs w:val="24"/>
                <w:highlight w:val="none"/>
                <w:u w:val="none"/>
                <w:lang w:eastAsia="zh-CN"/>
              </w:rPr>
            </w:pPr>
            <w:r>
              <w:rPr>
                <w:rFonts w:hint="eastAsia" w:ascii="宋体" w:hAnsi="宋体" w:eastAsia="宋体" w:cs="宋体"/>
                <w:b w:val="0"/>
                <w:bCs w:val="0"/>
                <w:color w:val="auto"/>
                <w:kern w:val="0"/>
                <w:sz w:val="24"/>
                <w:szCs w:val="24"/>
                <w:highlight w:val="none"/>
                <w:lang w:val="en-US" w:eastAsia="zh-CN" w:bidi="ar"/>
              </w:rPr>
              <w:t>拔盖：利用</w:t>
            </w:r>
            <w:r>
              <w:rPr>
                <w:rFonts w:hint="eastAsia" w:ascii="宋体" w:hAnsi="宋体" w:eastAsia="宋体" w:cs="宋体"/>
                <w:b w:val="0"/>
                <w:bCs w:val="0"/>
                <w:i w:val="0"/>
                <w:color w:val="auto"/>
                <w:sz w:val="24"/>
                <w:szCs w:val="24"/>
                <w:highlight w:val="none"/>
                <w:u w:val="none"/>
                <w:lang w:eastAsia="zh-CN"/>
              </w:rPr>
              <w:t>割膜拔盖机</w:t>
            </w:r>
            <w:r>
              <w:rPr>
                <w:b w:val="0"/>
                <w:bCs w:val="0"/>
                <w:color w:val="auto"/>
                <w:sz w:val="24"/>
                <w:szCs w:val="24"/>
                <w:highlight w:val="none"/>
              </w:rPr>
              <w:t>拔掉</w:t>
            </w:r>
            <w:r>
              <w:rPr>
                <w:rFonts w:hint="eastAsia"/>
                <w:b w:val="0"/>
                <w:bCs w:val="0"/>
                <w:color w:val="auto"/>
                <w:sz w:val="24"/>
                <w:szCs w:val="24"/>
                <w:highlight w:val="none"/>
                <w:lang w:eastAsia="zh-CN"/>
              </w:rPr>
              <w:t>循环桶</w:t>
            </w:r>
            <w:r>
              <w:rPr>
                <w:b w:val="0"/>
                <w:bCs w:val="0"/>
                <w:color w:val="auto"/>
                <w:sz w:val="24"/>
                <w:szCs w:val="24"/>
                <w:highlight w:val="none"/>
              </w:rPr>
              <w:t>的瓶盖并切割瓶口处的薄膜</w:t>
            </w:r>
            <w:r>
              <w:rPr>
                <w:rFonts w:hint="eastAsia"/>
                <w:b w:val="0"/>
                <w:bCs w:val="0"/>
                <w:color w:val="auto"/>
                <w:sz w:val="24"/>
                <w:szCs w:val="24"/>
                <w:highlight w:val="none"/>
                <w:lang w:eastAsia="zh-CN"/>
              </w:rPr>
              <w:t>，以便后期对循环桶的清洗。</w:t>
            </w:r>
          </w:p>
          <w:p w14:paraId="63BC76E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刷洗：利用外刷机对循环桶的外壁进行清洗。</w:t>
            </w:r>
          </w:p>
          <w:p w14:paraId="187C728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冲洗：利用高压内洗机对循环桶的内壁、盖子进行清洗</w:t>
            </w:r>
          </w:p>
          <w:p w14:paraId="54D844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highlight w:val="none"/>
              </w:rPr>
            </w:pPr>
            <w:r>
              <w:rPr>
                <w:rFonts w:hint="eastAsia" w:ascii="宋体" w:hAnsi="宋体" w:eastAsia="宋体" w:cs="宋体"/>
                <w:b w:val="0"/>
                <w:bCs w:val="0"/>
                <w:color w:val="auto"/>
                <w:kern w:val="0"/>
                <w:sz w:val="24"/>
                <w:szCs w:val="24"/>
                <w:highlight w:val="none"/>
                <w:lang w:val="en-US" w:eastAsia="zh-CN" w:bidi="ar"/>
              </w:rPr>
              <w:t>消毒：对循环桶、盖子利用</w:t>
            </w:r>
            <w:r>
              <w:rPr>
                <w:rFonts w:hint="eastAsia" w:ascii="宋体" w:hAnsi="宋体" w:eastAsia="宋体" w:cs="宋体"/>
                <w:b w:val="0"/>
                <w:bCs w:val="0"/>
                <w:i w:val="0"/>
                <w:color w:val="auto"/>
                <w:sz w:val="24"/>
                <w:szCs w:val="24"/>
                <w:highlight w:val="none"/>
                <w:u w:val="none"/>
                <w:lang w:eastAsia="zh-CN"/>
              </w:rPr>
              <w:t>内洗清洗消毒机进行清洗消毒</w:t>
            </w:r>
            <w:r>
              <w:rPr>
                <w:rFonts w:hint="eastAsia" w:ascii="宋体" w:hAnsi="宋体" w:cs="宋体"/>
                <w:b w:val="0"/>
                <w:bCs w:val="0"/>
                <w:i w:val="0"/>
                <w:color w:val="auto"/>
                <w:sz w:val="24"/>
                <w:szCs w:val="24"/>
                <w:highlight w:val="none"/>
                <w:u w:val="none"/>
                <w:lang w:eastAsia="zh-CN"/>
              </w:rPr>
              <w:t>（使用臭氧消毒）</w:t>
            </w:r>
            <w:r>
              <w:rPr>
                <w:rFonts w:hint="eastAsia" w:ascii="宋体" w:hAnsi="宋体" w:eastAsia="宋体" w:cs="宋体"/>
                <w:b w:val="0"/>
                <w:bCs w:val="0"/>
                <w:i w:val="0"/>
                <w:color w:val="auto"/>
                <w:sz w:val="24"/>
                <w:szCs w:val="24"/>
                <w:highlight w:val="none"/>
                <w:u w:val="none"/>
                <w:lang w:eastAsia="zh-CN"/>
              </w:rPr>
              <w:t>，</w:t>
            </w:r>
            <w:r>
              <w:rPr>
                <w:rFonts w:hint="eastAsia" w:ascii="宋体" w:hAnsi="宋体" w:eastAsia="宋体" w:cs="宋体"/>
                <w:b w:val="0"/>
                <w:bCs w:val="0"/>
                <w:color w:val="auto"/>
                <w:kern w:val="0"/>
                <w:sz w:val="24"/>
                <w:szCs w:val="24"/>
                <w:highlight w:val="none"/>
                <w:lang w:val="en-US" w:eastAsia="zh-CN" w:bidi="ar"/>
              </w:rPr>
              <w:t>经清洗消毒后的循环桶、盖子进入灌装生产线。在此过程中，清洗会产生清洗废水。</w:t>
            </w:r>
            <w:r>
              <w:rPr>
                <w:rFonts w:hint="eastAsia" w:ascii="宋体" w:hAnsi="宋体" w:eastAsia="宋体" w:cs="宋体"/>
                <w:color w:val="auto"/>
                <w:kern w:val="0"/>
                <w:sz w:val="24"/>
                <w:szCs w:val="24"/>
                <w:highlight w:val="none"/>
                <w:lang w:val="en-US" w:eastAsia="zh-CN" w:bidi="ar"/>
              </w:rPr>
              <w:t xml:space="preserve"> </w:t>
            </w:r>
          </w:p>
          <w:p w14:paraId="4E20F2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灌装：清洗后的瓶子</w:t>
            </w:r>
            <w:r>
              <w:rPr>
                <w:rFonts w:hint="default" w:ascii="Times New Roman" w:hAnsi="Times New Roman" w:eastAsia="宋体" w:cs="Times New Roman"/>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桶和纯净水在自动灌装机下进行灌装，全部自动化、封闭化。罐装后封盖。</w:t>
            </w:r>
          </w:p>
          <w:p w14:paraId="7F44906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灯检：灯检标准为</w:t>
            </w:r>
            <w:r>
              <w:rPr>
                <w:rFonts w:hint="eastAsia" w:ascii="宋体" w:hAnsi="宋体" w:cs="宋体"/>
                <w:b w:val="0"/>
                <w:bCs w:val="0"/>
                <w:color w:val="auto"/>
                <w:kern w:val="0"/>
                <w:sz w:val="24"/>
                <w:szCs w:val="24"/>
                <w:highlight w:val="none"/>
                <w:lang w:val="en-US" w:eastAsia="zh-CN" w:bidi="ar"/>
              </w:rPr>
              <w:t>桶/瓶外包装是否有外伤等</w:t>
            </w:r>
            <w:r>
              <w:rPr>
                <w:rFonts w:hint="eastAsia" w:ascii="宋体" w:hAnsi="宋体" w:eastAsia="宋体" w:cs="宋体"/>
                <w:b w:val="0"/>
                <w:bCs w:val="0"/>
                <w:color w:val="auto"/>
                <w:kern w:val="0"/>
                <w:sz w:val="24"/>
                <w:szCs w:val="24"/>
                <w:highlight w:val="none"/>
                <w:lang w:val="en-US" w:eastAsia="zh-CN" w:bidi="ar"/>
              </w:rPr>
              <w:t>。对产品进行抽检，合格批次入库代售；不合格</w:t>
            </w:r>
            <w:r>
              <w:rPr>
                <w:rFonts w:hint="eastAsia" w:ascii="宋体" w:hAnsi="宋体" w:cs="宋体"/>
                <w:b w:val="0"/>
                <w:bCs w:val="0"/>
                <w:color w:val="auto"/>
                <w:kern w:val="0"/>
                <w:sz w:val="24"/>
                <w:szCs w:val="24"/>
                <w:highlight w:val="none"/>
                <w:lang w:val="en-US" w:eastAsia="zh-CN" w:bidi="ar"/>
              </w:rPr>
              <w:t>外包装</w:t>
            </w:r>
            <w:r>
              <w:rPr>
                <w:rFonts w:hint="eastAsia" w:ascii="宋体" w:hAnsi="宋体" w:eastAsia="宋体" w:cs="宋体"/>
                <w:b w:val="0"/>
                <w:bCs w:val="0"/>
                <w:color w:val="auto"/>
                <w:kern w:val="0"/>
                <w:sz w:val="24"/>
                <w:szCs w:val="24"/>
                <w:highlight w:val="none"/>
                <w:lang w:val="en-US" w:eastAsia="zh-CN" w:bidi="ar"/>
              </w:rPr>
              <w:t>，将水</w:t>
            </w:r>
            <w:r>
              <w:rPr>
                <w:rFonts w:hint="eastAsia" w:ascii="宋体" w:hAnsi="宋体" w:cs="宋体"/>
                <w:b w:val="0"/>
                <w:bCs w:val="0"/>
                <w:color w:val="auto"/>
                <w:kern w:val="0"/>
                <w:sz w:val="24"/>
                <w:szCs w:val="24"/>
                <w:highlight w:val="none"/>
                <w:lang w:val="en-US" w:eastAsia="zh-CN" w:bidi="ar"/>
              </w:rPr>
              <w:t>回用于灌装</w:t>
            </w:r>
            <w:r>
              <w:rPr>
                <w:rFonts w:hint="eastAsia" w:ascii="宋体" w:hAnsi="宋体" w:eastAsia="宋体" w:cs="宋体"/>
                <w:b w:val="0"/>
                <w:bCs w:val="0"/>
                <w:color w:val="auto"/>
                <w:kern w:val="0"/>
                <w:sz w:val="24"/>
                <w:szCs w:val="24"/>
                <w:highlight w:val="none"/>
                <w:lang w:val="en-US" w:eastAsia="zh-CN" w:bidi="ar"/>
              </w:rPr>
              <w:t>，废瓶/桶及瓶盖全部外售。</w:t>
            </w:r>
          </w:p>
          <w:p w14:paraId="4731F32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套标：利用套标机将套标标签套在瓶口处。</w:t>
            </w:r>
          </w:p>
          <w:p w14:paraId="0FD8257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热收缩：利用热缩机</w:t>
            </w:r>
            <w:r>
              <w:rPr>
                <w:rFonts w:ascii="宋体" w:hAnsi="宋体" w:eastAsia="宋体" w:cs="宋体"/>
                <w:color w:val="auto"/>
                <w:sz w:val="24"/>
                <w:szCs w:val="24"/>
                <w:highlight w:val="none"/>
              </w:rPr>
              <w:t>通过</w:t>
            </w:r>
            <w:r>
              <w:rPr>
                <w:rFonts w:hint="eastAsia" w:ascii="宋体" w:hAnsi="宋体" w:cs="宋体"/>
                <w:color w:val="auto"/>
                <w:sz w:val="24"/>
                <w:szCs w:val="24"/>
                <w:highlight w:val="none"/>
                <w:lang w:eastAsia="zh-CN"/>
              </w:rPr>
              <w:t>蒸汽</w:t>
            </w:r>
            <w:r>
              <w:rPr>
                <w:rFonts w:ascii="宋体" w:hAnsi="宋体" w:eastAsia="宋体" w:cs="宋体"/>
                <w:color w:val="auto"/>
                <w:sz w:val="24"/>
                <w:szCs w:val="24"/>
                <w:highlight w:val="none"/>
              </w:rPr>
              <w:t>加热</w:t>
            </w:r>
            <w:r>
              <w:rPr>
                <w:rFonts w:hint="eastAsia" w:ascii="宋体" w:hAnsi="宋体" w:eastAsia="宋体" w:cs="宋体"/>
                <w:b w:val="0"/>
                <w:bCs w:val="0"/>
                <w:color w:val="auto"/>
                <w:kern w:val="0"/>
                <w:sz w:val="24"/>
                <w:szCs w:val="24"/>
                <w:highlight w:val="none"/>
                <w:lang w:val="en-US" w:eastAsia="zh-CN" w:bidi="ar"/>
              </w:rPr>
              <w:t>将</w:t>
            </w:r>
            <w:r>
              <w:rPr>
                <w:rFonts w:hint="eastAsia" w:ascii="Times New Roman" w:hAnsi="Times New Roman" w:eastAsia="宋体" w:cs="Times New Roman"/>
                <w:color w:val="auto"/>
                <w:kern w:val="2"/>
                <w:sz w:val="24"/>
                <w:szCs w:val="24"/>
                <w:highlight w:val="none"/>
                <w:lang w:val="en-US" w:eastAsia="zh-CN" w:bidi="ar-SA"/>
              </w:rPr>
              <w:t>桶口热缩膜</w:t>
            </w:r>
            <w:r>
              <w:rPr>
                <w:rFonts w:ascii="宋体" w:hAnsi="宋体" w:eastAsia="宋体" w:cs="宋体"/>
                <w:color w:val="auto"/>
                <w:sz w:val="24"/>
                <w:szCs w:val="24"/>
                <w:highlight w:val="none"/>
              </w:rPr>
              <w:t>收缩并紧密包裹</w:t>
            </w:r>
            <w:r>
              <w:rPr>
                <w:rFonts w:hint="eastAsia" w:ascii="宋体" w:hAnsi="宋体" w:eastAsia="宋体" w:cs="宋体"/>
                <w:color w:val="auto"/>
                <w:sz w:val="24"/>
                <w:szCs w:val="24"/>
                <w:highlight w:val="none"/>
                <w:lang w:eastAsia="zh-CN"/>
              </w:rPr>
              <w:t>水桶</w:t>
            </w:r>
            <w:r>
              <w:rPr>
                <w:rFonts w:hint="eastAsia" w:ascii="宋体" w:hAnsi="宋体" w:eastAsia="宋体" w:cs="宋体"/>
                <w:b w:val="0"/>
                <w:bCs w:val="0"/>
                <w:color w:val="auto"/>
                <w:kern w:val="0"/>
                <w:sz w:val="24"/>
                <w:szCs w:val="24"/>
                <w:highlight w:val="none"/>
                <w:lang w:val="en-US" w:eastAsia="zh-CN" w:bidi="ar"/>
              </w:rPr>
              <w:t>。</w:t>
            </w:r>
            <w:r>
              <w:rPr>
                <w:rFonts w:ascii="宋体" w:hAnsi="宋体" w:eastAsia="宋体" w:cs="宋体"/>
                <w:color w:val="auto"/>
                <w:sz w:val="24"/>
                <w:szCs w:val="24"/>
                <w:highlight w:val="none"/>
              </w:rPr>
              <w:t>热缩</w:t>
            </w:r>
            <w:r>
              <w:rPr>
                <w:rFonts w:hint="eastAsia" w:ascii="宋体" w:hAnsi="宋体" w:cs="宋体"/>
                <w:color w:val="auto"/>
                <w:sz w:val="24"/>
                <w:szCs w:val="24"/>
                <w:highlight w:val="none"/>
                <w:lang w:eastAsia="zh-CN"/>
              </w:rPr>
              <w:t>机使用蒸汽加热</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会产生少量</w:t>
            </w:r>
            <w:r>
              <w:rPr>
                <w:rFonts w:ascii="宋体" w:hAnsi="宋体" w:eastAsia="宋体" w:cs="宋体"/>
                <w:color w:val="auto"/>
                <w:sz w:val="24"/>
                <w:szCs w:val="24"/>
                <w:highlight w:val="none"/>
              </w:rPr>
              <w:t>废气，废气的排放量较低</w:t>
            </w:r>
            <w:r>
              <w:rPr>
                <w:rFonts w:hint="eastAsia" w:ascii="宋体" w:hAnsi="宋体" w:eastAsia="宋体" w:cs="宋体"/>
                <w:color w:val="auto"/>
                <w:sz w:val="24"/>
                <w:szCs w:val="24"/>
                <w:highlight w:val="none"/>
                <w:lang w:eastAsia="zh-CN"/>
              </w:rPr>
              <w:t>，本项目不对其进行定量分析。</w:t>
            </w:r>
          </w:p>
          <w:p w14:paraId="3467796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喷码：成品瓶</w:t>
            </w:r>
            <w:r>
              <w:rPr>
                <w:rFonts w:hint="default" w:ascii="Times New Roman" w:hAnsi="Times New Roman" w:eastAsia="宋体" w:cs="Times New Roman"/>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桶装水经过打码生产日期。由于采用激光打码，故不产生废气。</w:t>
            </w:r>
          </w:p>
          <w:p w14:paraId="7C4B34A0">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包装：</w:t>
            </w:r>
            <w:r>
              <w:rPr>
                <w:rFonts w:hint="eastAsia" w:ascii="宋体" w:hAnsi="宋体" w:cs="宋体"/>
                <w:b w:val="0"/>
                <w:bCs w:val="0"/>
                <w:color w:val="auto"/>
                <w:kern w:val="0"/>
                <w:sz w:val="24"/>
                <w:szCs w:val="24"/>
                <w:highlight w:val="none"/>
                <w:lang w:val="en-US" w:eastAsia="zh-CN" w:bidi="ar"/>
              </w:rPr>
              <w:t>通过套袋机将</w:t>
            </w:r>
            <w:r>
              <w:rPr>
                <w:rFonts w:hint="eastAsia" w:ascii="宋体" w:hAnsi="宋体" w:eastAsia="宋体" w:cs="宋体"/>
                <w:b w:val="0"/>
                <w:bCs w:val="0"/>
                <w:color w:val="auto"/>
                <w:kern w:val="0"/>
                <w:sz w:val="24"/>
                <w:szCs w:val="24"/>
                <w:highlight w:val="none"/>
                <w:lang w:val="en-US" w:eastAsia="zh-CN" w:bidi="ar"/>
              </w:rPr>
              <w:t>成品桶装水</w:t>
            </w:r>
            <w:r>
              <w:rPr>
                <w:rFonts w:hint="eastAsia" w:ascii="宋体" w:hAnsi="宋体" w:cs="宋体"/>
                <w:b w:val="0"/>
                <w:bCs w:val="0"/>
                <w:color w:val="auto"/>
                <w:kern w:val="0"/>
                <w:sz w:val="24"/>
                <w:szCs w:val="24"/>
                <w:highlight w:val="none"/>
                <w:lang w:val="en-US" w:eastAsia="zh-CN" w:bidi="ar"/>
              </w:rPr>
              <w:t>装袋</w:t>
            </w:r>
            <w:r>
              <w:rPr>
                <w:rFonts w:hint="eastAsia" w:ascii="宋体" w:hAnsi="宋体" w:eastAsia="宋体" w:cs="宋体"/>
                <w:b w:val="0"/>
                <w:bCs w:val="0"/>
                <w:color w:val="auto"/>
                <w:kern w:val="0"/>
                <w:sz w:val="24"/>
                <w:szCs w:val="24"/>
                <w:highlight w:val="none"/>
                <w:lang w:val="en-US" w:eastAsia="zh-CN" w:bidi="ar"/>
              </w:rPr>
              <w:t>，入库待售。</w:t>
            </w:r>
          </w:p>
          <w:p w14:paraId="04E07BF8">
            <w:pPr>
              <w:spacing w:line="360" w:lineRule="auto"/>
              <w:ind w:firstLine="480" w:firstLineChars="200"/>
              <w:jc w:val="center"/>
              <w:rPr>
                <w:color w:val="auto"/>
                <w:sz w:val="24"/>
                <w:highlight w:val="none"/>
              </w:rPr>
            </w:pPr>
            <w:r>
              <w:rPr>
                <w:color w:val="auto"/>
                <w:sz w:val="24"/>
                <w:highlight w:val="none"/>
              </w:rPr>
              <w:object>
                <v:shape id="_x0000_i1028" o:spt="75" type="#_x0000_t75" style="height:521.25pt;width:265.5pt;" o:ole="t" filled="f" o:preferrelative="t" stroked="f" coordsize="21600,21600">
                  <v:path/>
                  <v:fill on="f" focussize="0,0"/>
                  <v:stroke on="f"/>
                  <v:imagedata r:id="rId15" o:title=""/>
                  <o:lock v:ext="edit" aspectratio="f"/>
                  <w10:wrap type="none"/>
                  <w10:anchorlock/>
                </v:shape>
                <o:OLEObject Type="Embed" ProgID="Visio.Drawing.11" ShapeID="_x0000_i1028" DrawAspect="Content" ObjectID="_1468075728" r:id="rId14">
                  <o:LockedField>false</o:LockedField>
                </o:OLEObject>
              </w:object>
            </w:r>
          </w:p>
          <w:p w14:paraId="20FD6EB2">
            <w:pPr>
              <w:keepNext w:val="0"/>
              <w:keepLines w:val="0"/>
              <w:widowControl/>
              <w:suppressLineNumbers w:val="0"/>
              <w:jc w:val="both"/>
              <w:rPr>
                <w:rFonts w:hint="default" w:ascii="Times New Roman" w:hAnsi="Times New Roman" w:eastAsia="宋体" w:cs="Times New Roman"/>
                <w:b/>
                <w:bCs/>
                <w:color w:val="auto"/>
                <w:kern w:val="0"/>
                <w:sz w:val="24"/>
                <w:szCs w:val="24"/>
                <w:highlight w:val="none"/>
                <w:lang w:val="en-US" w:eastAsia="zh-CN" w:bidi="ar"/>
              </w:rPr>
            </w:pPr>
            <w:r>
              <w:rPr>
                <w:rFonts w:hint="eastAsia" w:cs="Times New Roman"/>
                <w:b/>
                <w:bCs/>
                <w:color w:val="auto"/>
                <w:kern w:val="0"/>
                <w:sz w:val="21"/>
                <w:szCs w:val="21"/>
                <w:highlight w:val="none"/>
                <w:lang w:val="en-US" w:eastAsia="zh-CN" w:bidi="ar"/>
              </w:rPr>
              <w:t>注：W2-设备清洗废水；S1-过滤颗粒物，S2-废活性炭，S3-废滤芯，S4-废纳滤膜，S5-废反渗透膜</w:t>
            </w:r>
          </w:p>
          <w:p w14:paraId="444E8BDC">
            <w:pPr>
              <w:keepNext w:val="0"/>
              <w:keepLines w:val="0"/>
              <w:widowControl/>
              <w:suppressLineNumbers w:val="0"/>
              <w:jc w:val="center"/>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图2-3原水处理工艺流程及产污环节图</w:t>
            </w:r>
          </w:p>
          <w:p w14:paraId="79031F5F">
            <w:pPr>
              <w:keepNext w:val="0"/>
              <w:keepLines w:val="0"/>
              <w:widowControl/>
              <w:suppressLineNumbers w:val="0"/>
              <w:spacing w:line="360" w:lineRule="auto"/>
              <w:jc w:val="both"/>
              <w:rPr>
                <w:rFonts w:hint="default" w:ascii="Times New Roman" w:hAnsi="Times New Roman" w:eastAsia="宋体" w:cs="Times New Roman"/>
                <w:b w:val="0"/>
                <w:bCs w:val="0"/>
                <w:color w:val="auto"/>
                <w:kern w:val="0"/>
                <w:sz w:val="24"/>
                <w:szCs w:val="24"/>
                <w:highlight w:val="none"/>
                <w:lang w:val="en-US" w:eastAsia="zh-CN" w:bidi="ar"/>
              </w:rPr>
            </w:pPr>
            <w:r>
              <w:rPr>
                <w:rFonts w:hint="eastAsia" w:cs="Times New Roman"/>
                <w:b w:val="0"/>
                <w:bCs w:val="0"/>
                <w:color w:val="auto"/>
                <w:kern w:val="0"/>
                <w:sz w:val="24"/>
                <w:szCs w:val="24"/>
                <w:highlight w:val="none"/>
                <w:lang w:val="en-US" w:eastAsia="zh-CN" w:bidi="ar"/>
              </w:rPr>
              <w:t>工艺流程简述：</w:t>
            </w:r>
          </w:p>
          <w:p w14:paraId="73F5B37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eastAsia" w:ascii="Times New Roman" w:hAnsi="Times New Roman" w:eastAsia="宋体" w:cs="Times New Roman"/>
                <w:b w:val="0"/>
                <w:bCs w:val="0"/>
                <w:color w:val="auto"/>
                <w:kern w:val="0"/>
                <w:sz w:val="24"/>
                <w:szCs w:val="24"/>
                <w:highlight w:val="none"/>
                <w:lang w:val="en-US" w:eastAsia="zh-CN" w:bidi="ar"/>
              </w:rPr>
              <w:t>布袋过滤：</w:t>
            </w:r>
            <w:r>
              <w:rPr>
                <w:rFonts w:ascii="宋体" w:hAnsi="宋体" w:eastAsia="宋体" w:cs="宋体"/>
                <w:color w:val="auto"/>
                <w:sz w:val="24"/>
                <w:szCs w:val="24"/>
                <w:highlight w:val="none"/>
              </w:rPr>
              <w:t>布袋对颗粒物的拦截作用。待过滤的地下水从过滤器顶部或侧面进入，流经布袋内部</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固体颗粒因大于布袋孔径而被拦截在布袋表面或内部形成滤饼，而清洁的水则透过布袋孔隙流出‌。</w:t>
            </w:r>
          </w:p>
          <w:p w14:paraId="035B76B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
              </w:rPr>
              <w:t>原水箱储存：</w:t>
            </w:r>
            <w:r>
              <w:rPr>
                <w:rFonts w:hint="eastAsia" w:ascii="Times New Roman" w:hAnsi="Times New Roman" w:eastAsia="宋体" w:cs="Times New Roman"/>
                <w:b w:val="0"/>
                <w:bCs w:val="0"/>
                <w:color w:val="auto"/>
                <w:kern w:val="0"/>
                <w:sz w:val="24"/>
                <w:szCs w:val="24"/>
                <w:highlight w:val="none"/>
                <w:lang w:val="en-US" w:eastAsia="zh-CN" w:bidi="ar"/>
              </w:rPr>
              <w:t>布袋过滤后的水源通过管道暂存于水箱内</w:t>
            </w:r>
            <w:r>
              <w:rPr>
                <w:rFonts w:hint="default" w:ascii="Times New Roman" w:hAnsi="Times New Roman" w:eastAsia="宋体" w:cs="Times New Roman"/>
                <w:b w:val="0"/>
                <w:bCs w:val="0"/>
                <w:color w:val="auto"/>
                <w:kern w:val="0"/>
                <w:sz w:val="24"/>
                <w:szCs w:val="24"/>
                <w:highlight w:val="none"/>
                <w:lang w:val="en-US" w:eastAsia="zh-CN" w:bidi="ar"/>
              </w:rPr>
              <w:t>。</w:t>
            </w:r>
          </w:p>
          <w:p w14:paraId="769C7C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kern w:val="0"/>
                <w:sz w:val="24"/>
                <w:szCs w:val="24"/>
                <w:highlight w:val="none"/>
                <w:lang w:val="en-US" w:eastAsia="zh-CN" w:bidi="ar"/>
              </w:rPr>
              <w:t>石英砂</w:t>
            </w:r>
            <w:r>
              <w:rPr>
                <w:rFonts w:hint="default" w:ascii="Times New Roman" w:hAnsi="Times New Roman" w:eastAsia="宋体" w:cs="Times New Roman"/>
                <w:b w:val="0"/>
                <w:bCs w:val="0"/>
                <w:color w:val="auto"/>
                <w:kern w:val="0"/>
                <w:sz w:val="24"/>
                <w:szCs w:val="24"/>
                <w:highlight w:val="none"/>
                <w:lang w:val="en-US" w:eastAsia="zh-CN" w:bidi="ar"/>
              </w:rPr>
              <w:t>过滤：在水泵的作用下，原水由原水箱进入</w:t>
            </w:r>
            <w:r>
              <w:rPr>
                <w:rFonts w:hint="eastAsia" w:ascii="Times New Roman" w:hAnsi="Times New Roman" w:eastAsia="宋体" w:cs="Times New Roman"/>
                <w:b w:val="0"/>
                <w:bCs w:val="0"/>
                <w:color w:val="auto"/>
                <w:kern w:val="0"/>
                <w:sz w:val="24"/>
                <w:szCs w:val="24"/>
                <w:highlight w:val="none"/>
                <w:lang w:val="en-US" w:eastAsia="zh-CN" w:bidi="ar"/>
              </w:rPr>
              <w:t>石英砂</w:t>
            </w:r>
            <w:r>
              <w:rPr>
                <w:rFonts w:hint="default" w:ascii="Times New Roman" w:hAnsi="Times New Roman" w:eastAsia="宋体" w:cs="Times New Roman"/>
                <w:b w:val="0"/>
                <w:bCs w:val="0"/>
                <w:color w:val="auto"/>
                <w:kern w:val="0"/>
                <w:sz w:val="24"/>
                <w:szCs w:val="24"/>
                <w:highlight w:val="none"/>
                <w:lang w:val="en-US" w:eastAsia="zh-CN" w:bidi="ar"/>
              </w:rPr>
              <w:t>过滤器中进行处理。其作用主要是降低水浊度，可以去除水中的悬浮物质、固体颗粒、有机物颗粒等，为后续工序减轻了处理负荷。。</w:t>
            </w:r>
          </w:p>
          <w:p w14:paraId="08B8B31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
              </w:rPr>
              <w:t>活性炭过滤：经石英砂过滤后的水在水泵的作用下进入活性炭过滤器中进行处理。活性炭具有大量的微孔和巨大的比表面积，具有极强的物理吸附能力，能够十分有效的的吸附水中的杂质，尤其是有机物、微生物和一部分金属离子，过滤后的水可满足后续水处理单元的入水要求。</w:t>
            </w:r>
          </w:p>
          <w:p w14:paraId="5A969D0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
              </w:rPr>
              <w:t>精密过滤：精密过滤器其主要作用是防止上道工序有漏泄，将部分微粒带到下道工序中，确保下道工序的进水要求，保护下道工序的正常长期运行。它采用成形滤材用以去除粒径微细的颗粒，并设置在压力过滤器之后，以除去5μm及2μm以上的细小微粒，进一步降低浊度，来满足后续工序对进水的要求。经过紧密过滤器，使水得到进一步净化，使水的浊度和色度达到优化。保证超滤系统的进水要求。</w:t>
            </w:r>
          </w:p>
          <w:p w14:paraId="21365D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eastAsia" w:ascii="Times New Roman" w:hAnsi="Times New Roman" w:eastAsia="宋体" w:cs="Times New Roman"/>
                <w:b w:val="0"/>
                <w:bCs w:val="0"/>
                <w:color w:val="auto"/>
                <w:kern w:val="0"/>
                <w:sz w:val="24"/>
                <w:szCs w:val="24"/>
                <w:highlight w:val="none"/>
                <w:lang w:val="en-US" w:eastAsia="zh-CN" w:bidi="ar"/>
              </w:rPr>
              <w:t>保安过滤</w:t>
            </w:r>
            <w:r>
              <w:rPr>
                <w:rFonts w:hint="default" w:ascii="Times New Roman" w:hAnsi="Times New Roman" w:eastAsia="宋体" w:cs="Times New Roman"/>
                <w:b w:val="0"/>
                <w:bCs w:val="0"/>
                <w:color w:val="auto"/>
                <w:kern w:val="0"/>
                <w:sz w:val="24"/>
                <w:szCs w:val="24"/>
                <w:highlight w:val="none"/>
                <w:lang w:val="en-US" w:eastAsia="zh-CN" w:bidi="ar"/>
              </w:rPr>
              <w:t>：经精密过滤后的原水通过压力泵进入</w:t>
            </w:r>
            <w:r>
              <w:rPr>
                <w:rFonts w:hint="eastAsia" w:ascii="Times New Roman" w:hAnsi="Times New Roman" w:eastAsia="宋体" w:cs="Times New Roman"/>
                <w:b w:val="0"/>
                <w:bCs w:val="0"/>
                <w:color w:val="auto"/>
                <w:kern w:val="0"/>
                <w:sz w:val="24"/>
                <w:szCs w:val="24"/>
                <w:highlight w:val="none"/>
                <w:lang w:val="en-US" w:eastAsia="zh-CN" w:bidi="ar"/>
              </w:rPr>
              <w:t>保安过滤器</w:t>
            </w:r>
            <w:r>
              <w:rPr>
                <w:rFonts w:hint="default" w:ascii="Times New Roman" w:hAnsi="Times New Roman" w:eastAsia="宋体" w:cs="Times New Roman"/>
                <w:b w:val="0"/>
                <w:bCs w:val="0"/>
                <w:color w:val="auto"/>
                <w:kern w:val="0"/>
                <w:sz w:val="24"/>
                <w:szCs w:val="24"/>
                <w:highlight w:val="none"/>
                <w:lang w:val="en-US" w:eastAsia="zh-CN" w:bidi="ar"/>
              </w:rPr>
              <w:t>，</w:t>
            </w:r>
            <w:r>
              <w:rPr>
                <w:rFonts w:ascii="宋体" w:hAnsi="宋体" w:eastAsia="宋体" w:cs="宋体"/>
                <w:color w:val="auto"/>
                <w:sz w:val="24"/>
                <w:szCs w:val="24"/>
                <w:highlight w:val="none"/>
              </w:rPr>
              <w:t>主要采用滤芯作为过滤元件，通过滤芯的精细过滤作用，去除液体中的杂质和颗粒。当液体通过保安过滤器时，大于滤芯孔径的颗粒将被截留在滤芯表面，而清洁的液体则通过滤芯流出</w:t>
            </w:r>
            <w:r>
              <w:rPr>
                <w:rFonts w:hint="default" w:ascii="Times New Roman" w:hAnsi="Times New Roman" w:eastAsia="宋体" w:cs="Times New Roman"/>
                <w:b w:val="0"/>
                <w:bCs w:val="0"/>
                <w:color w:val="auto"/>
                <w:kern w:val="0"/>
                <w:sz w:val="24"/>
                <w:szCs w:val="24"/>
                <w:highlight w:val="none"/>
                <w:lang w:val="en-US" w:eastAsia="zh-CN" w:bidi="ar"/>
              </w:rPr>
              <w:t>。</w:t>
            </w:r>
          </w:p>
          <w:p w14:paraId="34CFABA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纳滤：利用压力驱动，通过筛分效应、溶解-扩散原理和电效应（道南效应）实现对不同物质的分离，尤其对二价离子和大分子有机物有较高截留率</w:t>
            </w:r>
            <w:r>
              <w:rPr>
                <w:rFonts w:hint="default" w:ascii="Times New Roman" w:hAnsi="Times New Roman" w:cs="Times New Roman"/>
                <w:b w:val="0"/>
                <w:bCs w:val="0"/>
                <w:color w:val="auto"/>
                <w:kern w:val="0"/>
                <w:sz w:val="24"/>
                <w:szCs w:val="24"/>
                <w:highlight w:val="none"/>
                <w:lang w:val="en-US" w:eastAsia="zh-CN" w:bidi="ar"/>
              </w:rPr>
              <w:t>。</w:t>
            </w:r>
            <w:r>
              <w:rPr>
                <w:rFonts w:hint="default" w:ascii="Times New Roman" w:hAnsi="Times New Roman" w:eastAsia="宋体" w:cs="Times New Roman"/>
                <w:color w:val="auto"/>
                <w:sz w:val="24"/>
                <w:szCs w:val="24"/>
                <w:highlight w:val="none"/>
              </w:rPr>
              <w:t>纳滤膜的分离机理为筛分和溶解扩散并存，同时又具有电荷排斥效应，可以有效地去除二价和多价离子、去除分子量大于200的各类物质，可部分去除单价离子和分子量低于200的物质</w:t>
            </w:r>
            <w:r>
              <w:rPr>
                <w:rFonts w:hint="eastAsia" w:ascii="Times New Roman" w:hAnsi="Times New Roman" w:eastAsia="宋体" w:cs="Times New Roman"/>
                <w:color w:val="auto"/>
                <w:sz w:val="24"/>
                <w:szCs w:val="24"/>
                <w:highlight w:val="none"/>
                <w:lang w:eastAsia="zh-CN"/>
              </w:rPr>
              <w:t>。纳滤出来的水为饮用天然泉水。</w:t>
            </w:r>
          </w:p>
          <w:p w14:paraId="4B4D1EA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0"/>
                <w:sz w:val="24"/>
                <w:szCs w:val="24"/>
                <w:highlight w:val="none"/>
                <w:lang w:val="en-US" w:eastAsia="zh-CN" w:bidi="ar"/>
              </w:rPr>
            </w:pPr>
            <w:r>
              <w:rPr>
                <w:rFonts w:hint="eastAsia" w:ascii="Times New Roman" w:hAnsi="Times New Roman" w:eastAsia="宋体" w:cs="Times New Roman"/>
                <w:b w:val="0"/>
                <w:bCs w:val="0"/>
                <w:color w:val="auto"/>
                <w:kern w:val="0"/>
                <w:sz w:val="24"/>
                <w:szCs w:val="24"/>
                <w:highlight w:val="none"/>
                <w:lang w:val="en-US" w:eastAsia="zh-CN" w:bidi="ar"/>
              </w:rPr>
              <w:t>反渗透：</w:t>
            </w:r>
            <w:r>
              <w:rPr>
                <w:rFonts w:ascii="宋体" w:hAnsi="宋体" w:eastAsia="宋体" w:cs="宋体"/>
                <w:b w:val="0"/>
                <w:bCs w:val="0"/>
                <w:color w:val="auto"/>
                <w:sz w:val="24"/>
                <w:szCs w:val="24"/>
                <w:highlight w:val="none"/>
              </w:rPr>
              <w:t>利用半透膜和压力差实现溶剂与溶质分离的膜分离技术。‌</w:t>
            </w:r>
            <w:r>
              <w:rPr>
                <w:rStyle w:val="42"/>
                <w:rFonts w:ascii="宋体" w:hAnsi="宋体" w:eastAsia="宋体" w:cs="宋体"/>
                <w:b w:val="0"/>
                <w:bCs w:val="0"/>
                <w:color w:val="auto"/>
                <w:sz w:val="24"/>
                <w:szCs w:val="24"/>
                <w:highlight w:val="none"/>
              </w:rPr>
              <w:t>在浓溶液侧施加超过渗透压的外力，迫使溶剂（如水）逆自然渗透方向通过半透膜，从而实现纯化或浓缩</w:t>
            </w:r>
            <w:r>
              <w:rPr>
                <w:rFonts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反渗透出来的水为纯净水。</w:t>
            </w:r>
          </w:p>
          <w:p w14:paraId="01A38DE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
              </w:rPr>
              <w:t>臭氧消毒：通过</w:t>
            </w:r>
            <w:r>
              <w:rPr>
                <w:rFonts w:hint="eastAsia" w:ascii="Times New Roman" w:hAnsi="Times New Roman" w:eastAsia="宋体" w:cs="Times New Roman"/>
                <w:b w:val="0"/>
                <w:bCs w:val="0"/>
                <w:color w:val="auto"/>
                <w:kern w:val="0"/>
                <w:sz w:val="24"/>
                <w:szCs w:val="24"/>
                <w:highlight w:val="none"/>
                <w:lang w:val="en-US" w:eastAsia="zh-CN" w:bidi="ar"/>
              </w:rPr>
              <w:t>臭氧混合系统</w:t>
            </w:r>
            <w:r>
              <w:rPr>
                <w:rFonts w:hint="default" w:ascii="Times New Roman" w:hAnsi="Times New Roman" w:eastAsia="宋体" w:cs="Times New Roman"/>
                <w:b w:val="0"/>
                <w:bCs w:val="0"/>
                <w:color w:val="auto"/>
                <w:kern w:val="0"/>
                <w:sz w:val="24"/>
                <w:szCs w:val="24"/>
                <w:highlight w:val="none"/>
                <w:lang w:val="en-US" w:eastAsia="zh-CN" w:bidi="ar"/>
              </w:rPr>
              <w:t>，在密闭管道中与</w:t>
            </w:r>
            <w:r>
              <w:rPr>
                <w:rFonts w:hint="eastAsia" w:ascii="Times New Roman" w:hAnsi="Times New Roman" w:eastAsia="宋体" w:cs="Times New Roman"/>
                <w:b w:val="0"/>
                <w:bCs w:val="0"/>
                <w:color w:val="auto"/>
                <w:kern w:val="0"/>
                <w:sz w:val="24"/>
                <w:szCs w:val="24"/>
                <w:highlight w:val="none"/>
                <w:lang w:val="en-US" w:eastAsia="zh-CN" w:bidi="ar"/>
              </w:rPr>
              <w:t>纳滤、反渗透</w:t>
            </w:r>
            <w:r>
              <w:rPr>
                <w:rFonts w:hint="default" w:ascii="Times New Roman" w:hAnsi="Times New Roman" w:eastAsia="宋体" w:cs="Times New Roman"/>
                <w:b w:val="0"/>
                <w:bCs w:val="0"/>
                <w:color w:val="auto"/>
                <w:kern w:val="0"/>
                <w:sz w:val="24"/>
                <w:szCs w:val="24"/>
                <w:highlight w:val="none"/>
                <w:lang w:val="en-US" w:eastAsia="zh-CN" w:bidi="ar"/>
              </w:rPr>
              <w:t>过滤后得到的纯水混合，通过臭氧在水中发生氧化还原反应，较彻底的杀菌消毒，且不产生二次污染。臭氧不仅能杀死各类细菌和病毒，而且能杀死细菌芽孢，并且部分在水中一段时间内还有杀菌作用，即使有个别的细菌或芽孢混入其中，也不能生长繁殖。臭氧还能氧化水中的有机物，提高纯净水质量。</w:t>
            </w:r>
          </w:p>
          <w:p w14:paraId="4442E3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实验室抽检：本项目在生产过程中，对生产出的第一桶水及第一瓶水每天进行化验，主要使用酸度计、浊度计、电导率仪等仪器检测成品水质，检测指标主要为pH值、浑浊度、嗅和味、肉眼可见物、菌落总数、大肠菌群、铜绿假单胞菌，不涉及化学实验药品，本项目对每天前</w:t>
            </w:r>
            <w:r>
              <w:rPr>
                <w:rFonts w:hint="eastAsia" w:ascii="Times New Roman" w:hAnsi="Times New Roman" w:eastAsia="宋体" w:cs="Times New Roman"/>
                <w:b w:val="0"/>
                <w:bCs w:val="0"/>
                <w:color w:val="auto"/>
                <w:kern w:val="0"/>
                <w:sz w:val="24"/>
                <w:szCs w:val="24"/>
                <w:highlight w:val="none"/>
                <w:lang w:val="en-US" w:eastAsia="zh-CN" w:bidi="ar"/>
              </w:rPr>
              <w:t>3</w:t>
            </w:r>
            <w:r>
              <w:rPr>
                <w:rFonts w:hint="default" w:ascii="Times New Roman" w:hAnsi="Times New Roman" w:eastAsia="宋体" w:cs="Times New Roman"/>
                <w:b w:val="0"/>
                <w:bCs w:val="0"/>
                <w:color w:val="auto"/>
                <w:kern w:val="0"/>
                <w:sz w:val="24"/>
                <w:szCs w:val="24"/>
                <w:highlight w:val="none"/>
                <w:lang w:val="en-US" w:eastAsia="zh-CN" w:bidi="ar"/>
              </w:rPr>
              <w:t>桶桶装水和前</w:t>
            </w:r>
            <w:r>
              <w:rPr>
                <w:rFonts w:hint="eastAsia" w:ascii="Times New Roman" w:hAnsi="Times New Roman" w:eastAsia="宋体" w:cs="Times New Roman"/>
                <w:b w:val="0"/>
                <w:bCs w:val="0"/>
                <w:color w:val="auto"/>
                <w:kern w:val="0"/>
                <w:sz w:val="24"/>
                <w:szCs w:val="24"/>
                <w:highlight w:val="none"/>
                <w:lang w:val="en-US" w:eastAsia="zh-CN" w:bidi="ar"/>
              </w:rPr>
              <w:t>5</w:t>
            </w:r>
            <w:r>
              <w:rPr>
                <w:rFonts w:hint="default" w:ascii="Times New Roman" w:hAnsi="Times New Roman" w:eastAsia="宋体" w:cs="Times New Roman"/>
                <w:b w:val="0"/>
                <w:bCs w:val="0"/>
                <w:color w:val="auto"/>
                <w:kern w:val="0"/>
                <w:sz w:val="24"/>
                <w:szCs w:val="24"/>
                <w:highlight w:val="none"/>
                <w:lang w:val="en-US" w:eastAsia="zh-CN" w:bidi="ar"/>
              </w:rPr>
              <w:t>瓶瓶装水进行化验。</w:t>
            </w:r>
          </w:p>
        </w:tc>
      </w:tr>
    </w:tbl>
    <w:p w14:paraId="50EA7A78">
      <w:pPr>
        <w:rPr>
          <w:color w:val="auto"/>
          <w:highlight w:val="none"/>
        </w:rPr>
        <w:sectPr>
          <w:pgSz w:w="11906" w:h="16838"/>
          <w:pgMar w:top="1587" w:right="1531" w:bottom="1587" w:left="1531" w:header="851" w:footer="851" w:gutter="0"/>
          <w:cols w:space="720" w:num="1"/>
          <w:docGrid w:linePitch="312" w:charSpace="0"/>
        </w:sectPr>
      </w:pPr>
    </w:p>
    <w:p w14:paraId="2633A311">
      <w:pPr>
        <w:pStyle w:val="35"/>
        <w:adjustRightInd w:val="0"/>
        <w:snapToGrid w:val="0"/>
        <w:spacing w:before="0" w:beforeAutospacing="0" w:after="0" w:afterAutospacing="0" w:line="15" w:lineRule="auto"/>
        <w:jc w:val="center"/>
        <w:rPr>
          <w:rFonts w:ascii="Times New Roman" w:hAnsi="Times New Roman"/>
          <w:snapToGrid w:val="0"/>
          <w:color w:val="auto"/>
          <w:sz w:val="30"/>
          <w:szCs w:val="30"/>
          <w:highlight w:val="none"/>
        </w:rPr>
      </w:pPr>
    </w:p>
    <w:p w14:paraId="15090190">
      <w:pPr>
        <w:pStyle w:val="35"/>
        <w:jc w:val="center"/>
        <w:outlineLvl w:val="0"/>
        <w:rPr>
          <w:rFonts w:ascii="Times New Roman" w:hAnsi="Times New Roman"/>
          <w:b/>
          <w:snapToGrid w:val="0"/>
          <w:color w:val="auto"/>
          <w:sz w:val="30"/>
          <w:szCs w:val="30"/>
          <w:highlight w:val="none"/>
        </w:rPr>
      </w:pPr>
      <w:r>
        <w:rPr>
          <w:rFonts w:ascii="Times New Roman" w:hAnsi="Times New Roman"/>
          <w:b/>
          <w:snapToGrid w:val="0"/>
          <w:color w:val="auto"/>
          <w:sz w:val="30"/>
          <w:szCs w:val="30"/>
          <w:highlight w:val="none"/>
        </w:rPr>
        <w:t>三、区域环境质量现状、环境保护目标及评价标准</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9005"/>
      </w:tblGrid>
      <w:tr w14:paraId="67F7E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37" w:type="dxa"/>
            <w:vAlign w:val="center"/>
          </w:tcPr>
          <w:p w14:paraId="312A6B16">
            <w:pPr>
              <w:adjustRightInd w:val="0"/>
              <w:snapToGrid w:val="0"/>
              <w:jc w:val="center"/>
              <w:rPr>
                <w:b/>
                <w:color w:val="auto"/>
                <w:kern w:val="0"/>
                <w:sz w:val="24"/>
                <w:highlight w:val="none"/>
              </w:rPr>
            </w:pPr>
            <w:r>
              <w:rPr>
                <w:b/>
                <w:color w:val="auto"/>
                <w:kern w:val="0"/>
                <w:sz w:val="24"/>
                <w:highlight w:val="none"/>
              </w:rPr>
              <w:t>区域</w:t>
            </w:r>
          </w:p>
          <w:p w14:paraId="778C8DC8">
            <w:pPr>
              <w:adjustRightInd w:val="0"/>
              <w:snapToGrid w:val="0"/>
              <w:jc w:val="center"/>
              <w:rPr>
                <w:b/>
                <w:color w:val="auto"/>
                <w:kern w:val="0"/>
                <w:sz w:val="24"/>
                <w:highlight w:val="none"/>
              </w:rPr>
            </w:pPr>
            <w:r>
              <w:rPr>
                <w:b/>
                <w:color w:val="auto"/>
                <w:kern w:val="0"/>
                <w:sz w:val="24"/>
                <w:highlight w:val="none"/>
              </w:rPr>
              <w:t>环境</w:t>
            </w:r>
          </w:p>
          <w:p w14:paraId="16581706">
            <w:pPr>
              <w:adjustRightInd w:val="0"/>
              <w:snapToGrid w:val="0"/>
              <w:jc w:val="center"/>
              <w:rPr>
                <w:b/>
                <w:color w:val="auto"/>
                <w:kern w:val="0"/>
                <w:sz w:val="24"/>
                <w:highlight w:val="none"/>
              </w:rPr>
            </w:pPr>
            <w:r>
              <w:rPr>
                <w:b/>
                <w:color w:val="auto"/>
                <w:kern w:val="0"/>
                <w:sz w:val="24"/>
                <w:highlight w:val="none"/>
              </w:rPr>
              <w:t>质量</w:t>
            </w:r>
          </w:p>
          <w:p w14:paraId="08CE558C">
            <w:pPr>
              <w:adjustRightInd w:val="0"/>
              <w:snapToGrid w:val="0"/>
              <w:jc w:val="center"/>
              <w:rPr>
                <w:color w:val="auto"/>
                <w:kern w:val="0"/>
                <w:szCs w:val="21"/>
                <w:highlight w:val="none"/>
              </w:rPr>
            </w:pPr>
            <w:r>
              <w:rPr>
                <w:b/>
                <w:color w:val="auto"/>
                <w:kern w:val="0"/>
                <w:sz w:val="24"/>
                <w:highlight w:val="none"/>
              </w:rPr>
              <w:t>现状</w:t>
            </w:r>
          </w:p>
        </w:tc>
        <w:tc>
          <w:tcPr>
            <w:tcW w:w="9005" w:type="dxa"/>
          </w:tcPr>
          <w:p w14:paraId="7406FC72">
            <w:pPr>
              <w:spacing w:line="360" w:lineRule="auto"/>
              <w:ind w:firstLine="482" w:firstLineChars="200"/>
              <w:jc w:val="left"/>
              <w:rPr>
                <w:b/>
                <w:bCs/>
                <w:color w:val="auto"/>
                <w:sz w:val="24"/>
                <w:szCs w:val="32"/>
                <w:highlight w:val="none"/>
              </w:rPr>
            </w:pPr>
            <w:bookmarkStart w:id="4" w:name="_Toc17555435"/>
            <w:bookmarkStart w:id="5" w:name="_Toc16819358"/>
            <w:r>
              <w:rPr>
                <w:b/>
                <w:bCs/>
                <w:color w:val="auto"/>
                <w:sz w:val="24"/>
                <w:szCs w:val="32"/>
                <w:highlight w:val="none"/>
              </w:rPr>
              <w:t>1、大气环境质量状况</w:t>
            </w:r>
            <w:bookmarkEnd w:id="4"/>
            <w:bookmarkEnd w:id="5"/>
          </w:p>
          <w:p w14:paraId="4D924EA6">
            <w:pPr>
              <w:pStyle w:val="67"/>
              <w:spacing w:beforeLines="0"/>
              <w:ind w:firstLine="480"/>
              <w:jc w:val="left"/>
              <w:rPr>
                <w:rFonts w:ascii="Times New Roman" w:hAnsi="Times New Roman"/>
                <w:color w:val="auto"/>
                <w:sz w:val="24"/>
                <w:szCs w:val="32"/>
                <w:highlight w:val="none"/>
              </w:rPr>
            </w:pPr>
            <w:r>
              <w:rPr>
                <w:rFonts w:ascii="Times New Roman" w:hAnsi="Times New Roman"/>
                <w:color w:val="auto"/>
                <w:sz w:val="24"/>
                <w:szCs w:val="32"/>
                <w:highlight w:val="none"/>
              </w:rPr>
              <w:t>（1）项目所在区域达标判断</w:t>
            </w:r>
          </w:p>
          <w:p w14:paraId="2A53D509">
            <w:pPr>
              <w:pStyle w:val="67"/>
              <w:spacing w:beforeLines="0"/>
              <w:ind w:firstLine="480"/>
              <w:jc w:val="left"/>
              <w:rPr>
                <w:rFonts w:ascii="Times New Roman" w:hAnsi="Times New Roman"/>
                <w:color w:val="auto"/>
                <w:sz w:val="24"/>
                <w:szCs w:val="32"/>
                <w:highlight w:val="none"/>
              </w:rPr>
            </w:pPr>
            <w:r>
              <w:rPr>
                <w:rFonts w:ascii="Times New Roman" w:hAnsi="Times New Roman"/>
                <w:color w:val="auto"/>
                <w:sz w:val="24"/>
                <w:szCs w:val="32"/>
                <w:highlight w:val="none"/>
              </w:rPr>
              <w:t>根据《环境影响评价技术导则</w:t>
            </w:r>
            <w:r>
              <w:rPr>
                <w:rFonts w:hint="eastAsia" w:ascii="Times New Roman" w:hAnsi="Times New Roman"/>
                <w:color w:val="auto"/>
                <w:sz w:val="24"/>
                <w:szCs w:val="32"/>
                <w:highlight w:val="none"/>
              </w:rPr>
              <w:t xml:space="preserve"> </w:t>
            </w:r>
            <w:r>
              <w:rPr>
                <w:rFonts w:ascii="Times New Roman" w:hAnsi="Times New Roman"/>
                <w:color w:val="auto"/>
                <w:sz w:val="24"/>
                <w:szCs w:val="32"/>
                <w:highlight w:val="none"/>
              </w:rPr>
              <w:t>大气环境》（HJ2.2-2018），项目所在区域达标情况判定优先采用国家或地方生态环境主管部门公开发布的环境质量公告或环境质量报告中的数据或结论。</w:t>
            </w:r>
          </w:p>
          <w:p w14:paraId="2F2F40AA">
            <w:pPr>
              <w:pStyle w:val="67"/>
              <w:spacing w:beforeLines="0"/>
              <w:ind w:firstLine="480"/>
              <w:jc w:val="both"/>
              <w:rPr>
                <w:rFonts w:ascii="Times New Roman" w:hAnsi="Times New Roman"/>
                <w:color w:val="auto"/>
                <w:sz w:val="24"/>
                <w:szCs w:val="32"/>
                <w:highlight w:val="none"/>
              </w:rPr>
            </w:pPr>
            <w:r>
              <w:rPr>
                <w:rFonts w:hint="eastAsia" w:ascii="Times New Roman" w:hAnsi="Times New Roman"/>
                <w:color w:val="auto"/>
                <w:sz w:val="24"/>
                <w:szCs w:val="32"/>
                <w:highlight w:val="none"/>
              </w:rPr>
              <w:t>本项目位于宿州市，本次评价选取202</w:t>
            </w:r>
            <w:r>
              <w:rPr>
                <w:rFonts w:hint="eastAsia" w:ascii="Times New Roman" w:hAnsi="Times New Roman"/>
                <w:color w:val="auto"/>
                <w:sz w:val="24"/>
                <w:szCs w:val="32"/>
                <w:highlight w:val="none"/>
                <w:lang w:val="en-US" w:eastAsia="zh-CN"/>
              </w:rPr>
              <w:t>4</w:t>
            </w:r>
            <w:r>
              <w:rPr>
                <w:rFonts w:hint="eastAsia" w:ascii="Times New Roman" w:hAnsi="Times New Roman"/>
                <w:color w:val="auto"/>
                <w:sz w:val="24"/>
                <w:szCs w:val="32"/>
                <w:highlight w:val="none"/>
              </w:rPr>
              <w:t>年作为评价基准年，根据国家“环境空气质量模型技术支持服务系统”中发布的202</w:t>
            </w:r>
            <w:r>
              <w:rPr>
                <w:rFonts w:hint="eastAsia" w:ascii="Times New Roman" w:hAnsi="Times New Roman"/>
                <w:color w:val="auto"/>
                <w:sz w:val="24"/>
                <w:szCs w:val="32"/>
                <w:highlight w:val="none"/>
                <w:lang w:val="en-US" w:eastAsia="zh-CN"/>
              </w:rPr>
              <w:t>4</w:t>
            </w:r>
            <w:r>
              <w:rPr>
                <w:rFonts w:hint="eastAsia" w:ascii="Times New Roman" w:hAnsi="Times New Roman"/>
                <w:color w:val="auto"/>
                <w:sz w:val="24"/>
                <w:szCs w:val="32"/>
                <w:highlight w:val="none"/>
              </w:rPr>
              <w:t>年环境空气质量数据，项目所在区域环境空气质量现状如下，宿州市2024年SO</w:t>
            </w:r>
            <w:r>
              <w:rPr>
                <w:rFonts w:hint="eastAsia" w:ascii="Times New Roman" w:hAnsi="Times New Roman"/>
                <w:color w:val="auto"/>
                <w:sz w:val="24"/>
                <w:szCs w:val="32"/>
                <w:highlight w:val="none"/>
                <w:vertAlign w:val="subscript"/>
              </w:rPr>
              <w:t>2</w:t>
            </w:r>
            <w:r>
              <w:rPr>
                <w:rFonts w:hint="eastAsia" w:ascii="Times New Roman" w:hAnsi="Times New Roman"/>
                <w:color w:val="auto"/>
                <w:sz w:val="24"/>
                <w:szCs w:val="32"/>
                <w:highlight w:val="none"/>
              </w:rPr>
              <w:t>、NO</w:t>
            </w:r>
            <w:r>
              <w:rPr>
                <w:rFonts w:hint="eastAsia" w:ascii="Times New Roman" w:hAnsi="Times New Roman"/>
                <w:color w:val="auto"/>
                <w:sz w:val="24"/>
                <w:szCs w:val="32"/>
                <w:highlight w:val="none"/>
                <w:vertAlign w:val="subscript"/>
              </w:rPr>
              <w:t>2</w:t>
            </w:r>
            <w:r>
              <w:rPr>
                <w:rFonts w:hint="eastAsia" w:ascii="Times New Roman" w:hAnsi="Times New Roman"/>
                <w:color w:val="auto"/>
                <w:sz w:val="24"/>
                <w:szCs w:val="32"/>
                <w:highlight w:val="none"/>
              </w:rPr>
              <w:t>、PM</w:t>
            </w:r>
            <w:r>
              <w:rPr>
                <w:rFonts w:hint="eastAsia" w:ascii="Times New Roman" w:hAnsi="Times New Roman"/>
                <w:color w:val="auto"/>
                <w:sz w:val="24"/>
                <w:szCs w:val="32"/>
                <w:highlight w:val="none"/>
                <w:vertAlign w:val="subscript"/>
              </w:rPr>
              <w:t>10</w:t>
            </w:r>
            <w:r>
              <w:rPr>
                <w:rFonts w:hint="eastAsia" w:ascii="Times New Roman" w:hAnsi="Times New Roman"/>
                <w:color w:val="auto"/>
                <w:sz w:val="24"/>
                <w:szCs w:val="32"/>
                <w:highlight w:val="none"/>
              </w:rPr>
              <w:t>、PM</w:t>
            </w:r>
            <w:r>
              <w:rPr>
                <w:rFonts w:hint="eastAsia" w:ascii="Times New Roman" w:hAnsi="Times New Roman"/>
                <w:color w:val="auto"/>
                <w:sz w:val="24"/>
                <w:szCs w:val="32"/>
                <w:highlight w:val="none"/>
                <w:vertAlign w:val="subscript"/>
              </w:rPr>
              <w:t>2.5</w:t>
            </w:r>
            <w:r>
              <w:rPr>
                <w:rFonts w:hint="eastAsia" w:ascii="Times New Roman" w:hAnsi="Times New Roman"/>
                <w:color w:val="auto"/>
                <w:sz w:val="24"/>
                <w:szCs w:val="32"/>
                <w:highlight w:val="none"/>
              </w:rPr>
              <w:t>年均浓度分别为6 ug/m</w:t>
            </w:r>
            <w:r>
              <w:rPr>
                <w:rFonts w:hint="eastAsia" w:ascii="Times New Roman" w:hAnsi="Times New Roman"/>
                <w:color w:val="auto"/>
                <w:sz w:val="24"/>
                <w:szCs w:val="32"/>
                <w:highlight w:val="none"/>
                <w:vertAlign w:val="superscript"/>
              </w:rPr>
              <w:t>3</w:t>
            </w:r>
            <w:r>
              <w:rPr>
                <w:rFonts w:hint="eastAsia" w:ascii="Times New Roman" w:hAnsi="Times New Roman"/>
                <w:color w:val="auto"/>
                <w:sz w:val="24"/>
                <w:szCs w:val="32"/>
                <w:highlight w:val="none"/>
              </w:rPr>
              <w:t>、18 ug/m</w:t>
            </w:r>
            <w:r>
              <w:rPr>
                <w:rFonts w:hint="eastAsia" w:ascii="Times New Roman" w:hAnsi="Times New Roman"/>
                <w:color w:val="auto"/>
                <w:sz w:val="24"/>
                <w:szCs w:val="32"/>
                <w:highlight w:val="none"/>
                <w:vertAlign w:val="superscript"/>
              </w:rPr>
              <w:t>3</w:t>
            </w:r>
            <w:r>
              <w:rPr>
                <w:rFonts w:hint="eastAsia" w:ascii="Times New Roman" w:hAnsi="Times New Roman"/>
                <w:color w:val="auto"/>
                <w:sz w:val="24"/>
                <w:szCs w:val="32"/>
                <w:highlight w:val="none"/>
              </w:rPr>
              <w:t>、71 ug/m</w:t>
            </w:r>
            <w:r>
              <w:rPr>
                <w:rFonts w:hint="eastAsia" w:ascii="Times New Roman" w:hAnsi="Times New Roman"/>
                <w:color w:val="auto"/>
                <w:sz w:val="24"/>
                <w:szCs w:val="32"/>
                <w:highlight w:val="none"/>
                <w:vertAlign w:val="superscript"/>
              </w:rPr>
              <w:t>3</w:t>
            </w:r>
            <w:r>
              <w:rPr>
                <w:rFonts w:hint="eastAsia" w:ascii="Times New Roman" w:hAnsi="Times New Roman"/>
                <w:color w:val="auto"/>
                <w:sz w:val="24"/>
                <w:szCs w:val="32"/>
                <w:highlight w:val="none"/>
              </w:rPr>
              <w:t>、43 ug/m</w:t>
            </w:r>
            <w:r>
              <w:rPr>
                <w:rFonts w:hint="eastAsia" w:ascii="Times New Roman" w:hAnsi="Times New Roman"/>
                <w:color w:val="auto"/>
                <w:sz w:val="24"/>
                <w:szCs w:val="32"/>
                <w:highlight w:val="none"/>
                <w:vertAlign w:val="superscript"/>
              </w:rPr>
              <w:t>3</w:t>
            </w:r>
            <w:r>
              <w:rPr>
                <w:rFonts w:hint="eastAsia" w:ascii="Times New Roman" w:hAnsi="Times New Roman"/>
                <w:color w:val="auto"/>
                <w:sz w:val="24"/>
                <w:szCs w:val="32"/>
                <w:highlight w:val="none"/>
              </w:rPr>
              <w:t>；CO 24小时平均第95百分位数为0.9mg/m</w:t>
            </w:r>
            <w:r>
              <w:rPr>
                <w:rFonts w:hint="eastAsia" w:ascii="Times New Roman" w:hAnsi="Times New Roman"/>
                <w:color w:val="auto"/>
                <w:sz w:val="24"/>
                <w:szCs w:val="32"/>
                <w:highlight w:val="none"/>
                <w:vertAlign w:val="superscript"/>
              </w:rPr>
              <w:t>3</w:t>
            </w:r>
            <w:r>
              <w:rPr>
                <w:rFonts w:hint="eastAsia" w:ascii="Times New Roman" w:hAnsi="Times New Roman"/>
                <w:color w:val="auto"/>
                <w:sz w:val="24"/>
                <w:szCs w:val="32"/>
                <w:highlight w:val="none"/>
              </w:rPr>
              <w:t>，O</w:t>
            </w:r>
            <w:r>
              <w:rPr>
                <w:rFonts w:hint="eastAsia" w:ascii="Times New Roman" w:hAnsi="Times New Roman"/>
                <w:color w:val="auto"/>
                <w:sz w:val="24"/>
                <w:szCs w:val="32"/>
                <w:highlight w:val="none"/>
                <w:vertAlign w:val="subscript"/>
              </w:rPr>
              <w:t>3</w:t>
            </w:r>
            <w:r>
              <w:rPr>
                <w:rFonts w:hint="eastAsia" w:ascii="Times New Roman" w:hAnsi="Times New Roman"/>
                <w:color w:val="auto"/>
                <w:sz w:val="24"/>
                <w:szCs w:val="32"/>
                <w:highlight w:val="none"/>
              </w:rPr>
              <w:t>日最大8小时平均第90百分位数为170 ug/m</w:t>
            </w:r>
            <w:r>
              <w:rPr>
                <w:rFonts w:hint="eastAsia" w:ascii="Times New Roman" w:hAnsi="Times New Roman"/>
                <w:color w:val="auto"/>
                <w:sz w:val="24"/>
                <w:szCs w:val="32"/>
                <w:highlight w:val="none"/>
                <w:vertAlign w:val="superscript"/>
              </w:rPr>
              <w:t>3</w:t>
            </w:r>
            <w:r>
              <w:rPr>
                <w:rFonts w:hint="eastAsia" w:ascii="Times New Roman" w:hAnsi="Times New Roman"/>
                <w:color w:val="auto"/>
                <w:sz w:val="24"/>
                <w:szCs w:val="32"/>
                <w:highlight w:val="none"/>
              </w:rPr>
              <w:t>；超过《环境空气质量标准》（GB3095-2012）中二级标准限值的污染物为PM</w:t>
            </w:r>
            <w:r>
              <w:rPr>
                <w:rFonts w:hint="eastAsia" w:ascii="Times New Roman" w:hAnsi="Times New Roman"/>
                <w:color w:val="auto"/>
                <w:sz w:val="24"/>
                <w:szCs w:val="32"/>
                <w:highlight w:val="none"/>
                <w:vertAlign w:val="subscript"/>
              </w:rPr>
              <w:t>10</w:t>
            </w:r>
            <w:r>
              <w:rPr>
                <w:rFonts w:hint="eastAsia" w:ascii="Times New Roman" w:hAnsi="Times New Roman"/>
                <w:color w:val="auto"/>
                <w:sz w:val="24"/>
                <w:szCs w:val="32"/>
                <w:highlight w:val="none"/>
              </w:rPr>
              <w:t>、O</w:t>
            </w:r>
            <w:r>
              <w:rPr>
                <w:rFonts w:hint="eastAsia" w:ascii="Times New Roman" w:hAnsi="Times New Roman"/>
                <w:color w:val="auto"/>
                <w:sz w:val="24"/>
                <w:szCs w:val="32"/>
                <w:highlight w:val="none"/>
                <w:vertAlign w:val="subscript"/>
              </w:rPr>
              <w:t>3</w:t>
            </w:r>
            <w:r>
              <w:rPr>
                <w:rFonts w:hint="eastAsia" w:ascii="Times New Roman" w:hAnsi="Times New Roman"/>
                <w:color w:val="auto"/>
                <w:sz w:val="24"/>
                <w:szCs w:val="32"/>
                <w:highlight w:val="none"/>
              </w:rPr>
              <w:t>、PM</w:t>
            </w:r>
            <w:r>
              <w:rPr>
                <w:rFonts w:hint="eastAsia" w:ascii="Times New Roman" w:hAnsi="Times New Roman"/>
                <w:color w:val="auto"/>
                <w:sz w:val="24"/>
                <w:szCs w:val="32"/>
                <w:highlight w:val="none"/>
                <w:vertAlign w:val="subscript"/>
              </w:rPr>
              <w:t>2.5</w:t>
            </w:r>
            <w:r>
              <w:rPr>
                <w:rFonts w:hint="eastAsia" w:ascii="Times New Roman" w:hAnsi="Times New Roman"/>
                <w:color w:val="auto"/>
                <w:sz w:val="24"/>
                <w:szCs w:val="32"/>
                <w:highlight w:val="none"/>
              </w:rPr>
              <w:t>。</w:t>
            </w:r>
            <w:r>
              <w:rPr>
                <w:rFonts w:ascii="Times New Roman" w:hAnsi="Times New Roman"/>
                <w:color w:val="auto"/>
                <w:sz w:val="24"/>
                <w:szCs w:val="32"/>
                <w:highlight w:val="none"/>
              </w:rPr>
              <w:t>宿州市202</w:t>
            </w:r>
            <w:r>
              <w:rPr>
                <w:rFonts w:hint="eastAsia" w:ascii="Times New Roman" w:hAnsi="Times New Roman"/>
                <w:color w:val="auto"/>
                <w:sz w:val="24"/>
                <w:szCs w:val="32"/>
                <w:highlight w:val="none"/>
                <w:lang w:val="en-US" w:eastAsia="zh-CN"/>
              </w:rPr>
              <w:t>4</w:t>
            </w:r>
            <w:r>
              <w:rPr>
                <w:rFonts w:ascii="Times New Roman" w:hAnsi="Times New Roman"/>
                <w:color w:val="auto"/>
                <w:sz w:val="24"/>
                <w:szCs w:val="32"/>
                <w:highlight w:val="none"/>
              </w:rPr>
              <w:t>年环境空气质量基础污染物监测浓度见下表：</w:t>
            </w:r>
          </w:p>
          <w:p w14:paraId="283C073F">
            <w:pPr>
              <w:numPr>
                <w:ilvl w:val="0"/>
                <w:numId w:val="0"/>
              </w:numPr>
              <w:ind w:leftChars="0"/>
              <w:jc w:val="center"/>
              <w:rPr>
                <w:b/>
                <w:color w:val="auto"/>
                <w:sz w:val="24"/>
                <w:highlight w:val="none"/>
              </w:rPr>
            </w:pPr>
            <w:r>
              <w:rPr>
                <w:rFonts w:hint="eastAsia"/>
                <w:b/>
                <w:color w:val="auto"/>
                <w:sz w:val="24"/>
                <w:szCs w:val="32"/>
                <w:highlight w:val="none"/>
                <w:lang w:eastAsia="zh-CN"/>
              </w:rPr>
              <w:t>表</w:t>
            </w:r>
            <w:r>
              <w:rPr>
                <w:rFonts w:hint="eastAsia"/>
                <w:b/>
                <w:color w:val="auto"/>
                <w:sz w:val="24"/>
                <w:szCs w:val="32"/>
                <w:highlight w:val="none"/>
                <w:lang w:val="en-US" w:eastAsia="zh-CN"/>
              </w:rPr>
              <w:t xml:space="preserve">3-1 </w:t>
            </w:r>
            <w:r>
              <w:rPr>
                <w:b/>
                <w:color w:val="auto"/>
                <w:sz w:val="24"/>
                <w:szCs w:val="32"/>
                <w:highlight w:val="none"/>
              </w:rPr>
              <w:t>区域空气质量现状评价表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5"/>
              <w:gridCol w:w="3244"/>
              <w:gridCol w:w="1228"/>
              <w:gridCol w:w="1100"/>
              <w:gridCol w:w="1135"/>
              <w:gridCol w:w="1067"/>
            </w:tblGrid>
            <w:tr w14:paraId="1535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73C64BFA">
                  <w:pPr>
                    <w:widowControl/>
                    <w:adjustRightInd w:val="0"/>
                    <w:snapToGrid w:val="0"/>
                    <w:jc w:val="center"/>
                    <w:rPr>
                      <w:color w:val="auto"/>
                      <w:szCs w:val="21"/>
                      <w:highlight w:val="none"/>
                    </w:rPr>
                  </w:pPr>
                  <w:r>
                    <w:rPr>
                      <w:color w:val="auto"/>
                      <w:szCs w:val="21"/>
                      <w:highlight w:val="none"/>
                    </w:rPr>
                    <w:t>污染物</w:t>
                  </w:r>
                </w:p>
              </w:tc>
              <w:tc>
                <w:tcPr>
                  <w:tcW w:w="1846" w:type="pct"/>
                  <w:tcBorders>
                    <w:top w:val="single" w:color="auto" w:sz="4" w:space="0"/>
                    <w:left w:val="single" w:color="auto" w:sz="4" w:space="0"/>
                    <w:bottom w:val="single" w:color="auto" w:sz="4" w:space="0"/>
                    <w:right w:val="single" w:color="auto" w:sz="4" w:space="0"/>
                  </w:tcBorders>
                  <w:vAlign w:val="center"/>
                </w:tcPr>
                <w:p w14:paraId="5F8C118A">
                  <w:pPr>
                    <w:widowControl/>
                    <w:adjustRightInd w:val="0"/>
                    <w:snapToGrid w:val="0"/>
                    <w:jc w:val="center"/>
                    <w:rPr>
                      <w:color w:val="auto"/>
                      <w:szCs w:val="21"/>
                      <w:highlight w:val="none"/>
                    </w:rPr>
                  </w:pPr>
                  <w:r>
                    <w:rPr>
                      <w:color w:val="auto"/>
                      <w:szCs w:val="21"/>
                      <w:highlight w:val="none"/>
                    </w:rPr>
                    <w:t>年评价指标</w:t>
                  </w:r>
                </w:p>
              </w:tc>
              <w:tc>
                <w:tcPr>
                  <w:tcW w:w="699" w:type="pct"/>
                  <w:tcBorders>
                    <w:top w:val="single" w:color="auto" w:sz="4" w:space="0"/>
                    <w:left w:val="single" w:color="auto" w:sz="4" w:space="0"/>
                    <w:bottom w:val="single" w:color="auto" w:sz="4" w:space="0"/>
                    <w:right w:val="single" w:color="auto" w:sz="4" w:space="0"/>
                  </w:tcBorders>
                  <w:vAlign w:val="center"/>
                </w:tcPr>
                <w:p w14:paraId="295DABA9">
                  <w:pPr>
                    <w:widowControl/>
                    <w:adjustRightInd w:val="0"/>
                    <w:snapToGrid w:val="0"/>
                    <w:jc w:val="center"/>
                    <w:rPr>
                      <w:color w:val="auto"/>
                      <w:szCs w:val="21"/>
                      <w:highlight w:val="none"/>
                    </w:rPr>
                  </w:pPr>
                  <w:r>
                    <w:rPr>
                      <w:color w:val="auto"/>
                      <w:szCs w:val="21"/>
                      <w:highlight w:val="none"/>
                    </w:rPr>
                    <w:t>现状浓度</w:t>
                  </w:r>
                </w:p>
                <w:p w14:paraId="69A8E088">
                  <w:pPr>
                    <w:widowControl/>
                    <w:adjustRightInd w:val="0"/>
                    <w:snapToGrid w:val="0"/>
                    <w:jc w:val="center"/>
                    <w:rPr>
                      <w:color w:val="auto"/>
                      <w:szCs w:val="21"/>
                      <w:highlight w:val="none"/>
                    </w:rPr>
                  </w:pPr>
                  <w:r>
                    <w:rPr>
                      <w:color w:val="auto"/>
                      <w:szCs w:val="21"/>
                      <w:highlight w:val="none"/>
                    </w:rPr>
                    <w:t>（ug/m</w:t>
                  </w:r>
                  <w:r>
                    <w:rPr>
                      <w:color w:val="auto"/>
                      <w:szCs w:val="21"/>
                      <w:highlight w:val="none"/>
                      <w:vertAlign w:val="superscript"/>
                    </w:rPr>
                    <w:t>3</w:t>
                  </w:r>
                  <w:r>
                    <w:rPr>
                      <w:color w:val="auto"/>
                      <w:szCs w:val="21"/>
                      <w:highlight w:val="none"/>
                    </w:rPr>
                    <w:t>）</w:t>
                  </w:r>
                </w:p>
              </w:tc>
              <w:tc>
                <w:tcPr>
                  <w:tcW w:w="626" w:type="pct"/>
                  <w:tcBorders>
                    <w:top w:val="single" w:color="auto" w:sz="4" w:space="0"/>
                    <w:left w:val="single" w:color="auto" w:sz="4" w:space="0"/>
                    <w:bottom w:val="single" w:color="auto" w:sz="4" w:space="0"/>
                    <w:right w:val="single" w:color="auto" w:sz="4" w:space="0"/>
                  </w:tcBorders>
                  <w:vAlign w:val="center"/>
                </w:tcPr>
                <w:p w14:paraId="5BE054D5">
                  <w:pPr>
                    <w:widowControl/>
                    <w:adjustRightInd w:val="0"/>
                    <w:snapToGrid w:val="0"/>
                    <w:jc w:val="center"/>
                    <w:rPr>
                      <w:color w:val="auto"/>
                      <w:szCs w:val="21"/>
                      <w:highlight w:val="none"/>
                    </w:rPr>
                  </w:pPr>
                  <w:r>
                    <w:rPr>
                      <w:color w:val="auto"/>
                      <w:szCs w:val="21"/>
                      <w:highlight w:val="none"/>
                    </w:rPr>
                    <w:t>标准值</w:t>
                  </w:r>
                </w:p>
                <w:p w14:paraId="77BFD0AF">
                  <w:pPr>
                    <w:widowControl/>
                    <w:adjustRightInd w:val="0"/>
                    <w:snapToGrid w:val="0"/>
                    <w:jc w:val="center"/>
                    <w:rPr>
                      <w:color w:val="auto"/>
                      <w:szCs w:val="21"/>
                      <w:highlight w:val="none"/>
                    </w:rPr>
                  </w:pPr>
                  <w:r>
                    <w:rPr>
                      <w:color w:val="auto"/>
                      <w:szCs w:val="21"/>
                      <w:highlight w:val="none"/>
                    </w:rPr>
                    <w:t>（ug/m</w:t>
                  </w:r>
                  <w:r>
                    <w:rPr>
                      <w:color w:val="auto"/>
                      <w:szCs w:val="21"/>
                      <w:highlight w:val="none"/>
                      <w:vertAlign w:val="superscript"/>
                    </w:rPr>
                    <w:t>3</w:t>
                  </w:r>
                  <w:r>
                    <w:rPr>
                      <w:color w:val="auto"/>
                      <w:szCs w:val="21"/>
                      <w:highlight w:val="none"/>
                    </w:rPr>
                    <w:t>）</w:t>
                  </w:r>
                </w:p>
              </w:tc>
              <w:tc>
                <w:tcPr>
                  <w:tcW w:w="646" w:type="pct"/>
                  <w:tcBorders>
                    <w:top w:val="single" w:color="auto" w:sz="4" w:space="0"/>
                    <w:left w:val="single" w:color="auto" w:sz="4" w:space="0"/>
                    <w:bottom w:val="single" w:color="auto" w:sz="4" w:space="0"/>
                    <w:right w:val="single" w:color="auto" w:sz="4" w:space="0"/>
                  </w:tcBorders>
                  <w:vAlign w:val="center"/>
                </w:tcPr>
                <w:p w14:paraId="0EA9AE92">
                  <w:pPr>
                    <w:widowControl/>
                    <w:adjustRightInd w:val="0"/>
                    <w:snapToGrid w:val="0"/>
                    <w:jc w:val="center"/>
                    <w:rPr>
                      <w:color w:val="auto"/>
                      <w:szCs w:val="21"/>
                      <w:highlight w:val="none"/>
                    </w:rPr>
                  </w:pPr>
                  <w:r>
                    <w:rPr>
                      <w:color w:val="auto"/>
                      <w:szCs w:val="21"/>
                      <w:highlight w:val="none"/>
                    </w:rPr>
                    <w:t>占标率</w:t>
                  </w:r>
                </w:p>
                <w:p w14:paraId="0B14F8F0">
                  <w:pPr>
                    <w:widowControl/>
                    <w:adjustRightInd w:val="0"/>
                    <w:snapToGrid w:val="0"/>
                    <w:jc w:val="center"/>
                    <w:rPr>
                      <w:color w:val="auto"/>
                      <w:szCs w:val="21"/>
                      <w:highlight w:val="none"/>
                    </w:rPr>
                  </w:pPr>
                  <w:r>
                    <w:rPr>
                      <w:color w:val="auto"/>
                      <w:szCs w:val="21"/>
                      <w:highlight w:val="none"/>
                    </w:rPr>
                    <w:t>(%)</w:t>
                  </w:r>
                </w:p>
              </w:tc>
              <w:tc>
                <w:tcPr>
                  <w:tcW w:w="607" w:type="pct"/>
                  <w:tcBorders>
                    <w:top w:val="single" w:color="auto" w:sz="4" w:space="0"/>
                    <w:left w:val="single" w:color="auto" w:sz="4" w:space="0"/>
                    <w:bottom w:val="single" w:color="auto" w:sz="4" w:space="0"/>
                    <w:right w:val="single" w:color="auto" w:sz="4" w:space="0"/>
                  </w:tcBorders>
                  <w:vAlign w:val="center"/>
                </w:tcPr>
                <w:p w14:paraId="7F961CD2">
                  <w:pPr>
                    <w:widowControl/>
                    <w:adjustRightInd w:val="0"/>
                    <w:snapToGrid w:val="0"/>
                    <w:jc w:val="center"/>
                    <w:rPr>
                      <w:color w:val="auto"/>
                      <w:szCs w:val="21"/>
                      <w:highlight w:val="none"/>
                    </w:rPr>
                  </w:pPr>
                  <w:r>
                    <w:rPr>
                      <w:color w:val="auto"/>
                      <w:szCs w:val="21"/>
                      <w:highlight w:val="none"/>
                    </w:rPr>
                    <w:t>达标情况</w:t>
                  </w:r>
                </w:p>
              </w:tc>
            </w:tr>
            <w:tr w14:paraId="3D0E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0A4AB4B8">
                  <w:pPr>
                    <w:widowControl/>
                    <w:adjustRightInd w:val="0"/>
                    <w:snapToGrid w:val="0"/>
                    <w:jc w:val="center"/>
                    <w:rPr>
                      <w:color w:val="auto"/>
                      <w:szCs w:val="21"/>
                      <w:highlight w:val="none"/>
                    </w:rPr>
                  </w:pPr>
                  <w:r>
                    <w:rPr>
                      <w:color w:val="auto"/>
                      <w:szCs w:val="21"/>
                      <w:highlight w:val="none"/>
                    </w:rPr>
                    <w:t>SO</w:t>
                  </w:r>
                  <w:r>
                    <w:rPr>
                      <w:color w:val="auto"/>
                      <w:szCs w:val="21"/>
                      <w:highlight w:val="none"/>
                      <w:vertAlign w:val="subscript"/>
                    </w:rPr>
                    <w:t>2</w:t>
                  </w:r>
                </w:p>
              </w:tc>
              <w:tc>
                <w:tcPr>
                  <w:tcW w:w="1846" w:type="pct"/>
                  <w:tcBorders>
                    <w:top w:val="single" w:color="auto" w:sz="4" w:space="0"/>
                    <w:left w:val="single" w:color="auto" w:sz="4" w:space="0"/>
                    <w:bottom w:val="single" w:color="auto" w:sz="4" w:space="0"/>
                    <w:right w:val="single" w:color="auto" w:sz="4" w:space="0"/>
                  </w:tcBorders>
                  <w:vAlign w:val="center"/>
                </w:tcPr>
                <w:p w14:paraId="432972DF">
                  <w:pPr>
                    <w:widowControl/>
                    <w:adjustRightInd w:val="0"/>
                    <w:snapToGrid w:val="0"/>
                    <w:jc w:val="center"/>
                    <w:rPr>
                      <w:color w:val="auto"/>
                      <w:szCs w:val="21"/>
                      <w:highlight w:val="none"/>
                    </w:rPr>
                  </w:pPr>
                  <w:r>
                    <w:rPr>
                      <w:color w:val="auto"/>
                      <w:szCs w:val="21"/>
                      <w:highlight w:val="none"/>
                    </w:rPr>
                    <w:t>平均质量浓度</w:t>
                  </w:r>
                </w:p>
              </w:tc>
              <w:tc>
                <w:tcPr>
                  <w:tcW w:w="699" w:type="pct"/>
                  <w:tcBorders>
                    <w:top w:val="single" w:color="auto" w:sz="4" w:space="0"/>
                    <w:left w:val="single" w:color="auto" w:sz="4" w:space="0"/>
                    <w:bottom w:val="single" w:color="auto" w:sz="4" w:space="0"/>
                    <w:right w:val="single" w:color="auto" w:sz="4" w:space="0"/>
                  </w:tcBorders>
                  <w:vAlign w:val="center"/>
                </w:tcPr>
                <w:p w14:paraId="684B2A61">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6</w:t>
                  </w:r>
                </w:p>
              </w:tc>
              <w:tc>
                <w:tcPr>
                  <w:tcW w:w="626" w:type="pct"/>
                  <w:tcBorders>
                    <w:top w:val="single" w:color="auto" w:sz="4" w:space="0"/>
                    <w:left w:val="single" w:color="auto" w:sz="4" w:space="0"/>
                    <w:bottom w:val="single" w:color="auto" w:sz="4" w:space="0"/>
                    <w:right w:val="single" w:color="auto" w:sz="4" w:space="0"/>
                  </w:tcBorders>
                  <w:vAlign w:val="center"/>
                </w:tcPr>
                <w:p w14:paraId="2E45411C">
                  <w:pPr>
                    <w:widowControl/>
                    <w:adjustRightInd w:val="0"/>
                    <w:snapToGrid w:val="0"/>
                    <w:jc w:val="center"/>
                    <w:rPr>
                      <w:color w:val="auto"/>
                      <w:szCs w:val="21"/>
                      <w:highlight w:val="none"/>
                    </w:rPr>
                  </w:pPr>
                  <w:r>
                    <w:rPr>
                      <w:rFonts w:hint="eastAsia"/>
                      <w:color w:val="auto"/>
                      <w:szCs w:val="21"/>
                      <w:highlight w:val="none"/>
                    </w:rPr>
                    <w:t>60</w:t>
                  </w:r>
                </w:p>
              </w:tc>
              <w:tc>
                <w:tcPr>
                  <w:tcW w:w="1146" w:type="dxa"/>
                  <w:tcBorders>
                    <w:top w:val="single" w:color="auto" w:sz="4" w:space="0"/>
                    <w:left w:val="single" w:color="auto" w:sz="4" w:space="0"/>
                    <w:bottom w:val="single" w:color="auto" w:sz="4" w:space="0"/>
                    <w:right w:val="single" w:color="auto" w:sz="4" w:space="0"/>
                  </w:tcBorders>
                  <w:vAlign w:val="center"/>
                </w:tcPr>
                <w:p w14:paraId="176BFCFA">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607" w:type="pct"/>
                  <w:tcBorders>
                    <w:top w:val="single" w:color="auto" w:sz="4" w:space="0"/>
                    <w:left w:val="single" w:color="auto" w:sz="4" w:space="0"/>
                    <w:bottom w:val="single" w:color="auto" w:sz="4" w:space="0"/>
                    <w:right w:val="single" w:color="auto" w:sz="4" w:space="0"/>
                  </w:tcBorders>
                  <w:vAlign w:val="center"/>
                </w:tcPr>
                <w:p w14:paraId="618C7913">
                  <w:pPr>
                    <w:widowControl/>
                    <w:adjustRightInd w:val="0"/>
                    <w:snapToGrid w:val="0"/>
                    <w:jc w:val="center"/>
                    <w:rPr>
                      <w:color w:val="auto"/>
                      <w:szCs w:val="21"/>
                      <w:highlight w:val="none"/>
                    </w:rPr>
                  </w:pPr>
                  <w:r>
                    <w:rPr>
                      <w:rFonts w:hint="eastAsia"/>
                      <w:color w:val="auto"/>
                      <w:szCs w:val="21"/>
                      <w:highlight w:val="none"/>
                    </w:rPr>
                    <w:t>达标</w:t>
                  </w:r>
                </w:p>
              </w:tc>
            </w:tr>
            <w:tr w14:paraId="0FEE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A00EB1">
                  <w:pPr>
                    <w:widowControl/>
                    <w:adjustRightInd w:val="0"/>
                    <w:snapToGrid w:val="0"/>
                    <w:jc w:val="center"/>
                    <w:rPr>
                      <w:color w:val="auto"/>
                      <w:szCs w:val="21"/>
                      <w:highlight w:val="none"/>
                    </w:rPr>
                  </w:pPr>
                  <w:r>
                    <w:rPr>
                      <w:color w:val="auto"/>
                      <w:szCs w:val="21"/>
                      <w:highlight w:val="none"/>
                    </w:rPr>
                    <w:t>NO</w:t>
                  </w:r>
                  <w:r>
                    <w:rPr>
                      <w:color w:val="auto"/>
                      <w:szCs w:val="21"/>
                      <w:highlight w:val="none"/>
                      <w:vertAlign w:val="subscript"/>
                    </w:rPr>
                    <w:t>2</w:t>
                  </w:r>
                </w:p>
              </w:tc>
              <w:tc>
                <w:tcPr>
                  <w:tcW w:w="184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84C48F">
                  <w:pPr>
                    <w:widowControl/>
                    <w:adjustRightInd w:val="0"/>
                    <w:snapToGrid w:val="0"/>
                    <w:jc w:val="center"/>
                    <w:rPr>
                      <w:color w:val="auto"/>
                      <w:szCs w:val="21"/>
                      <w:highlight w:val="none"/>
                    </w:rPr>
                  </w:pPr>
                  <w:r>
                    <w:rPr>
                      <w:color w:val="auto"/>
                      <w:szCs w:val="21"/>
                      <w:highlight w:val="none"/>
                    </w:rPr>
                    <w:t>平均质量浓度</w:t>
                  </w:r>
                </w:p>
              </w:tc>
              <w:tc>
                <w:tcPr>
                  <w:tcW w:w="6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365353">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18</w:t>
                  </w:r>
                </w:p>
              </w:tc>
              <w:tc>
                <w:tcPr>
                  <w:tcW w:w="6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02A23C">
                  <w:pPr>
                    <w:widowControl/>
                    <w:adjustRightInd w:val="0"/>
                    <w:snapToGrid w:val="0"/>
                    <w:jc w:val="center"/>
                    <w:rPr>
                      <w:color w:val="auto"/>
                      <w:szCs w:val="21"/>
                      <w:highlight w:val="none"/>
                    </w:rPr>
                  </w:pPr>
                  <w:r>
                    <w:rPr>
                      <w:rFonts w:hint="eastAsia"/>
                      <w:color w:val="auto"/>
                      <w:szCs w:val="21"/>
                      <w:highlight w:val="none"/>
                    </w:rPr>
                    <w:t>40</w:t>
                  </w:r>
                </w:p>
              </w:tc>
              <w:tc>
                <w:tcPr>
                  <w:tcW w:w="11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1FA37B">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45</w:t>
                  </w:r>
                </w:p>
              </w:tc>
              <w:tc>
                <w:tcPr>
                  <w:tcW w:w="6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144258">
                  <w:pPr>
                    <w:widowControl/>
                    <w:adjustRightInd w:val="0"/>
                    <w:snapToGrid w:val="0"/>
                    <w:jc w:val="center"/>
                    <w:rPr>
                      <w:color w:val="auto"/>
                      <w:szCs w:val="21"/>
                      <w:highlight w:val="none"/>
                    </w:rPr>
                  </w:pPr>
                  <w:r>
                    <w:rPr>
                      <w:rFonts w:hint="eastAsia"/>
                      <w:color w:val="auto"/>
                      <w:szCs w:val="21"/>
                      <w:highlight w:val="none"/>
                    </w:rPr>
                    <w:t>达标</w:t>
                  </w:r>
                </w:p>
              </w:tc>
            </w:tr>
            <w:tr w14:paraId="1202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6CD968">
                  <w:pPr>
                    <w:widowControl/>
                    <w:adjustRightInd w:val="0"/>
                    <w:snapToGrid w:val="0"/>
                    <w:jc w:val="center"/>
                    <w:rPr>
                      <w:color w:val="auto"/>
                      <w:szCs w:val="21"/>
                      <w:highlight w:val="none"/>
                    </w:rPr>
                  </w:pPr>
                  <w:r>
                    <w:rPr>
                      <w:color w:val="auto"/>
                      <w:szCs w:val="21"/>
                      <w:highlight w:val="none"/>
                    </w:rPr>
                    <w:t>PM</w:t>
                  </w:r>
                  <w:r>
                    <w:rPr>
                      <w:color w:val="auto"/>
                      <w:szCs w:val="21"/>
                      <w:highlight w:val="none"/>
                      <w:vertAlign w:val="subscript"/>
                    </w:rPr>
                    <w:t>10</w:t>
                  </w:r>
                </w:p>
              </w:tc>
              <w:tc>
                <w:tcPr>
                  <w:tcW w:w="184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84DA58">
                  <w:pPr>
                    <w:widowControl/>
                    <w:adjustRightInd w:val="0"/>
                    <w:snapToGrid w:val="0"/>
                    <w:jc w:val="center"/>
                    <w:rPr>
                      <w:color w:val="auto"/>
                      <w:szCs w:val="21"/>
                      <w:highlight w:val="none"/>
                    </w:rPr>
                  </w:pPr>
                  <w:r>
                    <w:rPr>
                      <w:color w:val="auto"/>
                      <w:szCs w:val="21"/>
                      <w:highlight w:val="none"/>
                    </w:rPr>
                    <w:t>平均质量浓度</w:t>
                  </w:r>
                </w:p>
              </w:tc>
              <w:tc>
                <w:tcPr>
                  <w:tcW w:w="6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77F4F5">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71</w:t>
                  </w:r>
                </w:p>
              </w:tc>
              <w:tc>
                <w:tcPr>
                  <w:tcW w:w="6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BFD1DE">
                  <w:pPr>
                    <w:widowControl/>
                    <w:adjustRightInd w:val="0"/>
                    <w:snapToGrid w:val="0"/>
                    <w:jc w:val="center"/>
                    <w:rPr>
                      <w:color w:val="auto"/>
                      <w:szCs w:val="21"/>
                      <w:highlight w:val="none"/>
                    </w:rPr>
                  </w:pPr>
                  <w:r>
                    <w:rPr>
                      <w:rFonts w:hint="eastAsia"/>
                      <w:color w:val="auto"/>
                      <w:szCs w:val="21"/>
                      <w:highlight w:val="none"/>
                    </w:rPr>
                    <w:t>70</w:t>
                  </w:r>
                </w:p>
              </w:tc>
              <w:tc>
                <w:tcPr>
                  <w:tcW w:w="11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36B2E2">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101.4</w:t>
                  </w:r>
                </w:p>
              </w:tc>
              <w:tc>
                <w:tcPr>
                  <w:tcW w:w="6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BA6C82">
                  <w:pPr>
                    <w:widowControl/>
                    <w:adjustRightInd w:val="0"/>
                    <w:snapToGrid w:val="0"/>
                    <w:jc w:val="center"/>
                    <w:rPr>
                      <w:color w:val="auto"/>
                      <w:szCs w:val="21"/>
                      <w:highlight w:val="none"/>
                    </w:rPr>
                  </w:pPr>
                  <w:r>
                    <w:rPr>
                      <w:rFonts w:hint="eastAsia"/>
                      <w:color w:val="auto"/>
                      <w:szCs w:val="21"/>
                      <w:highlight w:val="none"/>
                    </w:rPr>
                    <w:t>不达标</w:t>
                  </w:r>
                </w:p>
              </w:tc>
            </w:tr>
            <w:tr w14:paraId="1AE4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1A2E72">
                  <w:pPr>
                    <w:widowControl/>
                    <w:adjustRightInd w:val="0"/>
                    <w:snapToGrid w:val="0"/>
                    <w:jc w:val="center"/>
                    <w:rPr>
                      <w:color w:val="auto"/>
                      <w:szCs w:val="21"/>
                      <w:highlight w:val="none"/>
                    </w:rPr>
                  </w:pPr>
                  <w:r>
                    <w:rPr>
                      <w:color w:val="auto"/>
                      <w:szCs w:val="21"/>
                      <w:highlight w:val="none"/>
                    </w:rPr>
                    <w:t>PM</w:t>
                  </w:r>
                  <w:r>
                    <w:rPr>
                      <w:color w:val="auto"/>
                      <w:szCs w:val="21"/>
                      <w:highlight w:val="none"/>
                      <w:vertAlign w:val="subscript"/>
                    </w:rPr>
                    <w:t>2.5</w:t>
                  </w:r>
                </w:p>
              </w:tc>
              <w:tc>
                <w:tcPr>
                  <w:tcW w:w="184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FAD3BA">
                  <w:pPr>
                    <w:widowControl/>
                    <w:adjustRightInd w:val="0"/>
                    <w:snapToGrid w:val="0"/>
                    <w:jc w:val="center"/>
                    <w:rPr>
                      <w:color w:val="auto"/>
                      <w:szCs w:val="21"/>
                      <w:highlight w:val="none"/>
                    </w:rPr>
                  </w:pPr>
                  <w:r>
                    <w:rPr>
                      <w:color w:val="auto"/>
                      <w:szCs w:val="21"/>
                      <w:highlight w:val="none"/>
                    </w:rPr>
                    <w:t>平均质量浓度</w:t>
                  </w:r>
                </w:p>
              </w:tc>
              <w:tc>
                <w:tcPr>
                  <w:tcW w:w="6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E07C52">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6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B5E7AB">
                  <w:pPr>
                    <w:widowControl/>
                    <w:adjustRightInd w:val="0"/>
                    <w:snapToGrid w:val="0"/>
                    <w:jc w:val="center"/>
                    <w:rPr>
                      <w:color w:val="auto"/>
                      <w:szCs w:val="21"/>
                      <w:highlight w:val="none"/>
                    </w:rPr>
                  </w:pPr>
                  <w:r>
                    <w:rPr>
                      <w:rFonts w:hint="eastAsia"/>
                      <w:color w:val="auto"/>
                      <w:szCs w:val="21"/>
                      <w:highlight w:val="none"/>
                    </w:rPr>
                    <w:t>35</w:t>
                  </w:r>
                </w:p>
              </w:tc>
              <w:tc>
                <w:tcPr>
                  <w:tcW w:w="11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FDA689">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122.9</w:t>
                  </w:r>
                </w:p>
              </w:tc>
              <w:tc>
                <w:tcPr>
                  <w:tcW w:w="6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8E1402">
                  <w:pPr>
                    <w:widowControl/>
                    <w:adjustRightInd w:val="0"/>
                    <w:snapToGrid w:val="0"/>
                    <w:jc w:val="center"/>
                    <w:rPr>
                      <w:color w:val="auto"/>
                      <w:szCs w:val="21"/>
                      <w:highlight w:val="none"/>
                    </w:rPr>
                  </w:pPr>
                  <w:r>
                    <w:rPr>
                      <w:rFonts w:hint="eastAsia"/>
                      <w:color w:val="auto"/>
                      <w:szCs w:val="21"/>
                      <w:highlight w:val="none"/>
                    </w:rPr>
                    <w:t>不达标</w:t>
                  </w:r>
                </w:p>
              </w:tc>
            </w:tr>
            <w:tr w14:paraId="18BF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E6AA27">
                  <w:pPr>
                    <w:widowControl/>
                    <w:adjustRightInd w:val="0"/>
                    <w:snapToGrid w:val="0"/>
                    <w:jc w:val="center"/>
                    <w:rPr>
                      <w:color w:val="auto"/>
                      <w:szCs w:val="21"/>
                      <w:highlight w:val="none"/>
                    </w:rPr>
                  </w:pPr>
                  <w:r>
                    <w:rPr>
                      <w:color w:val="auto"/>
                      <w:szCs w:val="21"/>
                      <w:highlight w:val="none"/>
                    </w:rPr>
                    <w:t>CO</w:t>
                  </w:r>
                </w:p>
              </w:tc>
              <w:tc>
                <w:tcPr>
                  <w:tcW w:w="184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FDFB0E">
                  <w:pPr>
                    <w:widowControl/>
                    <w:adjustRightInd w:val="0"/>
                    <w:snapToGrid w:val="0"/>
                    <w:jc w:val="center"/>
                    <w:rPr>
                      <w:color w:val="auto"/>
                      <w:szCs w:val="21"/>
                      <w:highlight w:val="none"/>
                    </w:rPr>
                  </w:pPr>
                  <w:r>
                    <w:rPr>
                      <w:color w:val="auto"/>
                      <w:szCs w:val="21"/>
                      <w:highlight w:val="none"/>
                    </w:rPr>
                    <w:t>24小时平均第95百分位数</w:t>
                  </w:r>
                </w:p>
              </w:tc>
              <w:tc>
                <w:tcPr>
                  <w:tcW w:w="6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DC92BF">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900</w:t>
                  </w:r>
                </w:p>
              </w:tc>
              <w:tc>
                <w:tcPr>
                  <w:tcW w:w="6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9D1AC1">
                  <w:pPr>
                    <w:widowControl/>
                    <w:adjustRightInd w:val="0"/>
                    <w:snapToGrid w:val="0"/>
                    <w:jc w:val="center"/>
                    <w:rPr>
                      <w:color w:val="auto"/>
                      <w:szCs w:val="21"/>
                      <w:highlight w:val="none"/>
                    </w:rPr>
                  </w:pPr>
                  <w:r>
                    <w:rPr>
                      <w:rFonts w:hint="eastAsia"/>
                      <w:color w:val="auto"/>
                      <w:szCs w:val="21"/>
                      <w:highlight w:val="none"/>
                    </w:rPr>
                    <w:t>4000</w:t>
                  </w:r>
                </w:p>
              </w:tc>
              <w:tc>
                <w:tcPr>
                  <w:tcW w:w="11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F1E5CA">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22.5</w:t>
                  </w:r>
                </w:p>
              </w:tc>
              <w:tc>
                <w:tcPr>
                  <w:tcW w:w="6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3BE09B">
                  <w:pPr>
                    <w:widowControl/>
                    <w:adjustRightInd w:val="0"/>
                    <w:snapToGrid w:val="0"/>
                    <w:jc w:val="center"/>
                    <w:rPr>
                      <w:color w:val="auto"/>
                      <w:szCs w:val="21"/>
                      <w:highlight w:val="none"/>
                    </w:rPr>
                  </w:pPr>
                  <w:r>
                    <w:rPr>
                      <w:rFonts w:hint="eastAsia"/>
                      <w:color w:val="auto"/>
                      <w:szCs w:val="21"/>
                      <w:highlight w:val="none"/>
                    </w:rPr>
                    <w:t>达标</w:t>
                  </w:r>
                </w:p>
              </w:tc>
            </w:tr>
            <w:tr w14:paraId="704E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563A5E">
                  <w:pPr>
                    <w:widowControl/>
                    <w:adjustRightInd w:val="0"/>
                    <w:snapToGrid w:val="0"/>
                    <w:jc w:val="center"/>
                    <w:rPr>
                      <w:color w:val="auto"/>
                      <w:szCs w:val="21"/>
                      <w:highlight w:val="none"/>
                    </w:rPr>
                  </w:pPr>
                  <w:r>
                    <w:rPr>
                      <w:color w:val="auto"/>
                      <w:szCs w:val="21"/>
                      <w:highlight w:val="none"/>
                    </w:rPr>
                    <w:t>O</w:t>
                  </w:r>
                  <w:r>
                    <w:rPr>
                      <w:color w:val="auto"/>
                      <w:szCs w:val="21"/>
                      <w:highlight w:val="none"/>
                      <w:vertAlign w:val="subscript"/>
                    </w:rPr>
                    <w:t>3</w:t>
                  </w:r>
                </w:p>
              </w:tc>
              <w:tc>
                <w:tcPr>
                  <w:tcW w:w="184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9E21F8">
                  <w:pPr>
                    <w:widowControl/>
                    <w:adjustRightInd w:val="0"/>
                    <w:snapToGrid w:val="0"/>
                    <w:jc w:val="center"/>
                    <w:rPr>
                      <w:color w:val="auto"/>
                      <w:szCs w:val="21"/>
                      <w:highlight w:val="none"/>
                    </w:rPr>
                  </w:pPr>
                  <w:r>
                    <w:rPr>
                      <w:color w:val="auto"/>
                      <w:szCs w:val="21"/>
                      <w:highlight w:val="none"/>
                    </w:rPr>
                    <w:t>日最大8小时平均第90百分位数</w:t>
                  </w:r>
                </w:p>
              </w:tc>
              <w:tc>
                <w:tcPr>
                  <w:tcW w:w="6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77671A">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170</w:t>
                  </w:r>
                </w:p>
              </w:tc>
              <w:tc>
                <w:tcPr>
                  <w:tcW w:w="6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F8828D">
                  <w:pPr>
                    <w:widowControl/>
                    <w:adjustRightInd w:val="0"/>
                    <w:snapToGrid w:val="0"/>
                    <w:jc w:val="center"/>
                    <w:rPr>
                      <w:color w:val="auto"/>
                      <w:szCs w:val="21"/>
                      <w:highlight w:val="none"/>
                    </w:rPr>
                  </w:pPr>
                  <w:r>
                    <w:rPr>
                      <w:rFonts w:hint="eastAsia"/>
                      <w:color w:val="auto"/>
                      <w:szCs w:val="21"/>
                      <w:highlight w:val="none"/>
                    </w:rPr>
                    <w:t>160</w:t>
                  </w:r>
                </w:p>
              </w:tc>
              <w:tc>
                <w:tcPr>
                  <w:tcW w:w="11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A71208">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106.3</w:t>
                  </w:r>
                </w:p>
              </w:tc>
              <w:tc>
                <w:tcPr>
                  <w:tcW w:w="6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230DCF">
                  <w:pPr>
                    <w:widowControl/>
                    <w:adjustRightInd w:val="0"/>
                    <w:snapToGrid w:val="0"/>
                    <w:jc w:val="center"/>
                    <w:rPr>
                      <w:color w:val="auto"/>
                      <w:szCs w:val="21"/>
                      <w:highlight w:val="none"/>
                    </w:rPr>
                  </w:pPr>
                  <w:r>
                    <w:rPr>
                      <w:rFonts w:hint="eastAsia"/>
                      <w:color w:val="auto"/>
                      <w:szCs w:val="21"/>
                      <w:highlight w:val="none"/>
                    </w:rPr>
                    <w:t>不达标</w:t>
                  </w:r>
                </w:p>
              </w:tc>
            </w:tr>
          </w:tbl>
          <w:p w14:paraId="38295523">
            <w:pPr>
              <w:widowControl/>
              <w:shd w:val="clear" w:color="auto" w:fill="FFFFFF"/>
              <w:spacing w:line="360" w:lineRule="auto"/>
              <w:ind w:firstLine="480" w:firstLineChars="200"/>
              <w:jc w:val="left"/>
              <w:rPr>
                <w:color w:val="auto"/>
                <w:sz w:val="24"/>
                <w:highlight w:val="none"/>
              </w:rPr>
            </w:pPr>
            <w:r>
              <w:rPr>
                <w:color w:val="auto"/>
                <w:sz w:val="24"/>
                <w:highlight w:val="none"/>
              </w:rPr>
              <w:t>由上表可知，宿州市202</w:t>
            </w:r>
            <w:r>
              <w:rPr>
                <w:rFonts w:hint="eastAsia"/>
                <w:color w:val="auto"/>
                <w:sz w:val="24"/>
                <w:highlight w:val="none"/>
                <w:lang w:val="en-US" w:eastAsia="zh-CN"/>
              </w:rPr>
              <w:t>4</w:t>
            </w:r>
            <w:r>
              <w:rPr>
                <w:color w:val="auto"/>
                <w:sz w:val="24"/>
                <w:highlight w:val="none"/>
              </w:rPr>
              <w:t>年环境空气中SO</w:t>
            </w:r>
            <w:r>
              <w:rPr>
                <w:color w:val="auto"/>
                <w:sz w:val="24"/>
                <w:highlight w:val="none"/>
                <w:vertAlign w:val="subscript"/>
              </w:rPr>
              <w:t>2</w:t>
            </w:r>
            <w:r>
              <w:rPr>
                <w:color w:val="auto"/>
                <w:sz w:val="24"/>
                <w:highlight w:val="none"/>
              </w:rPr>
              <w:t>年均值、NO</w:t>
            </w:r>
            <w:r>
              <w:rPr>
                <w:color w:val="auto"/>
                <w:sz w:val="24"/>
                <w:highlight w:val="none"/>
                <w:vertAlign w:val="subscript"/>
              </w:rPr>
              <w:t>2</w:t>
            </w:r>
            <w:r>
              <w:rPr>
                <w:color w:val="auto"/>
                <w:sz w:val="24"/>
                <w:highlight w:val="none"/>
              </w:rPr>
              <w:t>年均值、CO 24小时平均第95百分位数</w:t>
            </w:r>
            <w:r>
              <w:rPr>
                <w:rFonts w:hint="eastAsia"/>
                <w:color w:val="auto"/>
                <w:sz w:val="24"/>
                <w:highlight w:val="none"/>
                <w:lang w:val="en-US" w:eastAsia="zh-CN"/>
              </w:rPr>
              <w:t>、</w:t>
            </w:r>
            <w:r>
              <w:rPr>
                <w:color w:val="auto"/>
                <w:sz w:val="24"/>
                <w:highlight w:val="none"/>
              </w:rPr>
              <w:t>均达到《环境空气质量标准》（GB3095-2012）中二级标准；PM</w:t>
            </w:r>
            <w:r>
              <w:rPr>
                <w:color w:val="auto"/>
                <w:sz w:val="24"/>
                <w:highlight w:val="none"/>
                <w:vertAlign w:val="subscript"/>
              </w:rPr>
              <w:t>2.5</w:t>
            </w:r>
            <w:r>
              <w:rPr>
                <w:rFonts w:hint="eastAsia"/>
                <w:color w:val="auto"/>
                <w:sz w:val="24"/>
                <w:highlight w:val="none"/>
                <w:vertAlign w:val="baseline"/>
                <w:lang w:eastAsia="zh-CN"/>
              </w:rPr>
              <w:t>平</w:t>
            </w:r>
            <w:r>
              <w:rPr>
                <w:color w:val="auto"/>
                <w:sz w:val="24"/>
                <w:highlight w:val="none"/>
              </w:rPr>
              <w:t>均值、PM</w:t>
            </w:r>
            <w:r>
              <w:rPr>
                <w:rFonts w:hint="eastAsia"/>
                <w:color w:val="auto"/>
                <w:sz w:val="24"/>
                <w:highlight w:val="none"/>
                <w:vertAlign w:val="subscript"/>
                <w:lang w:val="en-US" w:eastAsia="zh-CN"/>
              </w:rPr>
              <w:t>10</w:t>
            </w:r>
            <w:r>
              <w:rPr>
                <w:rFonts w:hint="eastAsia"/>
                <w:color w:val="auto"/>
                <w:sz w:val="24"/>
                <w:highlight w:val="none"/>
                <w:vertAlign w:val="baseline"/>
                <w:lang w:eastAsia="zh-CN"/>
              </w:rPr>
              <w:t>平</w:t>
            </w:r>
            <w:r>
              <w:rPr>
                <w:color w:val="auto"/>
                <w:sz w:val="24"/>
                <w:highlight w:val="none"/>
              </w:rPr>
              <w:t>均值</w:t>
            </w:r>
            <w:r>
              <w:rPr>
                <w:rFonts w:hint="eastAsia"/>
                <w:color w:val="auto"/>
                <w:sz w:val="24"/>
                <w:highlight w:val="none"/>
                <w:lang w:eastAsia="zh-CN"/>
              </w:rPr>
              <w:t>、</w:t>
            </w:r>
            <w:r>
              <w:rPr>
                <w:rFonts w:hint="eastAsia" w:ascii="Times New Roman" w:hAnsi="Times New Roman"/>
                <w:color w:val="auto"/>
                <w:sz w:val="24"/>
                <w:szCs w:val="32"/>
                <w:highlight w:val="none"/>
              </w:rPr>
              <w:t>O</w:t>
            </w:r>
            <w:r>
              <w:rPr>
                <w:rFonts w:hint="eastAsia" w:ascii="Times New Roman" w:hAnsi="Times New Roman"/>
                <w:color w:val="auto"/>
                <w:sz w:val="24"/>
                <w:szCs w:val="32"/>
                <w:highlight w:val="none"/>
                <w:vertAlign w:val="subscript"/>
              </w:rPr>
              <w:t>3</w:t>
            </w:r>
            <w:r>
              <w:rPr>
                <w:rFonts w:hint="eastAsia" w:ascii="Times New Roman" w:hAnsi="Times New Roman"/>
                <w:color w:val="auto"/>
                <w:sz w:val="24"/>
                <w:szCs w:val="32"/>
                <w:highlight w:val="none"/>
              </w:rPr>
              <w:t>日最大8小时平均第90百分位数</w:t>
            </w:r>
            <w:r>
              <w:rPr>
                <w:rFonts w:hint="eastAsia"/>
                <w:color w:val="auto"/>
                <w:sz w:val="24"/>
                <w:szCs w:val="32"/>
                <w:highlight w:val="none"/>
                <w:lang w:eastAsia="zh-CN"/>
              </w:rPr>
              <w:t>值</w:t>
            </w:r>
            <w:r>
              <w:rPr>
                <w:color w:val="auto"/>
                <w:sz w:val="24"/>
                <w:highlight w:val="none"/>
              </w:rPr>
              <w:t>超过《环境空气质量标准》（GB3095-2012）中二级标准，因此判定为不达标</w:t>
            </w:r>
            <w:r>
              <w:rPr>
                <w:color w:val="auto"/>
                <w:sz w:val="24"/>
                <w:szCs w:val="32"/>
                <w:highlight w:val="none"/>
              </w:rPr>
              <w:t>区。</w:t>
            </w:r>
          </w:p>
          <w:p w14:paraId="2DEA8147">
            <w:pPr>
              <w:spacing w:line="360" w:lineRule="auto"/>
              <w:ind w:firstLine="482" w:firstLineChars="200"/>
              <w:rPr>
                <w:b/>
                <w:bCs/>
                <w:color w:val="auto"/>
                <w:sz w:val="24"/>
                <w:szCs w:val="32"/>
                <w:highlight w:val="none"/>
              </w:rPr>
            </w:pPr>
            <w:r>
              <w:rPr>
                <w:b/>
                <w:bCs/>
                <w:color w:val="auto"/>
                <w:sz w:val="24"/>
                <w:szCs w:val="32"/>
                <w:highlight w:val="none"/>
              </w:rPr>
              <w:t>2、地表水环境质量状况</w:t>
            </w:r>
          </w:p>
          <w:p w14:paraId="72ABC6A7">
            <w:pPr>
              <w:pStyle w:val="95"/>
              <w:spacing w:line="360" w:lineRule="auto"/>
              <w:ind w:firstLine="480" w:firstLineChars="200"/>
              <w:jc w:val="both"/>
              <w:rPr>
                <w:rFonts w:ascii="Times New Roman" w:cs="Times New Roman"/>
                <w:color w:val="auto"/>
                <w:highlight w:val="none"/>
              </w:rPr>
            </w:pPr>
            <w:r>
              <w:rPr>
                <w:rFonts w:ascii="Times New Roman" w:cs="Times New Roman"/>
                <w:color w:val="auto"/>
                <w:highlight w:val="none"/>
              </w:rPr>
              <w:t>根据《建设项目环境影响报告表编制技术指南（污染影响类）（试行）》，地表水环境引用与建设项目距离近的有效数据，包括近3年的规划环境影响评价的监测数据，所在流域控制单元内国家、地方控制断面监测数据，生态环境主管部门发布的水环境质量数据或地表水达标情况的结论。</w:t>
            </w:r>
          </w:p>
          <w:p w14:paraId="4F1438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sz w:val="24"/>
                <w:szCs w:val="32"/>
              </w:rPr>
              <w:t>根据</w:t>
            </w:r>
            <w:r>
              <w:rPr>
                <w:rFonts w:hint="eastAsia"/>
                <w:sz w:val="24"/>
                <w:szCs w:val="32"/>
              </w:rPr>
              <w:t>宿州市生态环境局发布的《2025年</w:t>
            </w:r>
            <w:r>
              <w:rPr>
                <w:rFonts w:hint="eastAsia"/>
                <w:sz w:val="24"/>
                <w:szCs w:val="32"/>
                <w:lang w:val="en-US" w:eastAsia="zh-CN"/>
              </w:rPr>
              <w:t>4</w:t>
            </w:r>
            <w:r>
              <w:rPr>
                <w:rFonts w:hint="eastAsia"/>
                <w:sz w:val="24"/>
                <w:szCs w:val="32"/>
              </w:rPr>
              <w:t>月宿州市生态环境质量状况》</w:t>
            </w:r>
            <w:r>
              <w:rPr>
                <w:rFonts w:hint="eastAsia"/>
                <w:sz w:val="24"/>
                <w:szCs w:val="32"/>
                <w:lang w:eastAsia="zh-CN"/>
              </w:rPr>
              <w:t>：2025年</w:t>
            </w:r>
            <w:r>
              <w:rPr>
                <w:rFonts w:hint="eastAsia"/>
                <w:sz w:val="24"/>
                <w:szCs w:val="32"/>
                <w:lang w:val="en-US" w:eastAsia="zh-CN"/>
              </w:rPr>
              <w:t>4</w:t>
            </w:r>
            <w:r>
              <w:rPr>
                <w:rFonts w:hint="eastAsia"/>
                <w:sz w:val="24"/>
                <w:szCs w:val="32"/>
                <w:lang w:eastAsia="zh-CN"/>
              </w:rPr>
              <w:t>月，全市地表水水质状况总体水质为轻度污染。3</w:t>
            </w:r>
            <w:r>
              <w:rPr>
                <w:rFonts w:hint="eastAsia"/>
                <w:sz w:val="24"/>
                <w:szCs w:val="32"/>
                <w:lang w:val="en-US" w:eastAsia="zh-CN"/>
              </w:rPr>
              <w:t>1</w:t>
            </w:r>
            <w:r>
              <w:rPr>
                <w:rFonts w:hint="eastAsia"/>
                <w:sz w:val="24"/>
                <w:szCs w:val="32"/>
                <w:lang w:eastAsia="zh-CN"/>
              </w:rPr>
              <w:t>个断面水质达到2025年水质目标考核要求；不能满足目标考核要求的</w:t>
            </w:r>
            <w:r>
              <w:rPr>
                <w:rFonts w:hint="eastAsia"/>
                <w:sz w:val="24"/>
                <w:szCs w:val="32"/>
                <w:lang w:val="en-US" w:eastAsia="zh-CN"/>
              </w:rPr>
              <w:t>5个断面包括：3个劣Ⅴ类断面(闸河许岗子闸、老濉河泗县、澥河方店闸断面)，1个V类断面(铁路运河大外环南路桥)，1个IV类断面(丰县华楼桥上游150米)。36个地表水考核断面中:II类占5.6%(2个)，II类占66.7%(24个)，IV类占16.7%(6个)，V类占2.8%(1个)，劣V类占8.3%(3个)，无I类。</w:t>
            </w:r>
          </w:p>
          <w:p w14:paraId="71B2E3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与上月相比，水质有所下降。其中:II类水质断面比例下降 27.7个百分点，II类上升11.1个百分点，IV类上升8.3个百分点，V类持平，劣V类上升8.3个百分点。</w:t>
            </w:r>
          </w:p>
          <w:p w14:paraId="3EB313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eastAsia"/>
                <w:sz w:val="24"/>
                <w:szCs w:val="32"/>
                <w:lang w:val="en-US" w:eastAsia="zh-CN"/>
              </w:rPr>
              <w:t>与去年同期相比，水质无明显变化。其中:II类水质断面比例下降 11.0个百分点，II类上升13.9个百分点，IV类下降11.2个百分点，V类持平，劣V类上升8.3个百分点</w:t>
            </w:r>
            <w:r>
              <w:rPr>
                <w:sz w:val="24"/>
                <w:szCs w:val="32"/>
              </w:rPr>
              <w:t>。</w:t>
            </w:r>
          </w:p>
          <w:p w14:paraId="24EA988C">
            <w:pPr>
              <w:spacing w:line="360" w:lineRule="auto"/>
              <w:ind w:firstLine="482" w:firstLineChars="200"/>
              <w:rPr>
                <w:b/>
                <w:bCs/>
                <w:color w:val="auto"/>
                <w:sz w:val="24"/>
                <w:szCs w:val="32"/>
                <w:highlight w:val="none"/>
              </w:rPr>
            </w:pPr>
            <w:r>
              <w:rPr>
                <w:b/>
                <w:bCs/>
                <w:color w:val="auto"/>
                <w:sz w:val="24"/>
                <w:szCs w:val="32"/>
                <w:highlight w:val="none"/>
              </w:rPr>
              <w:t>3、声环境质量状况</w:t>
            </w:r>
          </w:p>
          <w:p w14:paraId="22824833">
            <w:pPr>
              <w:spacing w:line="360" w:lineRule="auto"/>
              <w:ind w:firstLine="480" w:firstLineChars="200"/>
              <w:rPr>
                <w:rFonts w:hint="eastAsia"/>
                <w:color w:val="auto"/>
                <w:kern w:val="1"/>
                <w:sz w:val="24"/>
                <w:highlight w:val="none"/>
              </w:rPr>
            </w:pPr>
            <w:r>
              <w:rPr>
                <w:rFonts w:hint="eastAsia"/>
                <w:color w:val="auto"/>
                <w:kern w:val="1"/>
                <w:sz w:val="24"/>
                <w:highlight w:val="none"/>
              </w:rPr>
              <w:t>根据《建设项目环境影响报告表编制技术指南（污染影响类）》，厂界外周边50m范围内存在声环境保护目标的建设项目，应监测保护目标声环境质量现状并评价达标情况。本项目周边50m范围</w:t>
            </w:r>
            <w:r>
              <w:rPr>
                <w:rFonts w:hint="eastAsia"/>
                <w:color w:val="auto"/>
                <w:kern w:val="1"/>
                <w:sz w:val="24"/>
                <w:highlight w:val="none"/>
                <w:lang w:eastAsia="zh-CN"/>
              </w:rPr>
              <w:t>有</w:t>
            </w:r>
            <w:r>
              <w:rPr>
                <w:rFonts w:hint="eastAsia"/>
                <w:color w:val="auto"/>
                <w:kern w:val="1"/>
                <w:sz w:val="24"/>
                <w:highlight w:val="none"/>
              </w:rPr>
              <w:t>环境敏感目标，故对声环境进行监测。</w:t>
            </w:r>
          </w:p>
          <w:p w14:paraId="59E97F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rPr>
            </w:pPr>
            <w:r>
              <w:rPr>
                <w:rFonts w:hint="default"/>
                <w:sz w:val="24"/>
                <w:szCs w:val="32"/>
              </w:rPr>
              <w:t>委托</w:t>
            </w:r>
            <w:r>
              <w:rPr>
                <w:rFonts w:hint="eastAsia"/>
                <w:sz w:val="24"/>
                <w:szCs w:val="32"/>
                <w:lang w:eastAsia="zh-CN"/>
              </w:rPr>
              <w:t>安徽安卓环境科技有限公司于</w:t>
            </w:r>
            <w:r>
              <w:rPr>
                <w:rFonts w:hint="eastAsia"/>
                <w:sz w:val="24"/>
                <w:szCs w:val="32"/>
                <w:lang w:val="en-US" w:eastAsia="zh-CN"/>
              </w:rPr>
              <w:t>2025.6.16日对厂界四周及敏感点（居民点1）进行噪声监测</w:t>
            </w:r>
            <w:r>
              <w:rPr>
                <w:rFonts w:hint="default"/>
                <w:sz w:val="24"/>
                <w:szCs w:val="32"/>
              </w:rPr>
              <w:t>，监测结果见下表。</w:t>
            </w:r>
          </w:p>
          <w:p w14:paraId="7D5BD65F">
            <w:pPr>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表3-</w:t>
            </w:r>
            <w:r>
              <w:rPr>
                <w:rFonts w:hint="eastAsia" w:cs="Times New Roman"/>
                <w:b/>
                <w:color w:val="auto"/>
                <w:sz w:val="24"/>
                <w:szCs w:val="24"/>
                <w:lang w:val="en-US" w:eastAsia="zh-CN"/>
              </w:rPr>
              <w:t>2</w:t>
            </w:r>
            <w:r>
              <w:rPr>
                <w:rFonts w:hint="default" w:ascii="Times New Roman" w:hAnsi="Times New Roman" w:eastAsia="宋体" w:cs="Times New Roman"/>
                <w:b/>
                <w:color w:val="auto"/>
                <w:sz w:val="24"/>
                <w:szCs w:val="24"/>
              </w:rPr>
              <w:t xml:space="preserve"> 厂界噪声现状监测结果</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563"/>
              <w:gridCol w:w="4638"/>
              <w:gridCol w:w="19"/>
            </w:tblGrid>
            <w:tr w14:paraId="093E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86" w:type="pct"/>
                  <w:vMerge w:val="restart"/>
                  <w:noWrap w:val="0"/>
                  <w:vAlign w:val="center"/>
                </w:tcPr>
                <w:p w14:paraId="264F298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编号</w:t>
                  </w:r>
                </w:p>
              </w:tc>
              <w:tc>
                <w:tcPr>
                  <w:tcW w:w="1460" w:type="pct"/>
                  <w:vMerge w:val="restart"/>
                  <w:noWrap w:val="0"/>
                  <w:vAlign w:val="center"/>
                </w:tcPr>
                <w:p w14:paraId="3CEE50E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监测布点</w:t>
                  </w:r>
                </w:p>
              </w:tc>
              <w:tc>
                <w:tcPr>
                  <w:tcW w:w="2653" w:type="pct"/>
                  <w:gridSpan w:val="2"/>
                  <w:noWrap w:val="0"/>
                  <w:vAlign w:val="center"/>
                </w:tcPr>
                <w:p w14:paraId="0F00EE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w:t>
                  </w:r>
                  <w:r>
                    <w:rPr>
                      <w:rFonts w:hint="eastAsia" w:cs="Times New Roman"/>
                      <w:color w:val="auto"/>
                      <w:sz w:val="21"/>
                      <w:szCs w:val="21"/>
                      <w:lang w:val="en-US" w:eastAsia="zh-CN"/>
                    </w:rPr>
                    <w:t>5.06.16</w:t>
                  </w:r>
                </w:p>
              </w:tc>
            </w:tr>
            <w:tr w14:paraId="2D28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397" w:hRule="atLeast"/>
                <w:tblHeader/>
                <w:jc w:val="center"/>
              </w:trPr>
              <w:tc>
                <w:tcPr>
                  <w:tcW w:w="886" w:type="pct"/>
                  <w:vMerge w:val="continue"/>
                  <w:noWrap w:val="0"/>
                  <w:vAlign w:val="center"/>
                </w:tcPr>
                <w:p w14:paraId="7595501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宋体" w:cs="Times New Roman"/>
                      <w:color w:val="auto"/>
                      <w:sz w:val="21"/>
                      <w:szCs w:val="21"/>
                    </w:rPr>
                  </w:pPr>
                </w:p>
              </w:tc>
              <w:tc>
                <w:tcPr>
                  <w:tcW w:w="1460" w:type="pct"/>
                  <w:vMerge w:val="continue"/>
                  <w:noWrap w:val="0"/>
                  <w:vAlign w:val="center"/>
                </w:tcPr>
                <w:p w14:paraId="6720291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宋体" w:cs="Times New Roman"/>
                      <w:color w:val="auto"/>
                      <w:sz w:val="21"/>
                      <w:szCs w:val="21"/>
                    </w:rPr>
                  </w:pPr>
                </w:p>
              </w:tc>
              <w:tc>
                <w:tcPr>
                  <w:tcW w:w="2642" w:type="pct"/>
                  <w:noWrap w:val="0"/>
                  <w:vAlign w:val="center"/>
                </w:tcPr>
                <w:p w14:paraId="1A2A36A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昼间Leq</w:t>
                  </w:r>
                </w:p>
              </w:tc>
            </w:tr>
            <w:tr w14:paraId="41CD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397" w:hRule="atLeast"/>
                <w:jc w:val="center"/>
              </w:trPr>
              <w:tc>
                <w:tcPr>
                  <w:tcW w:w="886" w:type="pct"/>
                  <w:noWrap w:val="0"/>
                  <w:vAlign w:val="center"/>
                </w:tcPr>
                <w:p w14:paraId="608D0B7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N1</w:t>
                  </w:r>
                </w:p>
              </w:tc>
              <w:tc>
                <w:tcPr>
                  <w:tcW w:w="1460" w:type="pct"/>
                  <w:noWrap w:val="0"/>
                  <w:vAlign w:val="center"/>
                </w:tcPr>
                <w:p w14:paraId="4797A86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厂界东</w:t>
                  </w:r>
                </w:p>
              </w:tc>
              <w:tc>
                <w:tcPr>
                  <w:tcW w:w="2642" w:type="pct"/>
                  <w:noWrap w:val="0"/>
                  <w:vAlign w:val="center"/>
                </w:tcPr>
                <w:p w14:paraId="4BFD397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r>
                    <w:rPr>
                      <w:rFonts w:hint="eastAsia" w:cs="Times New Roman"/>
                      <w:color w:val="auto"/>
                      <w:kern w:val="2"/>
                      <w:sz w:val="21"/>
                      <w:szCs w:val="21"/>
                      <w:lang w:val="en-US" w:eastAsia="zh-CN" w:bidi="ar-SA"/>
                    </w:rPr>
                    <w:t>7</w:t>
                  </w:r>
                </w:p>
              </w:tc>
            </w:tr>
            <w:tr w14:paraId="3DD0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397" w:hRule="atLeast"/>
                <w:jc w:val="center"/>
              </w:trPr>
              <w:tc>
                <w:tcPr>
                  <w:tcW w:w="886" w:type="pct"/>
                  <w:noWrap w:val="0"/>
                  <w:vAlign w:val="center"/>
                </w:tcPr>
                <w:p w14:paraId="7537EC3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N2</w:t>
                  </w:r>
                </w:p>
              </w:tc>
              <w:tc>
                <w:tcPr>
                  <w:tcW w:w="1460" w:type="pct"/>
                  <w:noWrap w:val="0"/>
                  <w:vAlign w:val="center"/>
                </w:tcPr>
                <w:p w14:paraId="2514142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厂界南</w:t>
                  </w:r>
                </w:p>
              </w:tc>
              <w:tc>
                <w:tcPr>
                  <w:tcW w:w="2642" w:type="pct"/>
                  <w:noWrap w:val="0"/>
                  <w:vAlign w:val="center"/>
                </w:tcPr>
                <w:p w14:paraId="2E78940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r>
                    <w:rPr>
                      <w:rFonts w:hint="eastAsia" w:cs="Times New Roman"/>
                      <w:color w:val="auto"/>
                      <w:kern w:val="2"/>
                      <w:sz w:val="21"/>
                      <w:szCs w:val="21"/>
                      <w:lang w:val="en-US" w:eastAsia="zh-CN" w:bidi="ar-SA"/>
                    </w:rPr>
                    <w:t>7</w:t>
                  </w:r>
                </w:p>
              </w:tc>
            </w:tr>
            <w:tr w14:paraId="285C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397" w:hRule="atLeast"/>
                <w:jc w:val="center"/>
              </w:trPr>
              <w:tc>
                <w:tcPr>
                  <w:tcW w:w="886" w:type="pct"/>
                  <w:noWrap w:val="0"/>
                  <w:vAlign w:val="center"/>
                </w:tcPr>
                <w:p w14:paraId="6F8D67D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N3</w:t>
                  </w:r>
                </w:p>
              </w:tc>
              <w:tc>
                <w:tcPr>
                  <w:tcW w:w="1460" w:type="pct"/>
                  <w:noWrap w:val="0"/>
                  <w:vAlign w:val="center"/>
                </w:tcPr>
                <w:p w14:paraId="1944750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厂界西</w:t>
                  </w:r>
                </w:p>
              </w:tc>
              <w:tc>
                <w:tcPr>
                  <w:tcW w:w="2642" w:type="pct"/>
                  <w:noWrap w:val="0"/>
                  <w:vAlign w:val="center"/>
                </w:tcPr>
                <w:p w14:paraId="212FF8B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r>
                    <w:rPr>
                      <w:rFonts w:hint="eastAsia" w:cs="Times New Roman"/>
                      <w:color w:val="auto"/>
                      <w:kern w:val="2"/>
                      <w:sz w:val="21"/>
                      <w:szCs w:val="21"/>
                      <w:lang w:val="en-US" w:eastAsia="zh-CN" w:bidi="ar-SA"/>
                    </w:rPr>
                    <w:t>6</w:t>
                  </w:r>
                </w:p>
              </w:tc>
            </w:tr>
            <w:tr w14:paraId="7AA8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pct"/>
                <w:trHeight w:val="397" w:hRule="atLeast"/>
                <w:jc w:val="center"/>
              </w:trPr>
              <w:tc>
                <w:tcPr>
                  <w:tcW w:w="886" w:type="pct"/>
                  <w:noWrap w:val="0"/>
                  <w:vAlign w:val="center"/>
                </w:tcPr>
                <w:p w14:paraId="4BE11F0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N4</w:t>
                  </w:r>
                </w:p>
              </w:tc>
              <w:tc>
                <w:tcPr>
                  <w:tcW w:w="1460" w:type="pct"/>
                  <w:noWrap w:val="0"/>
                  <w:vAlign w:val="center"/>
                </w:tcPr>
                <w:p w14:paraId="3532920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厂界北</w:t>
                  </w:r>
                </w:p>
              </w:tc>
              <w:tc>
                <w:tcPr>
                  <w:tcW w:w="2642" w:type="pct"/>
                  <w:noWrap w:val="0"/>
                  <w:vAlign w:val="center"/>
                </w:tcPr>
                <w:p w14:paraId="0278B1D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r>
                    <w:rPr>
                      <w:rFonts w:hint="eastAsia" w:cs="Times New Roman"/>
                      <w:color w:val="auto"/>
                      <w:kern w:val="2"/>
                      <w:sz w:val="21"/>
                      <w:szCs w:val="21"/>
                      <w:lang w:val="en-US" w:eastAsia="zh-CN" w:bidi="ar-SA"/>
                    </w:rPr>
                    <w:t>6</w:t>
                  </w:r>
                </w:p>
              </w:tc>
            </w:tr>
            <w:tr w14:paraId="66A2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397" w:hRule="atLeast"/>
                <w:jc w:val="center"/>
              </w:trPr>
              <w:tc>
                <w:tcPr>
                  <w:tcW w:w="886" w:type="pct"/>
                  <w:noWrap w:val="0"/>
                  <w:vAlign w:val="center"/>
                </w:tcPr>
                <w:p w14:paraId="04AA5656">
                  <w:pPr>
                    <w:keepNext w:val="0"/>
                    <w:keepLines w:val="0"/>
                    <w:pageBreakBefore w:val="0"/>
                    <w:kinsoku/>
                    <w:wordWrap/>
                    <w:overflowPunct/>
                    <w:topLinePunct w:val="0"/>
                    <w:autoSpaceDE/>
                    <w:autoSpaceDN/>
                    <w:bidi w:val="0"/>
                    <w:adjustRightInd/>
                    <w:snapToGrid/>
                    <w:spacing w:line="240" w:lineRule="auto"/>
                    <w:ind w:firstLine="0" w:firstLineChars="0"/>
                    <w:jc w:val="center"/>
                    <w:rPr>
                      <w:color w:val="auto"/>
                    </w:rPr>
                  </w:pPr>
                  <w:r>
                    <w:rPr>
                      <w:rFonts w:hint="default" w:ascii="Times New Roman" w:hAnsi="Times New Roman" w:eastAsia="宋体" w:cs="Times New Roman"/>
                      <w:color w:val="auto"/>
                      <w:sz w:val="21"/>
                      <w:szCs w:val="21"/>
                      <w:lang w:val="en-US" w:eastAsia="zh-CN"/>
                    </w:rPr>
                    <w:t>N5</w:t>
                  </w:r>
                </w:p>
              </w:tc>
              <w:tc>
                <w:tcPr>
                  <w:tcW w:w="1460" w:type="pct"/>
                  <w:noWrap w:val="0"/>
                  <w:vAlign w:val="center"/>
                </w:tcPr>
                <w:p w14:paraId="5E63EE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lang w:val="en-US" w:eastAsia="zh-CN"/>
                    </w:rPr>
                  </w:pPr>
                  <w:r>
                    <w:rPr>
                      <w:rFonts w:hint="eastAsia"/>
                      <w:color w:val="auto"/>
                      <w:sz w:val="21"/>
                      <w:szCs w:val="21"/>
                      <w:lang w:eastAsia="zh-CN"/>
                    </w:rPr>
                    <w:t>居民点</w:t>
                  </w:r>
                  <w:r>
                    <w:rPr>
                      <w:rFonts w:hint="eastAsia"/>
                      <w:color w:val="auto"/>
                      <w:sz w:val="21"/>
                      <w:szCs w:val="21"/>
                      <w:lang w:val="en-US" w:eastAsia="zh-CN"/>
                    </w:rPr>
                    <w:t>1</w:t>
                  </w:r>
                </w:p>
              </w:tc>
              <w:tc>
                <w:tcPr>
                  <w:tcW w:w="2642" w:type="pct"/>
                  <w:noWrap w:val="0"/>
                  <w:vAlign w:val="center"/>
                </w:tcPr>
                <w:p w14:paraId="3DF82EA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r>
                    <w:rPr>
                      <w:rFonts w:hint="eastAsia" w:cs="Times New Roman"/>
                      <w:color w:val="auto"/>
                      <w:kern w:val="2"/>
                      <w:sz w:val="21"/>
                      <w:szCs w:val="21"/>
                      <w:lang w:val="en-US" w:eastAsia="zh-CN" w:bidi="ar-SA"/>
                    </w:rPr>
                    <w:t>7</w:t>
                  </w:r>
                </w:p>
              </w:tc>
            </w:tr>
          </w:tbl>
          <w:p w14:paraId="2362E885">
            <w:pPr>
              <w:spacing w:line="360" w:lineRule="auto"/>
              <w:ind w:firstLine="480" w:firstLineChars="200"/>
              <w:rPr>
                <w:rFonts w:hint="eastAsia"/>
                <w:b/>
                <w:color w:val="auto"/>
                <w:sz w:val="24"/>
                <w:highlight w:val="none"/>
              </w:rPr>
            </w:pPr>
            <w:r>
              <w:rPr>
                <w:rFonts w:hint="eastAsia" w:ascii="Times New Roman" w:hAnsi="Times New Roman" w:eastAsia="宋体" w:cs="Times New Roman"/>
                <w:color w:val="auto"/>
                <w:sz w:val="24"/>
                <w:szCs w:val="24"/>
                <w:lang w:val="zh-CN"/>
              </w:rPr>
              <w:t>根据上表监测结果显示，</w:t>
            </w:r>
            <w:r>
              <w:rPr>
                <w:rFonts w:hint="default" w:ascii="Times New Roman" w:hAnsi="Times New Roman" w:eastAsia="宋体" w:cs="Times New Roman"/>
                <w:color w:val="auto"/>
                <w:sz w:val="24"/>
                <w:szCs w:val="24"/>
                <w:lang w:val="zh-CN"/>
              </w:rPr>
              <w:t>项目选址所在区域声环境现状能够满足《声环境质量标准》(GB3096-2008)中的</w:t>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zh-CN"/>
              </w:rPr>
              <w:t>类标准。</w:t>
            </w:r>
          </w:p>
          <w:p w14:paraId="12578BD1">
            <w:pPr>
              <w:spacing w:line="360" w:lineRule="auto"/>
              <w:ind w:firstLine="482" w:firstLineChars="200"/>
              <w:rPr>
                <w:b/>
                <w:color w:val="auto"/>
                <w:sz w:val="24"/>
                <w:highlight w:val="none"/>
              </w:rPr>
            </w:pPr>
            <w:r>
              <w:rPr>
                <w:rFonts w:hint="eastAsia"/>
                <w:b/>
                <w:color w:val="auto"/>
                <w:sz w:val="24"/>
                <w:highlight w:val="none"/>
              </w:rPr>
              <w:t>4、地下水、土壤环境质量现状</w:t>
            </w:r>
          </w:p>
          <w:p w14:paraId="4EDA748E">
            <w:pPr>
              <w:pStyle w:val="49"/>
              <w:spacing w:line="360" w:lineRule="auto"/>
              <w:ind w:firstLine="480" w:firstLineChars="200"/>
              <w:rPr>
                <w:color w:val="auto"/>
                <w:kern w:val="0"/>
                <w:szCs w:val="21"/>
                <w:highlight w:val="none"/>
              </w:rPr>
            </w:pPr>
            <w:r>
              <w:rPr>
                <w:rFonts w:hint="eastAsia" w:ascii="Times New Roman" w:hAnsi="Times New Roman" w:cs="Times New Roman"/>
                <w:snapToGrid w:val="0"/>
                <w:color w:val="auto"/>
                <w:kern w:val="0"/>
                <w:highlight w:val="none"/>
              </w:rPr>
              <w:t>本项目为</w:t>
            </w:r>
            <w:r>
              <w:rPr>
                <w:rFonts w:hint="eastAsia" w:cs="Times New Roman"/>
                <w:snapToGrid w:val="0"/>
                <w:color w:val="auto"/>
                <w:kern w:val="0"/>
                <w:highlight w:val="none"/>
                <w:lang w:eastAsia="zh-CN"/>
              </w:rPr>
              <w:t>纯净水</w:t>
            </w:r>
            <w:r>
              <w:rPr>
                <w:rFonts w:hint="eastAsia" w:ascii="Times New Roman" w:hAnsi="Times New Roman" w:cs="Times New Roman"/>
                <w:snapToGrid w:val="0"/>
                <w:color w:val="auto"/>
                <w:kern w:val="0"/>
                <w:highlight w:val="none"/>
                <w:lang w:eastAsia="zh-CN"/>
              </w:rPr>
              <w:t>生产</w:t>
            </w:r>
            <w:r>
              <w:rPr>
                <w:rFonts w:hint="eastAsia" w:ascii="Times New Roman" w:hAnsi="Times New Roman" w:cs="Times New Roman"/>
                <w:snapToGrid w:val="0"/>
                <w:color w:val="auto"/>
                <w:kern w:val="0"/>
                <w:highlight w:val="none"/>
              </w:rPr>
              <w:t>，厂区经分区防渗后，项目对地下水及土壤环境产生影响较小，可不开展地下水、土壤环境现状调查。</w:t>
            </w:r>
          </w:p>
        </w:tc>
      </w:tr>
      <w:tr w14:paraId="0D15E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737" w:type="dxa"/>
            <w:vAlign w:val="center"/>
          </w:tcPr>
          <w:p w14:paraId="51B525C5">
            <w:pPr>
              <w:adjustRightInd w:val="0"/>
              <w:snapToGrid w:val="0"/>
              <w:jc w:val="center"/>
              <w:rPr>
                <w:b/>
                <w:color w:val="auto"/>
                <w:kern w:val="0"/>
                <w:sz w:val="24"/>
                <w:highlight w:val="none"/>
              </w:rPr>
            </w:pPr>
            <w:r>
              <w:rPr>
                <w:b/>
                <w:color w:val="auto"/>
                <w:kern w:val="0"/>
                <w:sz w:val="24"/>
                <w:highlight w:val="none"/>
              </w:rPr>
              <w:t>环境</w:t>
            </w:r>
          </w:p>
          <w:p w14:paraId="4AE40C8F">
            <w:pPr>
              <w:adjustRightInd w:val="0"/>
              <w:snapToGrid w:val="0"/>
              <w:jc w:val="center"/>
              <w:rPr>
                <w:b/>
                <w:color w:val="auto"/>
                <w:kern w:val="0"/>
                <w:sz w:val="24"/>
                <w:highlight w:val="none"/>
              </w:rPr>
            </w:pPr>
            <w:r>
              <w:rPr>
                <w:b/>
                <w:color w:val="auto"/>
                <w:kern w:val="0"/>
                <w:sz w:val="24"/>
                <w:highlight w:val="none"/>
              </w:rPr>
              <w:t>保护</w:t>
            </w:r>
          </w:p>
          <w:p w14:paraId="497363F0">
            <w:pPr>
              <w:adjustRightInd w:val="0"/>
              <w:snapToGrid w:val="0"/>
              <w:jc w:val="center"/>
              <w:rPr>
                <w:color w:val="auto"/>
                <w:kern w:val="0"/>
                <w:sz w:val="24"/>
                <w:highlight w:val="none"/>
              </w:rPr>
            </w:pPr>
            <w:r>
              <w:rPr>
                <w:b/>
                <w:color w:val="auto"/>
                <w:kern w:val="0"/>
                <w:sz w:val="24"/>
                <w:highlight w:val="none"/>
              </w:rPr>
              <w:t>目标</w:t>
            </w:r>
          </w:p>
        </w:tc>
        <w:tc>
          <w:tcPr>
            <w:tcW w:w="9005" w:type="dxa"/>
          </w:tcPr>
          <w:p w14:paraId="14439292">
            <w:pPr>
              <w:adjustRightInd w:val="0"/>
              <w:snapToGrid w:val="0"/>
              <w:spacing w:line="360" w:lineRule="auto"/>
              <w:ind w:firstLine="480" w:firstLineChars="200"/>
              <w:rPr>
                <w:color w:val="auto"/>
                <w:sz w:val="24"/>
                <w:highlight w:val="none"/>
              </w:rPr>
            </w:pPr>
            <w:r>
              <w:rPr>
                <w:color w:val="auto"/>
                <w:sz w:val="24"/>
                <w:highlight w:val="none"/>
              </w:rPr>
              <w:t>本项目选址位于</w:t>
            </w:r>
            <w:r>
              <w:rPr>
                <w:rFonts w:hint="eastAsia"/>
                <w:color w:val="auto"/>
                <w:sz w:val="24"/>
                <w:highlight w:val="none"/>
              </w:rPr>
              <w:t>安徽省宿州市埇桥区</w:t>
            </w:r>
            <w:r>
              <w:rPr>
                <w:rFonts w:hint="eastAsia"/>
                <w:color w:val="auto"/>
                <w:sz w:val="24"/>
                <w:highlight w:val="none"/>
                <w:lang w:eastAsia="zh-CN"/>
              </w:rPr>
              <w:t>朱仙庄镇镇西村</w:t>
            </w:r>
            <w:r>
              <w:rPr>
                <w:color w:val="auto"/>
                <w:sz w:val="24"/>
                <w:highlight w:val="none"/>
              </w:rPr>
              <w:t>，</w:t>
            </w:r>
            <w:r>
              <w:rPr>
                <w:rFonts w:hint="default" w:ascii="Times New Roman" w:hAnsi="Times New Roman" w:eastAsia="宋体" w:cs="Times New Roman"/>
                <w:color w:val="auto"/>
                <w:sz w:val="24"/>
                <w:highlight w:val="none"/>
                <w:u w:val="none"/>
              </w:rPr>
              <w:t>评价根据现场踏勘，确定</w:t>
            </w:r>
            <w:r>
              <w:rPr>
                <w:color w:val="auto"/>
                <w:sz w:val="24"/>
                <w:highlight w:val="none"/>
              </w:rPr>
              <w:t>建设项目具体环境保护目标如下：</w:t>
            </w:r>
          </w:p>
          <w:p w14:paraId="401DC2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32"/>
                <w:highlight w:val="none"/>
              </w:rPr>
            </w:pPr>
            <w:r>
              <w:rPr>
                <w:color w:val="auto"/>
                <w:sz w:val="24"/>
                <w:szCs w:val="32"/>
                <w:highlight w:val="none"/>
              </w:rPr>
              <w:t>环境空气：厂界外500米范围内无自然保护区、风景名胜区和文物古迹等需要特殊保护的环境敏感对象。</w:t>
            </w:r>
          </w:p>
          <w:p w14:paraId="5BDD81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32"/>
                <w:highlight w:val="none"/>
              </w:rPr>
            </w:pPr>
            <w:r>
              <w:rPr>
                <w:rFonts w:hint="eastAsia"/>
                <w:color w:val="auto"/>
                <w:sz w:val="24"/>
                <w:szCs w:val="32"/>
                <w:highlight w:val="none"/>
              </w:rPr>
              <w:t>地下水环境：本项目厂界外500m范围内无地下水集中式饮用水水源和热水、矿泉水、温泉等特殊地下水资源。</w:t>
            </w:r>
          </w:p>
          <w:p w14:paraId="0288D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32"/>
                <w:highlight w:val="none"/>
              </w:rPr>
            </w:pPr>
            <w:r>
              <w:rPr>
                <w:rFonts w:hint="eastAsia"/>
                <w:color w:val="auto"/>
                <w:sz w:val="24"/>
                <w:szCs w:val="32"/>
                <w:highlight w:val="none"/>
              </w:rPr>
              <w:t>3、生态环境：</w:t>
            </w:r>
            <w:r>
              <w:rPr>
                <w:color w:val="auto"/>
                <w:sz w:val="24"/>
                <w:szCs w:val="32"/>
                <w:highlight w:val="none"/>
              </w:rPr>
              <w:t>项目位于</w:t>
            </w:r>
            <w:r>
              <w:rPr>
                <w:rFonts w:hint="eastAsia"/>
                <w:color w:val="auto"/>
                <w:sz w:val="24"/>
                <w:highlight w:val="none"/>
              </w:rPr>
              <w:t>宿州市埇桥区</w:t>
            </w:r>
            <w:r>
              <w:rPr>
                <w:rFonts w:hint="eastAsia"/>
                <w:color w:val="auto"/>
                <w:sz w:val="24"/>
                <w:highlight w:val="none"/>
                <w:lang w:eastAsia="zh-CN"/>
              </w:rPr>
              <w:t>朱仙庄镇镇西村</w:t>
            </w:r>
            <w:r>
              <w:rPr>
                <w:rFonts w:hint="eastAsia"/>
                <w:color w:val="auto"/>
                <w:sz w:val="24"/>
                <w:szCs w:val="32"/>
                <w:highlight w:val="none"/>
              </w:rPr>
              <w:t>，项目周边无生态环境保护目标。</w:t>
            </w:r>
          </w:p>
          <w:p w14:paraId="2EE1C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32"/>
                <w:highlight w:val="none"/>
              </w:rPr>
            </w:pPr>
            <w:r>
              <w:rPr>
                <w:rFonts w:hint="eastAsia"/>
                <w:color w:val="auto"/>
                <w:sz w:val="24"/>
                <w:szCs w:val="32"/>
                <w:highlight w:val="none"/>
              </w:rPr>
              <w:t>4</w:t>
            </w:r>
            <w:r>
              <w:rPr>
                <w:color w:val="auto"/>
                <w:sz w:val="24"/>
                <w:szCs w:val="32"/>
                <w:highlight w:val="none"/>
              </w:rPr>
              <w:t>、声环境：厂界外周边50米范围内</w:t>
            </w:r>
            <w:r>
              <w:rPr>
                <w:rFonts w:hint="eastAsia"/>
                <w:color w:val="auto"/>
                <w:sz w:val="24"/>
                <w:szCs w:val="32"/>
                <w:highlight w:val="none"/>
                <w:lang w:eastAsia="zh-CN"/>
              </w:rPr>
              <w:t>有</w:t>
            </w:r>
            <w:r>
              <w:rPr>
                <w:color w:val="auto"/>
                <w:sz w:val="24"/>
                <w:szCs w:val="32"/>
                <w:highlight w:val="none"/>
              </w:rPr>
              <w:t>声环境敏感点，区域声环境质量执行《声环境质量标准》（GB3096-2008）中</w:t>
            </w:r>
            <w:r>
              <w:rPr>
                <w:rFonts w:hint="eastAsia"/>
                <w:color w:val="auto"/>
                <w:sz w:val="24"/>
                <w:szCs w:val="32"/>
                <w:highlight w:val="none"/>
                <w:lang w:val="en-US" w:eastAsia="zh-CN"/>
              </w:rPr>
              <w:t>2</w:t>
            </w:r>
            <w:r>
              <w:rPr>
                <w:color w:val="auto"/>
                <w:sz w:val="24"/>
                <w:szCs w:val="32"/>
                <w:highlight w:val="none"/>
              </w:rPr>
              <w:t>类标准</w:t>
            </w:r>
            <w:r>
              <w:rPr>
                <w:rFonts w:hint="eastAsia"/>
                <w:color w:val="auto"/>
                <w:sz w:val="24"/>
                <w:szCs w:val="32"/>
                <w:highlight w:val="none"/>
              </w:rPr>
              <w:t>。</w:t>
            </w:r>
          </w:p>
          <w:p w14:paraId="2B703FF5">
            <w:pPr>
              <w:numPr>
                <w:ilvl w:val="0"/>
                <w:numId w:val="0"/>
              </w:numPr>
              <w:tabs>
                <w:tab w:val="left" w:pos="420"/>
              </w:tabs>
              <w:ind w:leftChars="0"/>
              <w:jc w:val="center"/>
              <w:rPr>
                <w:b/>
                <w:color w:val="auto"/>
                <w:sz w:val="24"/>
                <w:szCs w:val="32"/>
                <w:highlight w:val="none"/>
              </w:rPr>
            </w:pPr>
            <w:r>
              <w:rPr>
                <w:rFonts w:hint="eastAsia"/>
                <w:b/>
                <w:color w:val="auto"/>
                <w:sz w:val="24"/>
                <w:szCs w:val="32"/>
                <w:highlight w:val="none"/>
                <w:lang w:eastAsia="zh-CN"/>
              </w:rPr>
              <w:t>表</w:t>
            </w:r>
            <w:r>
              <w:rPr>
                <w:rFonts w:hint="eastAsia"/>
                <w:b/>
                <w:color w:val="auto"/>
                <w:sz w:val="24"/>
                <w:szCs w:val="32"/>
                <w:highlight w:val="none"/>
                <w:lang w:val="en-US" w:eastAsia="zh-CN"/>
              </w:rPr>
              <w:t xml:space="preserve">3-3 </w:t>
            </w:r>
            <w:r>
              <w:rPr>
                <w:b/>
                <w:color w:val="auto"/>
                <w:sz w:val="24"/>
                <w:szCs w:val="32"/>
                <w:highlight w:val="none"/>
              </w:rPr>
              <w:t>环境保护目标及保护级别</w:t>
            </w:r>
          </w:p>
          <w:tbl>
            <w:tblPr>
              <w:tblStyle w:val="3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308"/>
              <w:gridCol w:w="704"/>
              <w:gridCol w:w="727"/>
              <w:gridCol w:w="897"/>
              <w:gridCol w:w="897"/>
              <w:gridCol w:w="811"/>
              <w:gridCol w:w="964"/>
              <w:gridCol w:w="1919"/>
            </w:tblGrid>
            <w:tr w14:paraId="7DDC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11" w:type="pct"/>
                  <w:vMerge w:val="restart"/>
                  <w:vAlign w:val="center"/>
                </w:tcPr>
                <w:p w14:paraId="3DF07D76">
                  <w:pPr>
                    <w:bidi w:val="0"/>
                    <w:jc w:val="center"/>
                    <w:rPr>
                      <w:color w:val="auto"/>
                      <w:sz w:val="21"/>
                      <w:szCs w:val="21"/>
                      <w:highlight w:val="none"/>
                    </w:rPr>
                  </w:pPr>
                  <w:r>
                    <w:rPr>
                      <w:color w:val="auto"/>
                      <w:sz w:val="21"/>
                      <w:szCs w:val="21"/>
                      <w:highlight w:val="none"/>
                    </w:rPr>
                    <w:t>环境要素</w:t>
                  </w:r>
                </w:p>
              </w:tc>
              <w:tc>
                <w:tcPr>
                  <w:tcW w:w="745" w:type="pct"/>
                  <w:vMerge w:val="restart"/>
                  <w:vAlign w:val="center"/>
                </w:tcPr>
                <w:p w14:paraId="7EF74222">
                  <w:pPr>
                    <w:bidi w:val="0"/>
                    <w:jc w:val="center"/>
                    <w:rPr>
                      <w:color w:val="auto"/>
                      <w:sz w:val="21"/>
                      <w:szCs w:val="21"/>
                      <w:highlight w:val="none"/>
                    </w:rPr>
                  </w:pPr>
                  <w:r>
                    <w:rPr>
                      <w:color w:val="auto"/>
                      <w:sz w:val="21"/>
                      <w:szCs w:val="21"/>
                      <w:highlight w:val="none"/>
                    </w:rPr>
                    <w:t>名称</w:t>
                  </w:r>
                </w:p>
              </w:tc>
              <w:tc>
                <w:tcPr>
                  <w:tcW w:w="815" w:type="pct"/>
                  <w:gridSpan w:val="2"/>
                  <w:vAlign w:val="center"/>
                </w:tcPr>
                <w:p w14:paraId="18095535">
                  <w:pPr>
                    <w:bidi w:val="0"/>
                    <w:jc w:val="center"/>
                    <w:rPr>
                      <w:color w:val="auto"/>
                      <w:sz w:val="21"/>
                      <w:szCs w:val="21"/>
                      <w:highlight w:val="none"/>
                    </w:rPr>
                  </w:pPr>
                  <w:r>
                    <w:rPr>
                      <w:color w:val="auto"/>
                      <w:sz w:val="21"/>
                      <w:szCs w:val="21"/>
                      <w:highlight w:val="none"/>
                    </w:rPr>
                    <w:t>坐标（m）</w:t>
                  </w:r>
                </w:p>
              </w:tc>
              <w:tc>
                <w:tcPr>
                  <w:tcW w:w="511" w:type="pct"/>
                  <w:vMerge w:val="restart"/>
                  <w:vAlign w:val="center"/>
                </w:tcPr>
                <w:p w14:paraId="677C9BA8">
                  <w:pPr>
                    <w:bidi w:val="0"/>
                    <w:jc w:val="center"/>
                    <w:rPr>
                      <w:color w:val="auto"/>
                      <w:sz w:val="21"/>
                      <w:szCs w:val="21"/>
                      <w:highlight w:val="none"/>
                    </w:rPr>
                  </w:pPr>
                  <w:r>
                    <w:rPr>
                      <w:color w:val="auto"/>
                      <w:sz w:val="21"/>
                      <w:szCs w:val="21"/>
                      <w:highlight w:val="none"/>
                    </w:rPr>
                    <w:t>相对厂址方位</w:t>
                  </w:r>
                </w:p>
              </w:tc>
              <w:tc>
                <w:tcPr>
                  <w:tcW w:w="511" w:type="pct"/>
                  <w:vMerge w:val="restart"/>
                  <w:vAlign w:val="center"/>
                </w:tcPr>
                <w:p w14:paraId="4B6B007B">
                  <w:pPr>
                    <w:bidi w:val="0"/>
                    <w:jc w:val="center"/>
                    <w:rPr>
                      <w:color w:val="auto"/>
                      <w:sz w:val="21"/>
                      <w:szCs w:val="21"/>
                      <w:highlight w:val="none"/>
                    </w:rPr>
                  </w:pPr>
                  <w:r>
                    <w:rPr>
                      <w:color w:val="auto"/>
                      <w:sz w:val="21"/>
                      <w:szCs w:val="21"/>
                      <w:highlight w:val="none"/>
                    </w:rPr>
                    <w:t>相对厂界距离(m)</w:t>
                  </w:r>
                </w:p>
              </w:tc>
              <w:tc>
                <w:tcPr>
                  <w:tcW w:w="462" w:type="pct"/>
                  <w:vMerge w:val="restart"/>
                  <w:vAlign w:val="center"/>
                </w:tcPr>
                <w:p w14:paraId="3607823E">
                  <w:pPr>
                    <w:bidi w:val="0"/>
                    <w:jc w:val="center"/>
                    <w:rPr>
                      <w:color w:val="auto"/>
                      <w:sz w:val="21"/>
                      <w:szCs w:val="21"/>
                      <w:highlight w:val="none"/>
                    </w:rPr>
                  </w:pPr>
                  <w:r>
                    <w:rPr>
                      <w:color w:val="auto"/>
                      <w:sz w:val="21"/>
                      <w:szCs w:val="21"/>
                      <w:highlight w:val="none"/>
                    </w:rPr>
                    <w:t>保护对象</w:t>
                  </w:r>
                </w:p>
              </w:tc>
              <w:tc>
                <w:tcPr>
                  <w:tcW w:w="549" w:type="pct"/>
                  <w:vMerge w:val="restart"/>
                  <w:vAlign w:val="center"/>
                </w:tcPr>
                <w:p w14:paraId="05A93E96">
                  <w:pPr>
                    <w:bidi w:val="0"/>
                    <w:jc w:val="center"/>
                    <w:rPr>
                      <w:color w:val="auto"/>
                      <w:sz w:val="21"/>
                      <w:szCs w:val="21"/>
                      <w:highlight w:val="none"/>
                    </w:rPr>
                  </w:pPr>
                  <w:r>
                    <w:rPr>
                      <w:color w:val="auto"/>
                      <w:sz w:val="21"/>
                      <w:szCs w:val="21"/>
                      <w:highlight w:val="none"/>
                    </w:rPr>
                    <w:t>保护内容</w:t>
                  </w:r>
                  <w:r>
                    <w:rPr>
                      <w:rFonts w:hint="eastAsia"/>
                      <w:color w:val="auto"/>
                      <w:sz w:val="21"/>
                      <w:szCs w:val="21"/>
                      <w:highlight w:val="none"/>
                    </w:rPr>
                    <w:t>（人）</w:t>
                  </w:r>
                </w:p>
              </w:tc>
              <w:tc>
                <w:tcPr>
                  <w:tcW w:w="1093" w:type="pct"/>
                  <w:vMerge w:val="restart"/>
                  <w:vAlign w:val="center"/>
                </w:tcPr>
                <w:p w14:paraId="1447B06E">
                  <w:pPr>
                    <w:bidi w:val="0"/>
                    <w:jc w:val="center"/>
                    <w:rPr>
                      <w:color w:val="auto"/>
                      <w:sz w:val="21"/>
                      <w:szCs w:val="21"/>
                      <w:highlight w:val="none"/>
                    </w:rPr>
                  </w:pPr>
                  <w:r>
                    <w:rPr>
                      <w:color w:val="auto"/>
                      <w:sz w:val="21"/>
                      <w:szCs w:val="21"/>
                      <w:highlight w:val="none"/>
                    </w:rPr>
                    <w:t>环境功能区</w:t>
                  </w:r>
                </w:p>
              </w:tc>
            </w:tr>
            <w:tr w14:paraId="7888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 w:type="pct"/>
                  <w:vMerge w:val="continue"/>
                  <w:vAlign w:val="center"/>
                </w:tcPr>
                <w:p w14:paraId="6E2BAB8E">
                  <w:pPr>
                    <w:bidi w:val="0"/>
                    <w:jc w:val="center"/>
                    <w:rPr>
                      <w:color w:val="auto"/>
                      <w:sz w:val="21"/>
                      <w:szCs w:val="21"/>
                      <w:highlight w:val="none"/>
                    </w:rPr>
                  </w:pPr>
                </w:p>
              </w:tc>
              <w:tc>
                <w:tcPr>
                  <w:tcW w:w="745" w:type="pct"/>
                  <w:vMerge w:val="continue"/>
                  <w:vAlign w:val="center"/>
                </w:tcPr>
                <w:p w14:paraId="6204FB76">
                  <w:pPr>
                    <w:bidi w:val="0"/>
                    <w:jc w:val="center"/>
                    <w:rPr>
                      <w:color w:val="auto"/>
                      <w:sz w:val="21"/>
                      <w:szCs w:val="21"/>
                      <w:highlight w:val="none"/>
                    </w:rPr>
                  </w:pPr>
                </w:p>
              </w:tc>
              <w:tc>
                <w:tcPr>
                  <w:tcW w:w="401" w:type="pct"/>
                  <w:vAlign w:val="center"/>
                </w:tcPr>
                <w:p w14:paraId="01BD7C57">
                  <w:pPr>
                    <w:bidi w:val="0"/>
                    <w:jc w:val="center"/>
                    <w:rPr>
                      <w:color w:val="auto"/>
                      <w:sz w:val="21"/>
                      <w:szCs w:val="21"/>
                      <w:highlight w:val="none"/>
                    </w:rPr>
                  </w:pPr>
                  <w:r>
                    <w:rPr>
                      <w:color w:val="auto"/>
                      <w:sz w:val="21"/>
                      <w:szCs w:val="21"/>
                      <w:highlight w:val="none"/>
                    </w:rPr>
                    <w:t>X</w:t>
                  </w:r>
                </w:p>
              </w:tc>
              <w:tc>
                <w:tcPr>
                  <w:tcW w:w="413" w:type="pct"/>
                  <w:vAlign w:val="center"/>
                </w:tcPr>
                <w:p w14:paraId="584A70B3">
                  <w:pPr>
                    <w:bidi w:val="0"/>
                    <w:jc w:val="center"/>
                    <w:rPr>
                      <w:color w:val="auto"/>
                      <w:sz w:val="21"/>
                      <w:szCs w:val="21"/>
                      <w:highlight w:val="none"/>
                    </w:rPr>
                  </w:pPr>
                  <w:r>
                    <w:rPr>
                      <w:color w:val="auto"/>
                      <w:sz w:val="21"/>
                      <w:szCs w:val="21"/>
                      <w:highlight w:val="none"/>
                    </w:rPr>
                    <w:t>Y</w:t>
                  </w:r>
                </w:p>
              </w:tc>
              <w:tc>
                <w:tcPr>
                  <w:tcW w:w="511" w:type="pct"/>
                  <w:vMerge w:val="continue"/>
                  <w:shd w:val="clear" w:color="auto" w:fill="auto"/>
                  <w:vAlign w:val="center"/>
                </w:tcPr>
                <w:p w14:paraId="3BE95711">
                  <w:pPr>
                    <w:bidi w:val="0"/>
                    <w:jc w:val="center"/>
                    <w:rPr>
                      <w:color w:val="auto"/>
                      <w:sz w:val="21"/>
                      <w:szCs w:val="21"/>
                      <w:highlight w:val="none"/>
                      <w:lang w:val="en-US" w:eastAsia="zh-CN"/>
                    </w:rPr>
                  </w:pPr>
                </w:p>
              </w:tc>
              <w:tc>
                <w:tcPr>
                  <w:tcW w:w="511" w:type="pct"/>
                  <w:vMerge w:val="continue"/>
                  <w:vAlign w:val="center"/>
                </w:tcPr>
                <w:p w14:paraId="7A364CA6">
                  <w:pPr>
                    <w:bidi w:val="0"/>
                    <w:jc w:val="center"/>
                    <w:rPr>
                      <w:color w:val="auto"/>
                      <w:sz w:val="21"/>
                      <w:szCs w:val="21"/>
                      <w:highlight w:val="none"/>
                    </w:rPr>
                  </w:pPr>
                </w:p>
              </w:tc>
              <w:tc>
                <w:tcPr>
                  <w:tcW w:w="462" w:type="pct"/>
                  <w:vMerge w:val="continue"/>
                  <w:vAlign w:val="center"/>
                </w:tcPr>
                <w:p w14:paraId="01D6CDEB">
                  <w:pPr>
                    <w:bidi w:val="0"/>
                    <w:jc w:val="center"/>
                    <w:rPr>
                      <w:color w:val="auto"/>
                      <w:sz w:val="21"/>
                      <w:szCs w:val="21"/>
                      <w:highlight w:val="none"/>
                    </w:rPr>
                  </w:pPr>
                </w:p>
              </w:tc>
              <w:tc>
                <w:tcPr>
                  <w:tcW w:w="549" w:type="pct"/>
                  <w:vMerge w:val="continue"/>
                  <w:vAlign w:val="center"/>
                </w:tcPr>
                <w:p w14:paraId="11564BF8">
                  <w:pPr>
                    <w:bidi w:val="0"/>
                    <w:jc w:val="center"/>
                    <w:rPr>
                      <w:color w:val="auto"/>
                      <w:sz w:val="21"/>
                      <w:szCs w:val="21"/>
                      <w:highlight w:val="none"/>
                    </w:rPr>
                  </w:pPr>
                </w:p>
              </w:tc>
              <w:tc>
                <w:tcPr>
                  <w:tcW w:w="1093" w:type="pct"/>
                  <w:vMerge w:val="continue"/>
                  <w:vAlign w:val="center"/>
                </w:tcPr>
                <w:p w14:paraId="611DD70C">
                  <w:pPr>
                    <w:bidi w:val="0"/>
                    <w:jc w:val="center"/>
                    <w:rPr>
                      <w:color w:val="auto"/>
                      <w:sz w:val="21"/>
                      <w:szCs w:val="21"/>
                      <w:highlight w:val="none"/>
                    </w:rPr>
                  </w:pPr>
                </w:p>
              </w:tc>
            </w:tr>
            <w:tr w14:paraId="0D6D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 w:hRule="atLeast"/>
                <w:jc w:val="center"/>
              </w:trPr>
              <w:tc>
                <w:tcPr>
                  <w:tcW w:w="311" w:type="pct"/>
                  <w:vMerge w:val="restart"/>
                  <w:vAlign w:val="center"/>
                </w:tcPr>
                <w:p w14:paraId="15509DA3">
                  <w:pPr>
                    <w:bidi w:val="0"/>
                    <w:jc w:val="center"/>
                    <w:rPr>
                      <w:color w:val="auto"/>
                      <w:sz w:val="21"/>
                      <w:szCs w:val="21"/>
                      <w:highlight w:val="none"/>
                    </w:rPr>
                  </w:pPr>
                  <w:r>
                    <w:rPr>
                      <w:color w:val="auto"/>
                      <w:sz w:val="21"/>
                      <w:szCs w:val="21"/>
                      <w:highlight w:val="none"/>
                    </w:rPr>
                    <w:t>环境空气</w:t>
                  </w:r>
                </w:p>
              </w:tc>
              <w:tc>
                <w:tcPr>
                  <w:tcW w:w="745" w:type="pct"/>
                  <w:vAlign w:val="center"/>
                </w:tcPr>
                <w:p w14:paraId="4B905F1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镇北安置区</w:t>
                  </w:r>
                </w:p>
              </w:tc>
              <w:tc>
                <w:tcPr>
                  <w:tcW w:w="401" w:type="pct"/>
                  <w:vAlign w:val="center"/>
                </w:tcPr>
                <w:p w14:paraId="7DC4D5A6">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-72</w:t>
                  </w:r>
                </w:p>
              </w:tc>
              <w:tc>
                <w:tcPr>
                  <w:tcW w:w="413" w:type="pct"/>
                  <w:vAlign w:val="center"/>
                </w:tcPr>
                <w:p w14:paraId="7CC1D79A">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-175</w:t>
                  </w:r>
                </w:p>
              </w:tc>
              <w:tc>
                <w:tcPr>
                  <w:tcW w:w="511" w:type="pct"/>
                  <w:vAlign w:val="center"/>
                </w:tcPr>
                <w:p w14:paraId="09391501">
                  <w:pPr>
                    <w:bidi w:val="0"/>
                    <w:jc w:val="center"/>
                    <w:rPr>
                      <w:color w:val="auto"/>
                      <w:sz w:val="21"/>
                      <w:szCs w:val="21"/>
                      <w:highlight w:val="none"/>
                    </w:rPr>
                  </w:pPr>
                  <w:r>
                    <w:rPr>
                      <w:rFonts w:hint="eastAsia"/>
                      <w:color w:val="auto"/>
                      <w:sz w:val="21"/>
                      <w:szCs w:val="21"/>
                      <w:highlight w:val="none"/>
                      <w:lang w:eastAsia="zh-CN"/>
                    </w:rPr>
                    <w:t>西南</w:t>
                  </w:r>
                </w:p>
              </w:tc>
              <w:tc>
                <w:tcPr>
                  <w:tcW w:w="511" w:type="pct"/>
                  <w:vAlign w:val="center"/>
                </w:tcPr>
                <w:p w14:paraId="6062BE85">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191</w:t>
                  </w:r>
                </w:p>
              </w:tc>
              <w:tc>
                <w:tcPr>
                  <w:tcW w:w="462" w:type="pct"/>
                  <w:vAlign w:val="center"/>
                </w:tcPr>
                <w:p w14:paraId="5BE23B69">
                  <w:pPr>
                    <w:bidi w:val="0"/>
                    <w:jc w:val="center"/>
                    <w:rPr>
                      <w:color w:val="auto"/>
                      <w:sz w:val="21"/>
                      <w:szCs w:val="21"/>
                      <w:highlight w:val="none"/>
                    </w:rPr>
                  </w:pPr>
                  <w:r>
                    <w:rPr>
                      <w:color w:val="auto"/>
                      <w:sz w:val="21"/>
                      <w:szCs w:val="21"/>
                      <w:highlight w:val="none"/>
                    </w:rPr>
                    <w:t>居民</w:t>
                  </w:r>
                </w:p>
              </w:tc>
              <w:tc>
                <w:tcPr>
                  <w:tcW w:w="549" w:type="pct"/>
                  <w:vAlign w:val="center"/>
                </w:tcPr>
                <w:p w14:paraId="081F7100">
                  <w:pPr>
                    <w:bidi w:val="0"/>
                    <w:jc w:val="center"/>
                    <w:rPr>
                      <w:rFonts w:hint="default"/>
                      <w:color w:val="auto"/>
                      <w:sz w:val="21"/>
                      <w:szCs w:val="21"/>
                      <w:highlight w:val="none"/>
                      <w:lang w:val="en-US" w:eastAsia="zh-CN"/>
                    </w:rPr>
                  </w:pPr>
                  <w:r>
                    <w:rPr>
                      <w:rFonts w:hint="eastAsia"/>
                      <w:color w:val="auto"/>
                      <w:sz w:val="21"/>
                      <w:szCs w:val="21"/>
                      <w:highlight w:val="none"/>
                      <w:lang w:eastAsia="zh-CN"/>
                    </w:rPr>
                    <w:t>约</w:t>
                  </w:r>
                  <w:r>
                    <w:rPr>
                      <w:rFonts w:hint="eastAsia"/>
                      <w:color w:val="auto"/>
                      <w:sz w:val="21"/>
                      <w:szCs w:val="21"/>
                      <w:highlight w:val="none"/>
                      <w:lang w:val="en-US" w:eastAsia="zh-CN"/>
                    </w:rPr>
                    <w:t>270人</w:t>
                  </w:r>
                </w:p>
              </w:tc>
              <w:tc>
                <w:tcPr>
                  <w:tcW w:w="1093" w:type="pct"/>
                  <w:vMerge w:val="restart"/>
                  <w:vAlign w:val="center"/>
                </w:tcPr>
                <w:p w14:paraId="77EE2FA3">
                  <w:pPr>
                    <w:bidi w:val="0"/>
                    <w:jc w:val="center"/>
                    <w:rPr>
                      <w:color w:val="auto"/>
                      <w:sz w:val="21"/>
                      <w:szCs w:val="21"/>
                      <w:highlight w:val="none"/>
                    </w:rPr>
                  </w:pPr>
                  <w:r>
                    <w:rPr>
                      <w:color w:val="auto"/>
                      <w:sz w:val="21"/>
                      <w:szCs w:val="21"/>
                      <w:highlight w:val="none"/>
                    </w:rPr>
                    <w:t>《环境空气质量标准》（GB3095-2012）中二类区</w:t>
                  </w:r>
                </w:p>
              </w:tc>
            </w:tr>
            <w:tr w14:paraId="0921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11" w:type="pct"/>
                  <w:vMerge w:val="continue"/>
                  <w:vAlign w:val="center"/>
                </w:tcPr>
                <w:p w14:paraId="2CA306C2">
                  <w:pPr>
                    <w:bidi w:val="0"/>
                    <w:jc w:val="center"/>
                    <w:rPr>
                      <w:color w:val="auto"/>
                      <w:sz w:val="21"/>
                      <w:szCs w:val="21"/>
                      <w:highlight w:val="none"/>
                    </w:rPr>
                  </w:pPr>
                </w:p>
              </w:tc>
              <w:tc>
                <w:tcPr>
                  <w:tcW w:w="745" w:type="pct"/>
                  <w:vAlign w:val="center"/>
                </w:tcPr>
                <w:p w14:paraId="58CEBBD2">
                  <w:pPr>
                    <w:bidi w:val="0"/>
                    <w:jc w:val="center"/>
                    <w:rPr>
                      <w:color w:val="auto"/>
                      <w:sz w:val="21"/>
                      <w:szCs w:val="21"/>
                      <w:highlight w:val="none"/>
                    </w:rPr>
                  </w:pPr>
                  <w:r>
                    <w:rPr>
                      <w:rFonts w:hint="eastAsia"/>
                      <w:color w:val="auto"/>
                      <w:sz w:val="21"/>
                      <w:szCs w:val="21"/>
                      <w:highlight w:val="none"/>
                      <w:lang w:val="en-US" w:eastAsia="zh-CN"/>
                    </w:rPr>
                    <w:t>居民点1</w:t>
                  </w:r>
                </w:p>
              </w:tc>
              <w:tc>
                <w:tcPr>
                  <w:tcW w:w="401" w:type="pct"/>
                  <w:vAlign w:val="center"/>
                </w:tcPr>
                <w:p w14:paraId="216F7B4A">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0</w:t>
                  </w:r>
                </w:p>
              </w:tc>
              <w:tc>
                <w:tcPr>
                  <w:tcW w:w="413" w:type="pct"/>
                  <w:vAlign w:val="center"/>
                </w:tcPr>
                <w:p w14:paraId="6DC68962">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511" w:type="pct"/>
                  <w:vAlign w:val="center"/>
                </w:tcPr>
                <w:p w14:paraId="164BB680">
                  <w:pPr>
                    <w:bidi w:val="0"/>
                    <w:jc w:val="center"/>
                    <w:rPr>
                      <w:rFonts w:hint="eastAsia"/>
                      <w:color w:val="auto"/>
                      <w:sz w:val="21"/>
                      <w:szCs w:val="21"/>
                      <w:highlight w:val="none"/>
                      <w:lang w:eastAsia="zh-CN"/>
                    </w:rPr>
                  </w:pPr>
                  <w:r>
                    <w:rPr>
                      <w:rFonts w:hint="eastAsia"/>
                      <w:color w:val="auto"/>
                      <w:sz w:val="21"/>
                      <w:szCs w:val="21"/>
                      <w:highlight w:val="none"/>
                      <w:lang w:eastAsia="zh-CN"/>
                    </w:rPr>
                    <w:t>西南</w:t>
                  </w:r>
                </w:p>
              </w:tc>
              <w:tc>
                <w:tcPr>
                  <w:tcW w:w="511" w:type="pct"/>
                  <w:vAlign w:val="center"/>
                </w:tcPr>
                <w:p w14:paraId="6A63643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462" w:type="pct"/>
                  <w:vAlign w:val="center"/>
                </w:tcPr>
                <w:p w14:paraId="04134990">
                  <w:pPr>
                    <w:bidi w:val="0"/>
                    <w:jc w:val="center"/>
                    <w:rPr>
                      <w:color w:val="auto"/>
                      <w:sz w:val="21"/>
                      <w:szCs w:val="21"/>
                      <w:highlight w:val="none"/>
                    </w:rPr>
                  </w:pPr>
                  <w:r>
                    <w:rPr>
                      <w:color w:val="auto"/>
                      <w:sz w:val="21"/>
                      <w:szCs w:val="21"/>
                      <w:highlight w:val="none"/>
                    </w:rPr>
                    <w:t>居民</w:t>
                  </w:r>
                </w:p>
              </w:tc>
              <w:tc>
                <w:tcPr>
                  <w:tcW w:w="549" w:type="pct"/>
                  <w:vAlign w:val="center"/>
                </w:tcPr>
                <w:p w14:paraId="5D462B1D">
                  <w:pPr>
                    <w:bidi w:val="0"/>
                    <w:jc w:val="center"/>
                    <w:rPr>
                      <w:rFonts w:hint="default"/>
                      <w:color w:val="auto"/>
                      <w:sz w:val="21"/>
                      <w:szCs w:val="21"/>
                      <w:highlight w:val="none"/>
                      <w:lang w:val="en-US" w:eastAsia="zh-CN"/>
                    </w:rPr>
                  </w:pPr>
                  <w:r>
                    <w:rPr>
                      <w:rFonts w:hint="eastAsia"/>
                      <w:color w:val="auto"/>
                      <w:sz w:val="21"/>
                      <w:szCs w:val="21"/>
                      <w:highlight w:val="none"/>
                      <w:lang w:eastAsia="zh-CN"/>
                    </w:rPr>
                    <w:t>约</w:t>
                  </w:r>
                  <w:r>
                    <w:rPr>
                      <w:rFonts w:hint="eastAsia"/>
                      <w:color w:val="auto"/>
                      <w:sz w:val="21"/>
                      <w:szCs w:val="21"/>
                      <w:highlight w:val="none"/>
                      <w:lang w:val="en-US" w:eastAsia="zh-CN"/>
                    </w:rPr>
                    <w:t>30人</w:t>
                  </w:r>
                </w:p>
              </w:tc>
              <w:tc>
                <w:tcPr>
                  <w:tcW w:w="1093" w:type="pct"/>
                  <w:vMerge w:val="continue"/>
                  <w:vAlign w:val="center"/>
                </w:tcPr>
                <w:p w14:paraId="711666DD">
                  <w:pPr>
                    <w:bidi w:val="0"/>
                    <w:jc w:val="center"/>
                    <w:rPr>
                      <w:color w:val="auto"/>
                      <w:sz w:val="21"/>
                      <w:szCs w:val="21"/>
                      <w:highlight w:val="none"/>
                    </w:rPr>
                  </w:pPr>
                </w:p>
              </w:tc>
            </w:tr>
            <w:tr w14:paraId="285D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311" w:type="pct"/>
                  <w:vMerge w:val="restart"/>
                  <w:vAlign w:val="center"/>
                </w:tcPr>
                <w:p w14:paraId="03A140D4">
                  <w:pPr>
                    <w:bidi w:val="0"/>
                    <w:jc w:val="center"/>
                    <w:rPr>
                      <w:color w:val="auto"/>
                      <w:sz w:val="21"/>
                      <w:szCs w:val="21"/>
                      <w:highlight w:val="none"/>
                    </w:rPr>
                  </w:pPr>
                  <w:r>
                    <w:rPr>
                      <w:color w:val="auto"/>
                      <w:sz w:val="21"/>
                      <w:szCs w:val="21"/>
                      <w:highlight w:val="none"/>
                    </w:rPr>
                    <w:t>地表水</w:t>
                  </w:r>
                </w:p>
              </w:tc>
              <w:tc>
                <w:tcPr>
                  <w:tcW w:w="745" w:type="pct"/>
                  <w:vAlign w:val="center"/>
                </w:tcPr>
                <w:p w14:paraId="2DEA331A">
                  <w:pPr>
                    <w:bidi w:val="0"/>
                    <w:jc w:val="center"/>
                    <w:rPr>
                      <w:color w:val="auto"/>
                      <w:sz w:val="21"/>
                      <w:szCs w:val="21"/>
                      <w:highlight w:val="none"/>
                    </w:rPr>
                  </w:pPr>
                  <w:r>
                    <w:rPr>
                      <w:rFonts w:hint="eastAsia"/>
                      <w:color w:val="auto"/>
                      <w:sz w:val="21"/>
                      <w:szCs w:val="21"/>
                      <w:highlight w:val="none"/>
                      <w:lang w:val="en-US" w:eastAsia="zh-CN"/>
                    </w:rPr>
                    <w:t>运粮河</w:t>
                  </w:r>
                </w:p>
              </w:tc>
              <w:tc>
                <w:tcPr>
                  <w:tcW w:w="401" w:type="pct"/>
                  <w:vAlign w:val="center"/>
                </w:tcPr>
                <w:p w14:paraId="5DD982B5">
                  <w:pPr>
                    <w:bidi w:val="0"/>
                    <w:jc w:val="center"/>
                    <w:rPr>
                      <w:color w:val="auto"/>
                      <w:sz w:val="21"/>
                      <w:szCs w:val="21"/>
                      <w:highlight w:val="none"/>
                    </w:rPr>
                  </w:pPr>
                  <w:r>
                    <w:rPr>
                      <w:rFonts w:hint="eastAsia"/>
                      <w:color w:val="auto"/>
                      <w:sz w:val="21"/>
                      <w:szCs w:val="21"/>
                      <w:highlight w:val="none"/>
                    </w:rPr>
                    <w:t>/</w:t>
                  </w:r>
                </w:p>
              </w:tc>
              <w:tc>
                <w:tcPr>
                  <w:tcW w:w="413" w:type="pct"/>
                  <w:vAlign w:val="center"/>
                </w:tcPr>
                <w:p w14:paraId="76B05469">
                  <w:pPr>
                    <w:bidi w:val="0"/>
                    <w:jc w:val="center"/>
                    <w:rPr>
                      <w:color w:val="auto"/>
                      <w:sz w:val="21"/>
                      <w:szCs w:val="21"/>
                      <w:highlight w:val="none"/>
                    </w:rPr>
                  </w:pPr>
                  <w:r>
                    <w:rPr>
                      <w:rFonts w:hint="eastAsia"/>
                      <w:color w:val="auto"/>
                      <w:sz w:val="21"/>
                      <w:szCs w:val="21"/>
                      <w:highlight w:val="none"/>
                    </w:rPr>
                    <w:t>/</w:t>
                  </w:r>
                </w:p>
              </w:tc>
              <w:tc>
                <w:tcPr>
                  <w:tcW w:w="511" w:type="pct"/>
                  <w:vAlign w:val="center"/>
                </w:tcPr>
                <w:p w14:paraId="609A1155">
                  <w:pPr>
                    <w:bidi w:val="0"/>
                    <w:jc w:val="center"/>
                    <w:rPr>
                      <w:rFonts w:hint="eastAsia"/>
                      <w:color w:val="auto"/>
                      <w:sz w:val="21"/>
                      <w:szCs w:val="21"/>
                      <w:highlight w:val="none"/>
                      <w:lang w:eastAsia="zh-CN"/>
                    </w:rPr>
                  </w:pPr>
                  <w:r>
                    <w:rPr>
                      <w:rFonts w:hint="eastAsia"/>
                      <w:color w:val="auto"/>
                      <w:sz w:val="21"/>
                      <w:szCs w:val="21"/>
                      <w:highlight w:val="none"/>
                      <w:lang w:eastAsia="zh-CN"/>
                    </w:rPr>
                    <w:t>西</w:t>
                  </w:r>
                </w:p>
              </w:tc>
              <w:tc>
                <w:tcPr>
                  <w:tcW w:w="511" w:type="pct"/>
                  <w:vAlign w:val="center"/>
                </w:tcPr>
                <w:p w14:paraId="6FC0774E">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11338</w:t>
                  </w:r>
                </w:p>
              </w:tc>
              <w:tc>
                <w:tcPr>
                  <w:tcW w:w="462" w:type="pct"/>
                  <w:vAlign w:val="center"/>
                </w:tcPr>
                <w:p w14:paraId="50F2F8D9">
                  <w:pPr>
                    <w:bidi w:val="0"/>
                    <w:jc w:val="center"/>
                    <w:rPr>
                      <w:color w:val="auto"/>
                      <w:sz w:val="21"/>
                      <w:szCs w:val="21"/>
                      <w:highlight w:val="none"/>
                    </w:rPr>
                  </w:pPr>
                  <w:r>
                    <w:rPr>
                      <w:rFonts w:hint="eastAsia"/>
                      <w:color w:val="auto"/>
                      <w:sz w:val="21"/>
                      <w:szCs w:val="21"/>
                      <w:highlight w:val="none"/>
                    </w:rPr>
                    <w:t>小型河流</w:t>
                  </w:r>
                </w:p>
              </w:tc>
              <w:tc>
                <w:tcPr>
                  <w:tcW w:w="549" w:type="pct"/>
                  <w:vAlign w:val="center"/>
                </w:tcPr>
                <w:p w14:paraId="67D9F599">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1093" w:type="pct"/>
                  <w:vAlign w:val="center"/>
                </w:tcPr>
                <w:p w14:paraId="61DCE847">
                  <w:pPr>
                    <w:bidi w:val="0"/>
                    <w:jc w:val="center"/>
                    <w:rPr>
                      <w:color w:val="auto"/>
                      <w:sz w:val="21"/>
                      <w:szCs w:val="21"/>
                      <w:highlight w:val="none"/>
                    </w:rPr>
                  </w:pPr>
                  <w:r>
                    <w:rPr>
                      <w:color w:val="auto"/>
                      <w:sz w:val="21"/>
                      <w:szCs w:val="21"/>
                      <w:highlight w:val="none"/>
                    </w:rPr>
                    <w:t>《地表水环境质量标准》（GB3838-2002）中</w:t>
                  </w:r>
                  <w:r>
                    <w:rPr>
                      <w:rFonts w:hint="eastAsia"/>
                      <w:color w:val="auto"/>
                      <w:sz w:val="21"/>
                      <w:szCs w:val="21"/>
                      <w:highlight w:val="none"/>
                      <w:lang w:val="en-US" w:eastAsia="zh-CN"/>
                    </w:rPr>
                    <w:t>Ⅴ</w:t>
                  </w:r>
                  <w:r>
                    <w:rPr>
                      <w:color w:val="auto"/>
                      <w:sz w:val="21"/>
                      <w:szCs w:val="21"/>
                      <w:highlight w:val="none"/>
                    </w:rPr>
                    <w:t>类水质标准</w:t>
                  </w:r>
                </w:p>
              </w:tc>
            </w:tr>
            <w:tr w14:paraId="7F24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311" w:type="pct"/>
                  <w:vMerge w:val="continue"/>
                  <w:vAlign w:val="center"/>
                </w:tcPr>
                <w:p w14:paraId="569241C9">
                  <w:pPr>
                    <w:bidi w:val="0"/>
                    <w:jc w:val="center"/>
                    <w:rPr>
                      <w:color w:val="auto"/>
                      <w:sz w:val="21"/>
                      <w:szCs w:val="21"/>
                      <w:highlight w:val="none"/>
                    </w:rPr>
                  </w:pPr>
                </w:p>
              </w:tc>
              <w:tc>
                <w:tcPr>
                  <w:tcW w:w="745" w:type="pct"/>
                  <w:vAlign w:val="center"/>
                </w:tcPr>
                <w:p w14:paraId="32A47F06">
                  <w:pPr>
                    <w:bidi w:val="0"/>
                    <w:jc w:val="center"/>
                    <w:rPr>
                      <w:color w:val="auto"/>
                      <w:sz w:val="21"/>
                      <w:szCs w:val="21"/>
                      <w:highlight w:val="none"/>
                    </w:rPr>
                  </w:pPr>
                  <w:r>
                    <w:rPr>
                      <w:rFonts w:hint="eastAsia"/>
                      <w:color w:val="auto"/>
                      <w:sz w:val="21"/>
                      <w:szCs w:val="21"/>
                      <w:highlight w:val="none"/>
                      <w:lang w:val="en-US" w:eastAsia="zh-CN"/>
                    </w:rPr>
                    <w:t>沱河</w:t>
                  </w:r>
                </w:p>
              </w:tc>
              <w:tc>
                <w:tcPr>
                  <w:tcW w:w="401" w:type="pct"/>
                  <w:vAlign w:val="center"/>
                </w:tcPr>
                <w:p w14:paraId="3B4C737F">
                  <w:pPr>
                    <w:bidi w:val="0"/>
                    <w:jc w:val="center"/>
                    <w:rPr>
                      <w:color w:val="auto"/>
                      <w:sz w:val="21"/>
                      <w:szCs w:val="21"/>
                      <w:highlight w:val="none"/>
                    </w:rPr>
                  </w:pPr>
                  <w:r>
                    <w:rPr>
                      <w:rFonts w:hint="eastAsia"/>
                      <w:color w:val="auto"/>
                      <w:sz w:val="21"/>
                      <w:szCs w:val="21"/>
                      <w:highlight w:val="none"/>
                    </w:rPr>
                    <w:t>/</w:t>
                  </w:r>
                </w:p>
              </w:tc>
              <w:tc>
                <w:tcPr>
                  <w:tcW w:w="413" w:type="pct"/>
                  <w:vAlign w:val="center"/>
                </w:tcPr>
                <w:p w14:paraId="22D1283F">
                  <w:pPr>
                    <w:bidi w:val="0"/>
                    <w:jc w:val="center"/>
                    <w:rPr>
                      <w:color w:val="auto"/>
                      <w:sz w:val="21"/>
                      <w:szCs w:val="21"/>
                      <w:highlight w:val="none"/>
                    </w:rPr>
                  </w:pPr>
                  <w:r>
                    <w:rPr>
                      <w:rFonts w:hint="eastAsia"/>
                      <w:color w:val="auto"/>
                      <w:sz w:val="21"/>
                      <w:szCs w:val="21"/>
                      <w:highlight w:val="none"/>
                    </w:rPr>
                    <w:t>/</w:t>
                  </w:r>
                </w:p>
              </w:tc>
              <w:tc>
                <w:tcPr>
                  <w:tcW w:w="511" w:type="pct"/>
                  <w:vAlign w:val="center"/>
                </w:tcPr>
                <w:p w14:paraId="3114E350">
                  <w:pPr>
                    <w:bidi w:val="0"/>
                    <w:jc w:val="center"/>
                    <w:rPr>
                      <w:rFonts w:hint="eastAsia"/>
                      <w:color w:val="auto"/>
                      <w:sz w:val="21"/>
                      <w:szCs w:val="21"/>
                      <w:highlight w:val="none"/>
                      <w:lang w:eastAsia="zh-CN"/>
                    </w:rPr>
                  </w:pPr>
                  <w:r>
                    <w:rPr>
                      <w:rFonts w:hint="eastAsia"/>
                      <w:color w:val="auto"/>
                      <w:sz w:val="21"/>
                      <w:szCs w:val="21"/>
                      <w:highlight w:val="none"/>
                      <w:lang w:eastAsia="zh-CN"/>
                    </w:rPr>
                    <w:t>南</w:t>
                  </w:r>
                </w:p>
              </w:tc>
              <w:tc>
                <w:tcPr>
                  <w:tcW w:w="511" w:type="pct"/>
                  <w:vAlign w:val="center"/>
                </w:tcPr>
                <w:p w14:paraId="644504BF">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4737</w:t>
                  </w:r>
                </w:p>
              </w:tc>
              <w:tc>
                <w:tcPr>
                  <w:tcW w:w="462" w:type="pct"/>
                  <w:vAlign w:val="center"/>
                </w:tcPr>
                <w:p w14:paraId="3DDDEB04">
                  <w:pPr>
                    <w:bidi w:val="0"/>
                    <w:jc w:val="center"/>
                    <w:rPr>
                      <w:color w:val="auto"/>
                      <w:sz w:val="21"/>
                      <w:szCs w:val="21"/>
                      <w:highlight w:val="none"/>
                    </w:rPr>
                  </w:pPr>
                  <w:r>
                    <w:rPr>
                      <w:rFonts w:hint="eastAsia"/>
                      <w:color w:val="auto"/>
                      <w:sz w:val="21"/>
                      <w:szCs w:val="21"/>
                      <w:highlight w:val="none"/>
                    </w:rPr>
                    <w:t>小型河流</w:t>
                  </w:r>
                </w:p>
              </w:tc>
              <w:tc>
                <w:tcPr>
                  <w:tcW w:w="549" w:type="pct"/>
                  <w:vAlign w:val="center"/>
                </w:tcPr>
                <w:p w14:paraId="0391AF0A">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1093" w:type="pct"/>
                  <w:vAlign w:val="center"/>
                </w:tcPr>
                <w:p w14:paraId="0F94E1DA">
                  <w:pPr>
                    <w:bidi w:val="0"/>
                    <w:jc w:val="center"/>
                    <w:rPr>
                      <w:color w:val="auto"/>
                      <w:sz w:val="21"/>
                      <w:szCs w:val="21"/>
                      <w:highlight w:val="none"/>
                    </w:rPr>
                  </w:pPr>
                  <w:r>
                    <w:rPr>
                      <w:color w:val="auto"/>
                      <w:sz w:val="21"/>
                      <w:szCs w:val="21"/>
                      <w:highlight w:val="none"/>
                    </w:rPr>
                    <w:t>《地表水环境质量标准》（GB3838-2002）中</w:t>
                  </w:r>
                  <w:r>
                    <w:rPr>
                      <w:rFonts w:hint="eastAsia"/>
                      <w:color w:val="auto"/>
                      <w:sz w:val="21"/>
                      <w:szCs w:val="21"/>
                      <w:highlight w:val="none"/>
                    </w:rPr>
                    <w:t>Ⅲ</w:t>
                  </w:r>
                  <w:r>
                    <w:rPr>
                      <w:color w:val="auto"/>
                      <w:sz w:val="21"/>
                      <w:szCs w:val="21"/>
                      <w:highlight w:val="none"/>
                    </w:rPr>
                    <w:t>类水质标准</w:t>
                  </w:r>
                </w:p>
              </w:tc>
            </w:tr>
            <w:tr w14:paraId="1D92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 w:type="pct"/>
                  <w:vMerge w:val="restart"/>
                  <w:vAlign w:val="center"/>
                </w:tcPr>
                <w:p w14:paraId="2BABEB60">
                  <w:pPr>
                    <w:bidi w:val="0"/>
                    <w:jc w:val="center"/>
                    <w:rPr>
                      <w:color w:val="auto"/>
                      <w:sz w:val="21"/>
                      <w:szCs w:val="21"/>
                      <w:highlight w:val="none"/>
                    </w:rPr>
                  </w:pPr>
                  <w:r>
                    <w:rPr>
                      <w:color w:val="auto"/>
                      <w:sz w:val="21"/>
                      <w:szCs w:val="21"/>
                      <w:highlight w:val="none"/>
                    </w:rPr>
                    <w:t>声</w:t>
                  </w:r>
                </w:p>
                <w:p w14:paraId="441D4720">
                  <w:pPr>
                    <w:bidi w:val="0"/>
                    <w:jc w:val="center"/>
                    <w:rPr>
                      <w:color w:val="auto"/>
                      <w:sz w:val="21"/>
                      <w:szCs w:val="21"/>
                      <w:highlight w:val="none"/>
                    </w:rPr>
                  </w:pPr>
                  <w:r>
                    <w:rPr>
                      <w:color w:val="auto"/>
                      <w:sz w:val="21"/>
                      <w:szCs w:val="21"/>
                      <w:highlight w:val="none"/>
                    </w:rPr>
                    <w:t>环境</w:t>
                  </w:r>
                </w:p>
              </w:tc>
              <w:tc>
                <w:tcPr>
                  <w:tcW w:w="745" w:type="pct"/>
                  <w:vAlign w:val="center"/>
                </w:tcPr>
                <w:p w14:paraId="5C5D9A7E">
                  <w:pPr>
                    <w:bidi w:val="0"/>
                    <w:jc w:val="center"/>
                    <w:rPr>
                      <w:color w:val="auto"/>
                      <w:sz w:val="21"/>
                      <w:szCs w:val="21"/>
                      <w:highlight w:val="none"/>
                    </w:rPr>
                  </w:pPr>
                  <w:r>
                    <w:rPr>
                      <w:color w:val="auto"/>
                      <w:sz w:val="21"/>
                      <w:szCs w:val="21"/>
                      <w:highlight w:val="none"/>
                    </w:rPr>
                    <w:t>厂界</w:t>
                  </w:r>
                </w:p>
              </w:tc>
              <w:tc>
                <w:tcPr>
                  <w:tcW w:w="401" w:type="pct"/>
                  <w:vAlign w:val="center"/>
                </w:tcPr>
                <w:p w14:paraId="0A808316">
                  <w:pPr>
                    <w:bidi w:val="0"/>
                    <w:jc w:val="center"/>
                    <w:rPr>
                      <w:color w:val="auto"/>
                      <w:sz w:val="21"/>
                      <w:szCs w:val="21"/>
                      <w:highlight w:val="none"/>
                    </w:rPr>
                  </w:pPr>
                  <w:r>
                    <w:rPr>
                      <w:color w:val="auto"/>
                      <w:sz w:val="21"/>
                      <w:szCs w:val="21"/>
                      <w:highlight w:val="none"/>
                    </w:rPr>
                    <w:t>/</w:t>
                  </w:r>
                </w:p>
              </w:tc>
              <w:tc>
                <w:tcPr>
                  <w:tcW w:w="413" w:type="pct"/>
                  <w:vAlign w:val="center"/>
                </w:tcPr>
                <w:p w14:paraId="7F7D7DB7">
                  <w:pPr>
                    <w:bidi w:val="0"/>
                    <w:jc w:val="center"/>
                    <w:rPr>
                      <w:color w:val="auto"/>
                      <w:sz w:val="21"/>
                      <w:szCs w:val="21"/>
                      <w:highlight w:val="none"/>
                    </w:rPr>
                  </w:pPr>
                  <w:r>
                    <w:rPr>
                      <w:color w:val="auto"/>
                      <w:sz w:val="21"/>
                      <w:szCs w:val="21"/>
                      <w:highlight w:val="none"/>
                    </w:rPr>
                    <w:t>/</w:t>
                  </w:r>
                </w:p>
              </w:tc>
              <w:tc>
                <w:tcPr>
                  <w:tcW w:w="511" w:type="pct"/>
                  <w:vAlign w:val="center"/>
                </w:tcPr>
                <w:p w14:paraId="5D7F5A47">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511" w:type="pct"/>
                  <w:vAlign w:val="center"/>
                </w:tcPr>
                <w:p w14:paraId="0C7D731E">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462" w:type="pct"/>
                  <w:vAlign w:val="center"/>
                </w:tcPr>
                <w:p w14:paraId="398B6C97">
                  <w:pPr>
                    <w:bidi w:val="0"/>
                    <w:jc w:val="center"/>
                    <w:rPr>
                      <w:rFonts w:hint="eastAsia"/>
                      <w:color w:val="auto"/>
                      <w:sz w:val="21"/>
                      <w:szCs w:val="21"/>
                      <w:highlight w:val="none"/>
                      <w:lang w:eastAsia="zh-CN"/>
                    </w:rPr>
                  </w:pPr>
                  <w:r>
                    <w:rPr>
                      <w:rFonts w:hint="eastAsia"/>
                      <w:color w:val="auto"/>
                      <w:sz w:val="21"/>
                      <w:szCs w:val="21"/>
                      <w:highlight w:val="none"/>
                      <w:lang w:val="en-US" w:eastAsia="zh-CN"/>
                    </w:rPr>
                    <w:t>/</w:t>
                  </w:r>
                </w:p>
              </w:tc>
              <w:tc>
                <w:tcPr>
                  <w:tcW w:w="549" w:type="pct"/>
                  <w:vMerge w:val="restart"/>
                  <w:vAlign w:val="center"/>
                </w:tcPr>
                <w:p w14:paraId="2539DFDC">
                  <w:pPr>
                    <w:bidi w:val="0"/>
                    <w:jc w:val="center"/>
                    <w:rPr>
                      <w:color w:val="auto"/>
                      <w:sz w:val="21"/>
                      <w:szCs w:val="21"/>
                      <w:highlight w:val="none"/>
                    </w:rPr>
                  </w:pPr>
                  <w:r>
                    <w:rPr>
                      <w:color w:val="auto"/>
                      <w:sz w:val="21"/>
                      <w:szCs w:val="21"/>
                      <w:highlight w:val="none"/>
                    </w:rPr>
                    <w:t>声环境</w:t>
                  </w:r>
                </w:p>
              </w:tc>
              <w:tc>
                <w:tcPr>
                  <w:tcW w:w="1093" w:type="pct"/>
                  <w:vMerge w:val="restart"/>
                  <w:vAlign w:val="center"/>
                </w:tcPr>
                <w:p w14:paraId="38476438">
                  <w:pPr>
                    <w:bidi w:val="0"/>
                    <w:jc w:val="center"/>
                    <w:rPr>
                      <w:color w:val="auto"/>
                      <w:sz w:val="21"/>
                      <w:szCs w:val="21"/>
                      <w:highlight w:val="none"/>
                    </w:rPr>
                  </w:pPr>
                  <w:r>
                    <w:rPr>
                      <w:color w:val="auto"/>
                      <w:sz w:val="21"/>
                      <w:szCs w:val="21"/>
                      <w:highlight w:val="none"/>
                    </w:rPr>
                    <w:t>《环境空气质量标准》（GB3095-2012）中</w:t>
                  </w:r>
                  <w:r>
                    <w:rPr>
                      <w:rFonts w:hint="eastAsia"/>
                      <w:color w:val="auto"/>
                      <w:sz w:val="21"/>
                      <w:szCs w:val="21"/>
                      <w:highlight w:val="none"/>
                      <w:lang w:val="en-US" w:eastAsia="zh-CN"/>
                    </w:rPr>
                    <w:t>2</w:t>
                  </w:r>
                  <w:r>
                    <w:rPr>
                      <w:color w:val="auto"/>
                      <w:sz w:val="21"/>
                      <w:szCs w:val="21"/>
                      <w:highlight w:val="none"/>
                    </w:rPr>
                    <w:t>类区</w:t>
                  </w:r>
                </w:p>
              </w:tc>
            </w:tr>
            <w:tr w14:paraId="2431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 w:type="pct"/>
                  <w:vMerge w:val="continue"/>
                  <w:vAlign w:val="center"/>
                </w:tcPr>
                <w:p w14:paraId="29AE3588">
                  <w:pPr>
                    <w:bidi w:val="0"/>
                    <w:jc w:val="center"/>
                    <w:rPr>
                      <w:color w:val="auto"/>
                      <w:sz w:val="21"/>
                      <w:szCs w:val="21"/>
                      <w:highlight w:val="none"/>
                    </w:rPr>
                  </w:pPr>
                </w:p>
              </w:tc>
              <w:tc>
                <w:tcPr>
                  <w:tcW w:w="745" w:type="pct"/>
                  <w:vAlign w:val="center"/>
                </w:tcPr>
                <w:p w14:paraId="69CCE128">
                  <w:pPr>
                    <w:bidi w:val="0"/>
                    <w:jc w:val="center"/>
                    <w:rPr>
                      <w:rFonts w:hint="default"/>
                      <w:color w:val="auto"/>
                      <w:sz w:val="21"/>
                      <w:szCs w:val="21"/>
                      <w:highlight w:val="none"/>
                      <w:lang w:val="en-US" w:eastAsia="zh-CN"/>
                    </w:rPr>
                  </w:pPr>
                  <w:r>
                    <w:rPr>
                      <w:rFonts w:hint="eastAsia"/>
                      <w:color w:val="auto"/>
                      <w:sz w:val="21"/>
                      <w:szCs w:val="21"/>
                      <w:highlight w:val="none"/>
                      <w:lang w:eastAsia="zh-CN"/>
                    </w:rPr>
                    <w:t>居民点</w:t>
                  </w:r>
                  <w:r>
                    <w:rPr>
                      <w:rFonts w:hint="eastAsia"/>
                      <w:color w:val="auto"/>
                      <w:sz w:val="21"/>
                      <w:szCs w:val="21"/>
                      <w:highlight w:val="none"/>
                      <w:lang w:val="en-US" w:eastAsia="zh-CN"/>
                    </w:rPr>
                    <w:t>1</w:t>
                  </w:r>
                </w:p>
              </w:tc>
              <w:tc>
                <w:tcPr>
                  <w:tcW w:w="401" w:type="pct"/>
                  <w:shd w:val="clear" w:color="auto" w:fill="auto"/>
                  <w:vAlign w:val="center"/>
                </w:tcPr>
                <w:p w14:paraId="552E43B9">
                  <w:pPr>
                    <w:bidi w:val="0"/>
                    <w:jc w:val="center"/>
                    <w:rPr>
                      <w:color w:val="auto"/>
                      <w:sz w:val="21"/>
                      <w:szCs w:val="21"/>
                      <w:highlight w:val="none"/>
                      <w:lang w:val="en-US" w:eastAsia="zh-CN"/>
                    </w:rPr>
                  </w:pPr>
                  <w:r>
                    <w:rPr>
                      <w:rFonts w:hint="eastAsia"/>
                      <w:color w:val="auto"/>
                      <w:sz w:val="21"/>
                      <w:szCs w:val="21"/>
                      <w:highlight w:val="none"/>
                      <w:lang w:val="en-US" w:eastAsia="zh-CN"/>
                    </w:rPr>
                    <w:t>0</w:t>
                  </w:r>
                </w:p>
              </w:tc>
              <w:tc>
                <w:tcPr>
                  <w:tcW w:w="413" w:type="pct"/>
                  <w:shd w:val="clear" w:color="auto" w:fill="auto"/>
                  <w:vAlign w:val="center"/>
                </w:tcPr>
                <w:p w14:paraId="4503E2BE">
                  <w:pPr>
                    <w:bidi w:val="0"/>
                    <w:jc w:val="center"/>
                    <w:rPr>
                      <w:color w:val="auto"/>
                      <w:sz w:val="21"/>
                      <w:szCs w:val="21"/>
                      <w:highlight w:val="none"/>
                      <w:lang w:val="en-US" w:eastAsia="zh-CN"/>
                    </w:rPr>
                  </w:pPr>
                  <w:r>
                    <w:rPr>
                      <w:rFonts w:hint="eastAsia"/>
                      <w:color w:val="auto"/>
                      <w:sz w:val="21"/>
                      <w:szCs w:val="21"/>
                      <w:highlight w:val="none"/>
                      <w:lang w:val="en-US" w:eastAsia="zh-CN"/>
                    </w:rPr>
                    <w:t>15</w:t>
                  </w:r>
                </w:p>
              </w:tc>
              <w:tc>
                <w:tcPr>
                  <w:tcW w:w="511" w:type="pct"/>
                  <w:vAlign w:val="center"/>
                </w:tcPr>
                <w:p w14:paraId="3474BE05">
                  <w:pPr>
                    <w:bidi w:val="0"/>
                    <w:jc w:val="center"/>
                    <w:rPr>
                      <w:color w:val="auto"/>
                      <w:sz w:val="21"/>
                      <w:szCs w:val="21"/>
                      <w:highlight w:val="none"/>
                    </w:rPr>
                  </w:pPr>
                  <w:r>
                    <w:rPr>
                      <w:rFonts w:hint="eastAsia"/>
                      <w:color w:val="auto"/>
                      <w:sz w:val="21"/>
                      <w:szCs w:val="21"/>
                      <w:highlight w:val="none"/>
                      <w:lang w:eastAsia="zh-CN"/>
                    </w:rPr>
                    <w:t>西南</w:t>
                  </w:r>
                </w:p>
              </w:tc>
              <w:tc>
                <w:tcPr>
                  <w:tcW w:w="511" w:type="pct"/>
                  <w:vAlign w:val="center"/>
                </w:tcPr>
                <w:p w14:paraId="20508045">
                  <w:pPr>
                    <w:bidi w:val="0"/>
                    <w:jc w:val="center"/>
                    <w:rPr>
                      <w:color w:val="auto"/>
                      <w:sz w:val="21"/>
                      <w:szCs w:val="21"/>
                      <w:highlight w:val="none"/>
                    </w:rPr>
                  </w:pPr>
                  <w:r>
                    <w:rPr>
                      <w:rFonts w:hint="eastAsia"/>
                      <w:color w:val="auto"/>
                      <w:sz w:val="21"/>
                      <w:szCs w:val="21"/>
                      <w:highlight w:val="none"/>
                      <w:lang w:val="en-US" w:eastAsia="zh-CN"/>
                    </w:rPr>
                    <w:t>15</w:t>
                  </w:r>
                </w:p>
              </w:tc>
              <w:tc>
                <w:tcPr>
                  <w:tcW w:w="462" w:type="pct"/>
                  <w:vAlign w:val="center"/>
                </w:tcPr>
                <w:p w14:paraId="14B202C3">
                  <w:pPr>
                    <w:bidi w:val="0"/>
                    <w:jc w:val="center"/>
                    <w:rPr>
                      <w:color w:val="auto"/>
                      <w:sz w:val="21"/>
                      <w:szCs w:val="21"/>
                      <w:highlight w:val="none"/>
                    </w:rPr>
                  </w:pPr>
                  <w:r>
                    <w:rPr>
                      <w:color w:val="auto"/>
                      <w:sz w:val="21"/>
                      <w:szCs w:val="21"/>
                      <w:highlight w:val="none"/>
                    </w:rPr>
                    <w:t>居民</w:t>
                  </w:r>
                </w:p>
              </w:tc>
              <w:tc>
                <w:tcPr>
                  <w:tcW w:w="549" w:type="pct"/>
                  <w:vMerge w:val="continue"/>
                  <w:vAlign w:val="center"/>
                </w:tcPr>
                <w:p w14:paraId="00259D02">
                  <w:pPr>
                    <w:bidi w:val="0"/>
                    <w:jc w:val="center"/>
                    <w:rPr>
                      <w:color w:val="auto"/>
                      <w:sz w:val="21"/>
                      <w:szCs w:val="21"/>
                      <w:highlight w:val="none"/>
                    </w:rPr>
                  </w:pPr>
                </w:p>
              </w:tc>
              <w:tc>
                <w:tcPr>
                  <w:tcW w:w="1093" w:type="pct"/>
                  <w:vMerge w:val="continue"/>
                  <w:vAlign w:val="center"/>
                </w:tcPr>
                <w:p w14:paraId="43366E20">
                  <w:pPr>
                    <w:bidi w:val="0"/>
                    <w:jc w:val="center"/>
                    <w:rPr>
                      <w:color w:val="auto"/>
                      <w:sz w:val="21"/>
                      <w:szCs w:val="21"/>
                      <w:highlight w:val="none"/>
                    </w:rPr>
                  </w:pPr>
                </w:p>
              </w:tc>
            </w:tr>
          </w:tbl>
          <w:p w14:paraId="3A505153">
            <w:pPr>
              <w:widowControl/>
              <w:jc w:val="left"/>
              <w:rPr>
                <w:rFonts w:hint="default" w:eastAsia="宋体"/>
                <w:color w:val="auto"/>
                <w:kern w:val="0"/>
                <w:szCs w:val="21"/>
                <w:highlight w:val="none"/>
                <w:lang w:val="en-US" w:eastAsia="zh-CN"/>
              </w:rPr>
            </w:pPr>
            <w:r>
              <w:rPr>
                <w:bCs/>
                <w:color w:val="auto"/>
                <w:szCs w:val="21"/>
                <w:highlight w:val="none"/>
              </w:rPr>
              <w:t>注：</w:t>
            </w:r>
            <w:bookmarkStart w:id="6" w:name="_Hlk170394210"/>
            <w:r>
              <w:rPr>
                <w:rFonts w:hint="eastAsia"/>
                <w:bCs/>
                <w:color w:val="auto"/>
                <w:szCs w:val="21"/>
                <w:highlight w:val="none"/>
              </w:rPr>
              <w:t>以厂区</w:t>
            </w:r>
            <w:r>
              <w:rPr>
                <w:rFonts w:hint="eastAsia"/>
                <w:bCs/>
                <w:color w:val="auto"/>
                <w:szCs w:val="21"/>
                <w:highlight w:val="none"/>
                <w:lang w:eastAsia="zh-CN"/>
              </w:rPr>
              <w:t>西南角</w:t>
            </w:r>
            <w:r>
              <w:rPr>
                <w:bCs/>
                <w:color w:val="auto"/>
                <w:szCs w:val="21"/>
                <w:highlight w:val="none"/>
              </w:rPr>
              <w:t>为坐标原点</w:t>
            </w:r>
            <w:bookmarkEnd w:id="6"/>
            <w:r>
              <w:rPr>
                <w:rFonts w:hint="eastAsia"/>
                <w:bCs/>
                <w:color w:val="auto"/>
                <w:szCs w:val="21"/>
                <w:highlight w:val="none"/>
              </w:rPr>
              <w:t>。</w:t>
            </w:r>
            <w:r>
              <w:rPr>
                <w:rFonts w:hint="eastAsia"/>
                <w:bCs/>
                <w:color w:val="auto"/>
                <w:szCs w:val="21"/>
                <w:highlight w:val="none"/>
                <w:lang w:eastAsia="zh-CN"/>
              </w:rPr>
              <w:t>本项目</w:t>
            </w:r>
            <w:r>
              <w:rPr>
                <w:rFonts w:hint="eastAsia"/>
                <w:bCs/>
                <w:color w:val="auto"/>
                <w:szCs w:val="21"/>
                <w:highlight w:val="none"/>
                <w:lang w:val="en-US" w:eastAsia="zh-CN"/>
              </w:rPr>
              <w:t>500m范围内有敏感点名称在地图上未显示，故本项目取位居民点1命名。</w:t>
            </w:r>
          </w:p>
        </w:tc>
      </w:tr>
      <w:tr w14:paraId="50DF6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7" w:type="dxa"/>
            <w:tcMar>
              <w:left w:w="28" w:type="dxa"/>
              <w:right w:w="28" w:type="dxa"/>
            </w:tcMar>
            <w:vAlign w:val="center"/>
          </w:tcPr>
          <w:p w14:paraId="3864E0D2">
            <w:pPr>
              <w:adjustRightInd w:val="0"/>
              <w:snapToGrid w:val="0"/>
              <w:jc w:val="center"/>
              <w:rPr>
                <w:b/>
                <w:color w:val="auto"/>
                <w:kern w:val="0"/>
                <w:sz w:val="24"/>
                <w:highlight w:val="none"/>
              </w:rPr>
            </w:pPr>
            <w:r>
              <w:rPr>
                <w:b/>
                <w:color w:val="auto"/>
                <w:kern w:val="0"/>
                <w:sz w:val="24"/>
                <w:highlight w:val="none"/>
              </w:rPr>
              <w:t>污染</w:t>
            </w:r>
          </w:p>
          <w:p w14:paraId="7FF1D4C6">
            <w:pPr>
              <w:adjustRightInd w:val="0"/>
              <w:snapToGrid w:val="0"/>
              <w:jc w:val="center"/>
              <w:rPr>
                <w:b/>
                <w:color w:val="auto"/>
                <w:kern w:val="0"/>
                <w:sz w:val="24"/>
                <w:highlight w:val="none"/>
              </w:rPr>
            </w:pPr>
            <w:r>
              <w:rPr>
                <w:b/>
                <w:color w:val="auto"/>
                <w:kern w:val="0"/>
                <w:sz w:val="24"/>
                <w:highlight w:val="none"/>
              </w:rPr>
              <w:t>物排</w:t>
            </w:r>
          </w:p>
          <w:p w14:paraId="2DCC63E0">
            <w:pPr>
              <w:adjustRightInd w:val="0"/>
              <w:snapToGrid w:val="0"/>
              <w:jc w:val="center"/>
              <w:rPr>
                <w:b/>
                <w:color w:val="auto"/>
                <w:kern w:val="0"/>
                <w:sz w:val="24"/>
                <w:highlight w:val="none"/>
              </w:rPr>
            </w:pPr>
            <w:r>
              <w:rPr>
                <w:b/>
                <w:color w:val="auto"/>
                <w:kern w:val="0"/>
                <w:sz w:val="24"/>
                <w:highlight w:val="none"/>
              </w:rPr>
              <w:t>放控</w:t>
            </w:r>
          </w:p>
          <w:p w14:paraId="77759740">
            <w:pPr>
              <w:adjustRightInd w:val="0"/>
              <w:snapToGrid w:val="0"/>
              <w:jc w:val="center"/>
              <w:rPr>
                <w:b/>
                <w:color w:val="auto"/>
                <w:kern w:val="0"/>
                <w:sz w:val="24"/>
                <w:highlight w:val="none"/>
              </w:rPr>
            </w:pPr>
            <w:r>
              <w:rPr>
                <w:b/>
                <w:color w:val="auto"/>
                <w:kern w:val="0"/>
                <w:sz w:val="24"/>
                <w:highlight w:val="none"/>
              </w:rPr>
              <w:t>制标</w:t>
            </w:r>
          </w:p>
          <w:p w14:paraId="2039A92A">
            <w:pPr>
              <w:adjustRightInd w:val="0"/>
              <w:snapToGrid w:val="0"/>
              <w:jc w:val="center"/>
              <w:rPr>
                <w:color w:val="auto"/>
                <w:kern w:val="0"/>
                <w:sz w:val="24"/>
                <w:highlight w:val="none"/>
              </w:rPr>
            </w:pPr>
            <w:r>
              <w:rPr>
                <w:b/>
                <w:color w:val="auto"/>
                <w:kern w:val="0"/>
                <w:sz w:val="24"/>
                <w:highlight w:val="none"/>
              </w:rPr>
              <w:t>准</w:t>
            </w:r>
          </w:p>
        </w:tc>
        <w:tc>
          <w:tcPr>
            <w:tcW w:w="9005" w:type="dxa"/>
          </w:tcPr>
          <w:p w14:paraId="110EAE68">
            <w:pPr>
              <w:pStyle w:val="102"/>
              <w:widowControl/>
              <w:spacing w:line="360" w:lineRule="auto"/>
              <w:ind w:firstLine="0" w:firstLineChars="0"/>
              <w:rPr>
                <w:rFonts w:hint="default"/>
                <w:b/>
                <w:color w:val="auto"/>
                <w:sz w:val="24"/>
                <w:highlight w:val="none"/>
                <w:lang w:val="en-US" w:eastAsia="zh-CN"/>
              </w:rPr>
            </w:pPr>
            <w:r>
              <w:rPr>
                <w:rFonts w:hint="eastAsia"/>
                <w:b/>
                <w:color w:val="auto"/>
                <w:sz w:val="24"/>
                <w:highlight w:val="none"/>
                <w:lang w:val="en-US" w:eastAsia="zh-CN"/>
              </w:rPr>
              <w:t>1、废气</w:t>
            </w:r>
          </w:p>
          <w:p w14:paraId="384E1B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吹瓶工序废气中的污染物（非甲烷总烃）</w:t>
            </w:r>
            <w:r>
              <w:rPr>
                <w:rFonts w:hint="default" w:ascii="Times New Roman" w:hAnsi="Times New Roman" w:cs="Times New Roman"/>
                <w:color w:val="auto"/>
                <w:kern w:val="0"/>
                <w:sz w:val="24"/>
                <w:szCs w:val="24"/>
                <w:highlight w:val="none"/>
                <w:lang w:val="en-US" w:eastAsia="zh-CN" w:bidi="ar"/>
              </w:rPr>
              <w:t>参照</w:t>
            </w:r>
            <w:r>
              <w:rPr>
                <w:rFonts w:hint="default" w:ascii="Times New Roman" w:hAnsi="Times New Roman" w:eastAsia="宋体" w:cs="Times New Roman"/>
                <w:color w:val="auto"/>
                <w:kern w:val="0"/>
                <w:sz w:val="24"/>
                <w:szCs w:val="24"/>
                <w:highlight w:val="none"/>
                <w:lang w:val="en-US" w:eastAsia="zh-CN" w:bidi="ar"/>
              </w:rPr>
              <w:t>《合成树脂工业污染物排放标准》（GB31572-2015</w:t>
            </w:r>
            <w:r>
              <w:rPr>
                <w:rFonts w:hint="eastAsia" w:ascii="Times New Roman" w:hAnsi="Times New Roman" w:cs="Times New Roman"/>
                <w:color w:val="auto"/>
                <w:highlight w:val="none"/>
                <w:lang w:eastAsia="zh-CN"/>
              </w:rPr>
              <w:t>，含</w:t>
            </w:r>
            <w:r>
              <w:rPr>
                <w:rFonts w:hint="eastAsia" w:ascii="Times New Roman" w:hAnsi="Times New Roman" w:cs="Times New Roman"/>
                <w:color w:val="auto"/>
                <w:sz w:val="24"/>
                <w:szCs w:val="32"/>
                <w:highlight w:val="none"/>
                <w:lang w:val="en-US" w:eastAsia="zh-CN"/>
              </w:rPr>
              <w:t>2024年修改单</w:t>
            </w:r>
            <w:r>
              <w:rPr>
                <w:rFonts w:hint="default" w:ascii="Times New Roman" w:hAnsi="Times New Roman" w:eastAsia="宋体" w:cs="Times New Roman"/>
                <w:color w:val="auto"/>
                <w:kern w:val="0"/>
                <w:sz w:val="24"/>
                <w:szCs w:val="24"/>
                <w:highlight w:val="none"/>
                <w:lang w:val="en-US" w:eastAsia="zh-CN" w:bidi="ar"/>
              </w:rPr>
              <w:t>）表5大气污染物特别排放限值</w:t>
            </w:r>
            <w:r>
              <w:rPr>
                <w:rFonts w:hint="default" w:ascii="Times New Roman" w:hAnsi="Times New Roman" w:cs="Times New Roman"/>
                <w:color w:val="auto"/>
                <w:kern w:val="0"/>
                <w:sz w:val="24"/>
                <w:szCs w:val="24"/>
                <w:highlight w:val="none"/>
                <w:lang w:val="en-US" w:eastAsia="zh-CN" w:bidi="ar"/>
              </w:rPr>
              <w:t>与</w:t>
            </w:r>
            <w:r>
              <w:rPr>
                <w:rFonts w:hint="default" w:ascii="Times New Roman" w:hAnsi="Times New Roman" w:cs="Times New Roman"/>
                <w:color w:val="auto"/>
                <w:sz w:val="24"/>
                <w:szCs w:val="24"/>
                <w:highlight w:val="none"/>
                <w:lang w:val="en-US" w:eastAsia="zh-CN"/>
              </w:rPr>
              <w:t>安徽省《固定源挥发性有机物综合排放标准第6部分：其他行业》（DB34/4812.6-2024）塑料制品工业从严执行</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cs="Times New Roman"/>
                <w:color w:val="auto"/>
                <w:sz w:val="24"/>
                <w:szCs w:val="24"/>
                <w:highlight w:val="none"/>
                <w:lang w:eastAsia="zh-CN"/>
              </w:rPr>
              <w:t>厂界无组织废气排放参照</w:t>
            </w:r>
            <w:r>
              <w:rPr>
                <w:rFonts w:hint="default" w:ascii="Times New Roman" w:hAnsi="Times New Roman" w:eastAsia="宋体" w:cs="Times New Roman"/>
                <w:color w:val="auto"/>
                <w:kern w:val="0"/>
                <w:sz w:val="24"/>
                <w:szCs w:val="24"/>
                <w:highlight w:val="none"/>
                <w:lang w:val="en-US" w:eastAsia="zh-CN" w:bidi="ar"/>
              </w:rPr>
              <w:t>《合成树脂工业污染物排放标准》（GB31572-2015</w:t>
            </w:r>
            <w:r>
              <w:rPr>
                <w:rFonts w:hint="eastAsia" w:ascii="Times New Roman" w:hAnsi="Times New Roman" w:cs="Times New Roman"/>
                <w:color w:val="auto"/>
                <w:sz w:val="24"/>
                <w:szCs w:val="32"/>
                <w:highlight w:val="none"/>
                <w:lang w:eastAsia="zh-CN"/>
              </w:rPr>
              <w:t>，含</w:t>
            </w:r>
            <w:r>
              <w:rPr>
                <w:rFonts w:hint="eastAsia" w:ascii="Times New Roman" w:hAnsi="Times New Roman" w:cs="Times New Roman"/>
                <w:color w:val="auto"/>
                <w:sz w:val="24"/>
                <w:szCs w:val="32"/>
                <w:highlight w:val="none"/>
                <w:lang w:val="en-US" w:eastAsia="zh-CN"/>
              </w:rPr>
              <w:t>2024年修改单</w:t>
            </w:r>
            <w:r>
              <w:rPr>
                <w:rFonts w:hint="default" w:ascii="Times New Roman" w:hAnsi="Times New Roman" w:eastAsia="宋体" w:cs="Times New Roman"/>
                <w:color w:val="auto"/>
                <w:kern w:val="0"/>
                <w:sz w:val="24"/>
                <w:szCs w:val="24"/>
                <w:highlight w:val="none"/>
                <w:lang w:val="en-US" w:eastAsia="zh-CN" w:bidi="ar"/>
              </w:rPr>
              <w:t>）表9 企业边界大气污染物浓度限值</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bidi="ar"/>
              </w:rPr>
              <w:t>厂</w:t>
            </w:r>
            <w:r>
              <w:rPr>
                <w:rFonts w:hint="default" w:ascii="Times New Roman" w:hAnsi="Times New Roman" w:cs="Times New Roman"/>
                <w:color w:val="auto"/>
                <w:kern w:val="0"/>
                <w:sz w:val="24"/>
                <w:szCs w:val="24"/>
                <w:highlight w:val="none"/>
                <w:lang w:val="en-US" w:eastAsia="zh-CN" w:bidi="ar"/>
              </w:rPr>
              <w:t>区内</w:t>
            </w:r>
            <w:r>
              <w:rPr>
                <w:rFonts w:hint="default" w:ascii="Times New Roman" w:hAnsi="Times New Roman" w:eastAsia="宋体" w:cs="Times New Roman"/>
                <w:color w:val="auto"/>
                <w:kern w:val="0"/>
                <w:sz w:val="24"/>
                <w:szCs w:val="24"/>
                <w:highlight w:val="none"/>
                <w:lang w:val="en-US" w:eastAsia="zh-CN" w:bidi="ar"/>
              </w:rPr>
              <w:t>非甲烷总烃浓度执行</w:t>
            </w:r>
            <w:r>
              <w:rPr>
                <w:rFonts w:hint="default" w:ascii="Times New Roman" w:hAnsi="Times New Roman" w:cs="Times New Roman"/>
                <w:color w:val="auto"/>
                <w:sz w:val="24"/>
                <w:szCs w:val="24"/>
                <w:highlight w:val="none"/>
                <w:lang w:val="en-US" w:eastAsia="zh-CN"/>
              </w:rPr>
              <w:t>安徽省《固定源挥发性有机物综合排放标准第6部分：其他行业》（DB34/4812.6-2024）</w:t>
            </w:r>
            <w:r>
              <w:rPr>
                <w:rFonts w:hint="default" w:ascii="Times New Roman" w:hAnsi="Times New Roman" w:eastAsia="宋体" w:cs="Times New Roman"/>
                <w:color w:val="auto"/>
                <w:kern w:val="0"/>
                <w:sz w:val="24"/>
                <w:szCs w:val="24"/>
                <w:highlight w:val="none"/>
                <w:lang w:val="en-US" w:eastAsia="zh-CN" w:bidi="ar"/>
              </w:rPr>
              <w:t>表4厂区内VOC</w:t>
            </w:r>
            <w:r>
              <w:rPr>
                <w:rFonts w:hint="default" w:ascii="Times New Roman" w:hAnsi="Times New Roman" w:cs="Times New Roman"/>
                <w:color w:val="auto"/>
                <w:kern w:val="0"/>
                <w:sz w:val="24"/>
                <w:szCs w:val="24"/>
                <w:highlight w:val="none"/>
                <w:vertAlign w:val="subscript"/>
                <w:lang w:val="en-US" w:eastAsia="zh-CN" w:bidi="ar"/>
              </w:rPr>
              <w:t>S</w:t>
            </w:r>
            <w:r>
              <w:rPr>
                <w:rFonts w:hint="default" w:ascii="Times New Roman" w:hAnsi="Times New Roman" w:eastAsia="宋体" w:cs="Times New Roman"/>
                <w:color w:val="auto"/>
                <w:kern w:val="0"/>
                <w:sz w:val="24"/>
                <w:szCs w:val="24"/>
                <w:highlight w:val="none"/>
                <w:lang w:val="en-US" w:eastAsia="zh-CN" w:bidi="ar"/>
              </w:rPr>
              <w:t>无组织排放限值</w:t>
            </w:r>
            <w:r>
              <w:rPr>
                <w:rFonts w:hint="eastAsia" w:ascii="Times New Roman" w:hAnsi="Times New Roman" w:eastAsia="新宋体" w:cs="Times New Roman"/>
                <w:color w:val="auto"/>
                <w:sz w:val="24"/>
                <w:szCs w:val="24"/>
                <w:highlight w:val="none"/>
                <w:lang w:eastAsia="zh-CN"/>
              </w:rPr>
              <w:t>。</w:t>
            </w:r>
          </w:p>
          <w:p w14:paraId="6F0D0B27">
            <w:pPr>
              <w:bidi w:val="0"/>
              <w:jc w:val="center"/>
              <w:rPr>
                <w:rFonts w:hint="default"/>
                <w:b/>
                <w:color w:val="auto"/>
                <w:highlight w:val="none"/>
                <w:lang w:val="en-US" w:eastAsia="zh-CN"/>
              </w:rPr>
            </w:pPr>
            <w:r>
              <w:rPr>
                <w:rFonts w:hint="eastAsia"/>
                <w:b/>
                <w:bCs/>
                <w:color w:val="auto"/>
                <w:sz w:val="24"/>
                <w:szCs w:val="32"/>
                <w:highlight w:val="none"/>
                <w:lang w:val="en-US" w:eastAsia="zh-CN"/>
              </w:rPr>
              <w:t xml:space="preserve">表3-4 </w:t>
            </w:r>
            <w:r>
              <w:rPr>
                <w:rFonts w:hint="default"/>
                <w:b/>
                <w:bCs/>
                <w:color w:val="auto"/>
                <w:sz w:val="24"/>
                <w:szCs w:val="32"/>
                <w:highlight w:val="none"/>
              </w:rPr>
              <w:t>废气污染物排放标准  单位：mg/m</w:t>
            </w:r>
            <w:r>
              <w:rPr>
                <w:rFonts w:hint="default"/>
                <w:b/>
                <w:bCs/>
                <w:color w:val="auto"/>
                <w:sz w:val="24"/>
                <w:szCs w:val="32"/>
                <w:highlight w:val="none"/>
                <w:vertAlign w:val="superscript"/>
              </w:rPr>
              <w:t>3</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927"/>
              <w:gridCol w:w="1943"/>
              <w:gridCol w:w="2264"/>
              <w:gridCol w:w="980"/>
              <w:gridCol w:w="1943"/>
            </w:tblGrid>
            <w:tr w14:paraId="48E2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Merge w:val="restart"/>
                  <w:vAlign w:val="center"/>
                </w:tcPr>
                <w:p w14:paraId="24DD8F88">
                  <w:pPr>
                    <w:adjustRightInd w:val="0"/>
                    <w:spacing w:line="240" w:lineRule="auto"/>
                    <w:ind w:firstLine="0" w:firstLineChars="0"/>
                    <w:jc w:val="center"/>
                    <w:textAlignment w:val="baseline"/>
                    <w:rPr>
                      <w:rFonts w:hint="eastAsia"/>
                      <w:b/>
                      <w:bCs/>
                      <w:color w:val="auto"/>
                      <w:sz w:val="21"/>
                      <w:szCs w:val="21"/>
                      <w:highlight w:val="none"/>
                      <w:lang w:val="en-US" w:eastAsia="zh-CN"/>
                    </w:rPr>
                  </w:pPr>
                  <w:r>
                    <w:rPr>
                      <w:rFonts w:hint="eastAsia"/>
                      <w:b/>
                      <w:bCs/>
                      <w:color w:val="auto"/>
                      <w:kern w:val="0"/>
                      <w:sz w:val="21"/>
                      <w:szCs w:val="21"/>
                      <w:highlight w:val="none"/>
                      <w:lang w:eastAsia="zh-CN"/>
                    </w:rPr>
                    <w:t>污染源</w:t>
                  </w:r>
                </w:p>
              </w:tc>
              <w:tc>
                <w:tcPr>
                  <w:tcW w:w="1178" w:type="dxa"/>
                  <w:vMerge w:val="restart"/>
                  <w:vAlign w:val="center"/>
                </w:tcPr>
                <w:p w14:paraId="02B8C5FA">
                  <w:pPr>
                    <w:adjustRightInd w:val="0"/>
                    <w:spacing w:line="240" w:lineRule="auto"/>
                    <w:ind w:firstLine="0" w:firstLineChars="0"/>
                    <w:jc w:val="center"/>
                    <w:textAlignment w:val="baseline"/>
                    <w:rPr>
                      <w:rFonts w:hint="eastAsia"/>
                      <w:b/>
                      <w:bCs/>
                      <w:color w:val="auto"/>
                      <w:sz w:val="21"/>
                      <w:szCs w:val="21"/>
                      <w:highlight w:val="none"/>
                      <w:lang w:val="en-US" w:eastAsia="zh-CN"/>
                    </w:rPr>
                  </w:pPr>
                  <w:r>
                    <w:rPr>
                      <w:b/>
                      <w:bCs/>
                      <w:color w:val="auto"/>
                      <w:kern w:val="0"/>
                      <w:sz w:val="21"/>
                      <w:szCs w:val="21"/>
                      <w:highlight w:val="none"/>
                    </w:rPr>
                    <w:t>污染物名称</w:t>
                  </w:r>
                </w:p>
              </w:tc>
              <w:tc>
                <w:tcPr>
                  <w:tcW w:w="4207" w:type="dxa"/>
                  <w:gridSpan w:val="2"/>
                  <w:vAlign w:val="center"/>
                </w:tcPr>
                <w:p w14:paraId="2E5495E7">
                  <w:pPr>
                    <w:bidi w:val="0"/>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排放浓度限值</w:t>
                  </w:r>
                </w:p>
              </w:tc>
              <w:tc>
                <w:tcPr>
                  <w:tcW w:w="1257" w:type="dxa"/>
                  <w:vMerge w:val="restart"/>
                  <w:vAlign w:val="center"/>
                </w:tcPr>
                <w:p w14:paraId="4B4781D1">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本项目执行</w:t>
                  </w:r>
                </w:p>
              </w:tc>
              <w:tc>
                <w:tcPr>
                  <w:tcW w:w="1267" w:type="dxa"/>
                  <w:vAlign w:val="center"/>
                </w:tcPr>
                <w:p w14:paraId="01CE522F">
                  <w:pPr>
                    <w:keepNext w:val="0"/>
                    <w:keepLines w:val="0"/>
                    <w:widowControl/>
                    <w:suppressLineNumbers w:val="0"/>
                    <w:jc w:val="center"/>
                    <w:rPr>
                      <w:rFonts w:hint="eastAsia"/>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无组织排放监控浓度</w:t>
                  </w:r>
                </w:p>
              </w:tc>
            </w:tr>
            <w:tr w14:paraId="1BA9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Merge w:val="continue"/>
                  <w:vAlign w:val="center"/>
                </w:tcPr>
                <w:p w14:paraId="74C0C5C8">
                  <w:pPr>
                    <w:adjustRightInd w:val="0"/>
                    <w:spacing w:line="240" w:lineRule="auto"/>
                    <w:ind w:firstLine="0" w:firstLineChars="0"/>
                    <w:jc w:val="center"/>
                    <w:textAlignment w:val="baseline"/>
                    <w:rPr>
                      <w:rFonts w:hint="eastAsia"/>
                      <w:b/>
                      <w:bCs/>
                      <w:color w:val="auto"/>
                      <w:kern w:val="0"/>
                      <w:sz w:val="21"/>
                      <w:szCs w:val="21"/>
                      <w:highlight w:val="none"/>
                      <w:lang w:eastAsia="zh-CN"/>
                    </w:rPr>
                  </w:pPr>
                </w:p>
              </w:tc>
              <w:tc>
                <w:tcPr>
                  <w:tcW w:w="1178" w:type="dxa"/>
                  <w:vMerge w:val="continue"/>
                  <w:vAlign w:val="center"/>
                </w:tcPr>
                <w:p w14:paraId="2AC1CB99">
                  <w:pPr>
                    <w:adjustRightInd w:val="0"/>
                    <w:spacing w:line="240" w:lineRule="auto"/>
                    <w:ind w:firstLine="0" w:firstLineChars="0"/>
                    <w:jc w:val="center"/>
                    <w:textAlignment w:val="baseline"/>
                    <w:rPr>
                      <w:b/>
                      <w:bCs/>
                      <w:color w:val="auto"/>
                      <w:kern w:val="0"/>
                      <w:sz w:val="21"/>
                      <w:szCs w:val="21"/>
                      <w:highlight w:val="none"/>
                    </w:rPr>
                  </w:pPr>
                </w:p>
              </w:tc>
              <w:tc>
                <w:tcPr>
                  <w:tcW w:w="1943" w:type="dxa"/>
                  <w:vAlign w:val="center"/>
                </w:tcPr>
                <w:p w14:paraId="0DEEB0B1">
                  <w:pPr>
                    <w:bidi w:val="0"/>
                    <w:jc w:val="center"/>
                    <w:rPr>
                      <w:rFonts w:hint="eastAsia"/>
                      <w:b/>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《合成树脂工业污染物排放标准》</w:t>
                  </w:r>
                  <w:r>
                    <w:rPr>
                      <w:rFonts w:hint="default" w:ascii="Times New Roman" w:hAnsi="Times New Roman" w:eastAsia="宋体" w:cs="Times New Roman"/>
                      <w:color w:val="auto"/>
                      <w:kern w:val="0"/>
                      <w:sz w:val="21"/>
                      <w:szCs w:val="21"/>
                      <w:highlight w:val="none"/>
                      <w:lang w:val="en-US" w:eastAsia="zh-CN" w:bidi="ar"/>
                    </w:rPr>
                    <w:t>（GB31572-2015</w:t>
                  </w:r>
                  <w:r>
                    <w:rPr>
                      <w:rFonts w:hint="eastAsia" w:ascii="Times New Roman" w:hAnsi="Times New Roman" w:cs="Times New Roman"/>
                      <w:color w:val="auto"/>
                      <w:sz w:val="21"/>
                      <w:szCs w:val="24"/>
                      <w:highlight w:val="none"/>
                      <w:lang w:eastAsia="zh-CN"/>
                    </w:rPr>
                    <w:t>，含</w:t>
                  </w:r>
                  <w:r>
                    <w:rPr>
                      <w:rFonts w:hint="eastAsia" w:ascii="Times New Roman" w:hAnsi="Times New Roman" w:cs="Times New Roman"/>
                      <w:color w:val="auto"/>
                      <w:sz w:val="21"/>
                      <w:szCs w:val="24"/>
                      <w:highlight w:val="none"/>
                      <w:lang w:val="en-US" w:eastAsia="zh-CN"/>
                    </w:rPr>
                    <w:t>2024年修改单</w:t>
                  </w:r>
                  <w:r>
                    <w:rPr>
                      <w:rFonts w:hint="default" w:ascii="Times New Roman" w:hAnsi="Times New Roman" w:eastAsia="宋体" w:cs="Times New Roman"/>
                      <w:color w:val="auto"/>
                      <w:kern w:val="0"/>
                      <w:sz w:val="21"/>
                      <w:szCs w:val="21"/>
                      <w:highlight w:val="none"/>
                      <w:lang w:val="en-US" w:eastAsia="zh-CN" w:bidi="ar"/>
                    </w:rPr>
                    <w:t>）</w:t>
                  </w:r>
                </w:p>
              </w:tc>
              <w:tc>
                <w:tcPr>
                  <w:tcW w:w="2264" w:type="dxa"/>
                  <w:vAlign w:val="center"/>
                </w:tcPr>
                <w:p w14:paraId="72B9CA81">
                  <w:pPr>
                    <w:bidi w:val="0"/>
                    <w:jc w:val="center"/>
                    <w:rPr>
                      <w:rFonts w:hint="eastAsia"/>
                      <w:b/>
                      <w:bCs/>
                      <w:color w:val="auto"/>
                      <w:sz w:val="21"/>
                      <w:szCs w:val="21"/>
                      <w:highlight w:val="none"/>
                      <w:lang w:val="en-US" w:eastAsia="zh-CN"/>
                    </w:rPr>
                  </w:pPr>
                  <w:r>
                    <w:rPr>
                      <w:rFonts w:hint="eastAsia"/>
                      <w:color w:val="auto"/>
                      <w:sz w:val="21"/>
                      <w:szCs w:val="21"/>
                      <w:highlight w:val="none"/>
                      <w:lang w:val="en-US" w:eastAsia="zh-CN"/>
                    </w:rPr>
                    <w:t>安徽省《固定源挥发性有机物综合排放标准 第6部分：其他行业》（DB34/4812.6-2024）塑料制品工业</w:t>
                  </w:r>
                </w:p>
              </w:tc>
              <w:tc>
                <w:tcPr>
                  <w:tcW w:w="1257" w:type="dxa"/>
                  <w:vMerge w:val="continue"/>
                  <w:vAlign w:val="center"/>
                </w:tcPr>
                <w:p w14:paraId="34307511">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p>
              </w:tc>
              <w:tc>
                <w:tcPr>
                  <w:tcW w:w="1267" w:type="dxa"/>
                  <w:vAlign w:val="center"/>
                </w:tcPr>
                <w:p w14:paraId="2C3768C4">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《合成树脂工业污染物排放标准》</w:t>
                  </w:r>
                  <w:r>
                    <w:rPr>
                      <w:rFonts w:hint="default" w:ascii="Times New Roman" w:hAnsi="Times New Roman" w:eastAsia="宋体" w:cs="Times New Roman"/>
                      <w:color w:val="auto"/>
                      <w:kern w:val="0"/>
                      <w:sz w:val="21"/>
                      <w:szCs w:val="21"/>
                      <w:highlight w:val="none"/>
                      <w:lang w:val="en-US" w:eastAsia="zh-CN" w:bidi="ar"/>
                    </w:rPr>
                    <w:t>（GB31572-2015</w:t>
                  </w:r>
                  <w:r>
                    <w:rPr>
                      <w:rFonts w:hint="eastAsia" w:ascii="Times New Roman" w:hAnsi="Times New Roman" w:cs="Times New Roman"/>
                      <w:color w:val="auto"/>
                      <w:sz w:val="21"/>
                      <w:szCs w:val="24"/>
                      <w:highlight w:val="none"/>
                      <w:lang w:eastAsia="zh-CN"/>
                    </w:rPr>
                    <w:t>，含</w:t>
                  </w:r>
                  <w:r>
                    <w:rPr>
                      <w:rFonts w:hint="eastAsia" w:ascii="Times New Roman" w:hAnsi="Times New Roman" w:cs="Times New Roman"/>
                      <w:color w:val="auto"/>
                      <w:sz w:val="21"/>
                      <w:szCs w:val="24"/>
                      <w:highlight w:val="none"/>
                      <w:lang w:val="en-US" w:eastAsia="zh-CN"/>
                    </w:rPr>
                    <w:t>2024年修改单</w:t>
                  </w:r>
                  <w:r>
                    <w:rPr>
                      <w:rFonts w:hint="default" w:ascii="Times New Roman" w:hAnsi="Times New Roman" w:eastAsia="宋体" w:cs="Times New Roman"/>
                      <w:color w:val="auto"/>
                      <w:kern w:val="0"/>
                      <w:sz w:val="21"/>
                      <w:szCs w:val="21"/>
                      <w:highlight w:val="none"/>
                      <w:lang w:val="en-US" w:eastAsia="zh-CN" w:bidi="ar"/>
                    </w:rPr>
                    <w:t>）</w:t>
                  </w:r>
                </w:p>
              </w:tc>
            </w:tr>
            <w:tr w14:paraId="16B8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vAlign w:val="center"/>
                </w:tcPr>
                <w:p w14:paraId="69A6B69C">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吹瓶</w:t>
                  </w:r>
                </w:p>
              </w:tc>
              <w:tc>
                <w:tcPr>
                  <w:tcW w:w="1178" w:type="dxa"/>
                  <w:vAlign w:val="center"/>
                </w:tcPr>
                <w:p w14:paraId="06D18501">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非甲烷总烃</w:t>
                  </w:r>
                </w:p>
              </w:tc>
              <w:tc>
                <w:tcPr>
                  <w:tcW w:w="1943" w:type="dxa"/>
                  <w:vAlign w:val="center"/>
                </w:tcPr>
                <w:p w14:paraId="7A5AB5CF">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c>
                <w:tcPr>
                  <w:tcW w:w="2264" w:type="dxa"/>
                  <w:vAlign w:val="center"/>
                </w:tcPr>
                <w:p w14:paraId="3B0EFF97">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40</w:t>
                  </w:r>
                </w:p>
              </w:tc>
              <w:tc>
                <w:tcPr>
                  <w:tcW w:w="1257" w:type="dxa"/>
                  <w:vAlign w:val="center"/>
                </w:tcPr>
                <w:p w14:paraId="6AE27FF5">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40</w:t>
                  </w:r>
                </w:p>
              </w:tc>
              <w:tc>
                <w:tcPr>
                  <w:tcW w:w="1267" w:type="dxa"/>
                  <w:vAlign w:val="center"/>
                </w:tcPr>
                <w:p w14:paraId="61BF6DAC">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4.0</w:t>
                  </w:r>
                </w:p>
              </w:tc>
            </w:tr>
          </w:tbl>
          <w:p w14:paraId="563C406F">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b/>
                <w:color w:val="auto"/>
                <w:highlight w:val="none"/>
                <w:lang w:val="en-US" w:eastAsia="zh-CN"/>
              </w:rPr>
            </w:pPr>
            <w:r>
              <w:rPr>
                <w:rFonts w:hint="eastAsia"/>
                <w:b/>
                <w:bCs/>
                <w:color w:val="auto"/>
                <w:sz w:val="24"/>
                <w:szCs w:val="32"/>
                <w:highlight w:val="none"/>
                <w:lang w:val="en-US" w:eastAsia="zh-CN"/>
              </w:rPr>
              <w:t>表3-5 厂区内无组织废气排放标准</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2239"/>
              <w:gridCol w:w="2830"/>
              <w:gridCol w:w="2228"/>
            </w:tblGrid>
            <w:tr w14:paraId="456D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2" w:type="pct"/>
                  <w:vAlign w:val="center"/>
                </w:tcPr>
                <w:p w14:paraId="2DDFAE0A">
                  <w:pPr>
                    <w:adjustRightInd w:val="0"/>
                    <w:snapToGrid w:val="0"/>
                    <w:jc w:val="center"/>
                    <w:rPr>
                      <w:color w:val="auto"/>
                      <w:szCs w:val="21"/>
                      <w:highlight w:val="none"/>
                    </w:rPr>
                  </w:pPr>
                  <w:r>
                    <w:rPr>
                      <w:color w:val="auto"/>
                      <w:szCs w:val="21"/>
                      <w:highlight w:val="none"/>
                    </w:rPr>
                    <w:t>污染物项目</w:t>
                  </w:r>
                </w:p>
              </w:tc>
              <w:tc>
                <w:tcPr>
                  <w:tcW w:w="1275" w:type="pct"/>
                  <w:vAlign w:val="center"/>
                </w:tcPr>
                <w:p w14:paraId="0D9FEB1B">
                  <w:pPr>
                    <w:adjustRightInd w:val="0"/>
                    <w:snapToGrid w:val="0"/>
                    <w:jc w:val="center"/>
                    <w:rPr>
                      <w:color w:val="auto"/>
                      <w:szCs w:val="21"/>
                      <w:highlight w:val="none"/>
                    </w:rPr>
                  </w:pPr>
                  <w:r>
                    <w:rPr>
                      <w:color w:val="auto"/>
                      <w:szCs w:val="21"/>
                      <w:highlight w:val="none"/>
                    </w:rPr>
                    <w:t>特别排放限值（mg/m³）</w:t>
                  </w:r>
                </w:p>
              </w:tc>
              <w:tc>
                <w:tcPr>
                  <w:tcW w:w="1612" w:type="pct"/>
                  <w:tcBorders>
                    <w:left w:val="single" w:color="000000" w:sz="4" w:space="0"/>
                    <w:bottom w:val="single" w:color="000000" w:sz="4" w:space="0"/>
                  </w:tcBorders>
                  <w:vAlign w:val="center"/>
                </w:tcPr>
                <w:p w14:paraId="2C2F1F09">
                  <w:pPr>
                    <w:adjustRightInd w:val="0"/>
                    <w:snapToGrid w:val="0"/>
                    <w:jc w:val="center"/>
                    <w:rPr>
                      <w:color w:val="auto"/>
                      <w:szCs w:val="21"/>
                      <w:highlight w:val="none"/>
                    </w:rPr>
                  </w:pPr>
                  <w:r>
                    <w:rPr>
                      <w:color w:val="auto"/>
                      <w:szCs w:val="21"/>
                      <w:highlight w:val="none"/>
                    </w:rPr>
                    <w:t>限值含义</w:t>
                  </w:r>
                </w:p>
              </w:tc>
              <w:tc>
                <w:tcPr>
                  <w:tcW w:w="1269" w:type="pct"/>
                  <w:tcBorders>
                    <w:left w:val="single" w:color="000000" w:sz="4" w:space="0"/>
                    <w:bottom w:val="single" w:color="000000" w:sz="4" w:space="0"/>
                  </w:tcBorders>
                  <w:vAlign w:val="center"/>
                </w:tcPr>
                <w:p w14:paraId="148925F1">
                  <w:pPr>
                    <w:adjustRightInd w:val="0"/>
                    <w:snapToGrid w:val="0"/>
                    <w:jc w:val="center"/>
                    <w:rPr>
                      <w:color w:val="auto"/>
                      <w:szCs w:val="21"/>
                      <w:highlight w:val="none"/>
                    </w:rPr>
                  </w:pPr>
                  <w:r>
                    <w:rPr>
                      <w:color w:val="auto"/>
                      <w:szCs w:val="21"/>
                      <w:highlight w:val="none"/>
                    </w:rPr>
                    <w:t>无组织排放监控位置</w:t>
                  </w:r>
                </w:p>
              </w:tc>
            </w:tr>
            <w:tr w14:paraId="30A8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2" w:type="pct"/>
                  <w:vMerge w:val="restart"/>
                  <w:vAlign w:val="center"/>
                </w:tcPr>
                <w:p w14:paraId="569DD773">
                  <w:pPr>
                    <w:adjustRightInd w:val="0"/>
                    <w:snapToGrid w:val="0"/>
                    <w:jc w:val="center"/>
                    <w:rPr>
                      <w:color w:val="auto"/>
                      <w:szCs w:val="21"/>
                      <w:highlight w:val="none"/>
                    </w:rPr>
                  </w:pPr>
                  <w:r>
                    <w:rPr>
                      <w:color w:val="auto"/>
                      <w:szCs w:val="21"/>
                      <w:highlight w:val="none"/>
                    </w:rPr>
                    <w:t>非甲烷总烃</w:t>
                  </w:r>
                </w:p>
              </w:tc>
              <w:tc>
                <w:tcPr>
                  <w:tcW w:w="1275" w:type="pct"/>
                  <w:vAlign w:val="center"/>
                </w:tcPr>
                <w:p w14:paraId="24316DCC">
                  <w:pPr>
                    <w:adjustRightInd w:val="0"/>
                    <w:snapToGrid w:val="0"/>
                    <w:jc w:val="center"/>
                    <w:rPr>
                      <w:color w:val="auto"/>
                      <w:szCs w:val="21"/>
                      <w:highlight w:val="none"/>
                    </w:rPr>
                  </w:pPr>
                  <w:r>
                    <w:rPr>
                      <w:color w:val="auto"/>
                      <w:szCs w:val="21"/>
                      <w:highlight w:val="none"/>
                    </w:rPr>
                    <w:t>6</w:t>
                  </w:r>
                </w:p>
              </w:tc>
              <w:tc>
                <w:tcPr>
                  <w:tcW w:w="1612" w:type="pct"/>
                  <w:tcBorders>
                    <w:left w:val="single" w:color="000000" w:sz="4" w:space="0"/>
                  </w:tcBorders>
                  <w:vAlign w:val="center"/>
                </w:tcPr>
                <w:p w14:paraId="58856E5A">
                  <w:pPr>
                    <w:adjustRightInd w:val="0"/>
                    <w:snapToGrid w:val="0"/>
                    <w:jc w:val="center"/>
                    <w:rPr>
                      <w:color w:val="auto"/>
                      <w:szCs w:val="21"/>
                      <w:highlight w:val="none"/>
                    </w:rPr>
                  </w:pPr>
                  <w:r>
                    <w:rPr>
                      <w:color w:val="auto"/>
                      <w:szCs w:val="21"/>
                      <w:highlight w:val="none"/>
                    </w:rPr>
                    <w:t>监控点处1h平均浓度值</w:t>
                  </w:r>
                </w:p>
              </w:tc>
              <w:tc>
                <w:tcPr>
                  <w:tcW w:w="1269" w:type="pct"/>
                  <w:vMerge w:val="restart"/>
                  <w:tcBorders>
                    <w:left w:val="single" w:color="000000" w:sz="4" w:space="0"/>
                  </w:tcBorders>
                  <w:vAlign w:val="center"/>
                </w:tcPr>
                <w:p w14:paraId="775F4DD2">
                  <w:pPr>
                    <w:adjustRightInd w:val="0"/>
                    <w:snapToGrid w:val="0"/>
                    <w:jc w:val="center"/>
                    <w:rPr>
                      <w:color w:val="auto"/>
                      <w:szCs w:val="21"/>
                      <w:highlight w:val="none"/>
                    </w:rPr>
                  </w:pPr>
                  <w:r>
                    <w:rPr>
                      <w:color w:val="auto"/>
                      <w:szCs w:val="21"/>
                      <w:highlight w:val="none"/>
                    </w:rPr>
                    <w:t>在厂房外设置监控点</w:t>
                  </w:r>
                </w:p>
              </w:tc>
            </w:tr>
            <w:tr w14:paraId="3C50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2" w:type="pct"/>
                  <w:vMerge w:val="continue"/>
                  <w:vAlign w:val="center"/>
                </w:tcPr>
                <w:p w14:paraId="38C6A886">
                  <w:pPr>
                    <w:adjustRightInd w:val="0"/>
                    <w:snapToGrid w:val="0"/>
                    <w:jc w:val="center"/>
                    <w:rPr>
                      <w:color w:val="auto"/>
                      <w:szCs w:val="21"/>
                      <w:highlight w:val="none"/>
                    </w:rPr>
                  </w:pPr>
                </w:p>
              </w:tc>
              <w:tc>
                <w:tcPr>
                  <w:tcW w:w="1275" w:type="pct"/>
                  <w:vAlign w:val="center"/>
                </w:tcPr>
                <w:p w14:paraId="3F195DEC">
                  <w:pPr>
                    <w:adjustRightInd w:val="0"/>
                    <w:snapToGrid w:val="0"/>
                    <w:jc w:val="center"/>
                    <w:rPr>
                      <w:color w:val="auto"/>
                      <w:szCs w:val="21"/>
                      <w:highlight w:val="none"/>
                    </w:rPr>
                  </w:pPr>
                  <w:r>
                    <w:rPr>
                      <w:color w:val="auto"/>
                      <w:szCs w:val="21"/>
                      <w:highlight w:val="none"/>
                    </w:rPr>
                    <w:t>20</w:t>
                  </w:r>
                </w:p>
              </w:tc>
              <w:tc>
                <w:tcPr>
                  <w:tcW w:w="1612" w:type="pct"/>
                  <w:tcBorders>
                    <w:left w:val="single" w:color="000000" w:sz="4" w:space="0"/>
                  </w:tcBorders>
                  <w:vAlign w:val="center"/>
                </w:tcPr>
                <w:p w14:paraId="18820B34">
                  <w:pPr>
                    <w:adjustRightInd w:val="0"/>
                    <w:snapToGrid w:val="0"/>
                    <w:jc w:val="center"/>
                    <w:rPr>
                      <w:color w:val="auto"/>
                      <w:szCs w:val="21"/>
                      <w:highlight w:val="none"/>
                    </w:rPr>
                  </w:pPr>
                  <w:r>
                    <w:rPr>
                      <w:color w:val="auto"/>
                      <w:szCs w:val="21"/>
                      <w:highlight w:val="none"/>
                    </w:rPr>
                    <w:t>监控点处任意一次浓度值</w:t>
                  </w:r>
                </w:p>
              </w:tc>
              <w:tc>
                <w:tcPr>
                  <w:tcW w:w="1269" w:type="pct"/>
                  <w:vMerge w:val="continue"/>
                  <w:tcBorders>
                    <w:left w:val="single" w:color="000000" w:sz="4" w:space="0"/>
                  </w:tcBorders>
                  <w:vAlign w:val="center"/>
                </w:tcPr>
                <w:p w14:paraId="2A9DF219">
                  <w:pPr>
                    <w:adjustRightInd w:val="0"/>
                    <w:snapToGrid w:val="0"/>
                    <w:jc w:val="center"/>
                    <w:rPr>
                      <w:color w:val="auto"/>
                      <w:szCs w:val="21"/>
                      <w:highlight w:val="none"/>
                    </w:rPr>
                  </w:pPr>
                </w:p>
              </w:tc>
            </w:tr>
          </w:tbl>
          <w:p w14:paraId="3C20BD14">
            <w:pPr>
              <w:pStyle w:val="102"/>
              <w:widowControl/>
              <w:spacing w:line="360" w:lineRule="auto"/>
              <w:ind w:firstLine="0" w:firstLineChars="0"/>
              <w:rPr>
                <w:b/>
                <w:color w:val="auto"/>
                <w:sz w:val="24"/>
                <w:highlight w:val="none"/>
              </w:rPr>
            </w:pPr>
            <w:r>
              <w:rPr>
                <w:rFonts w:hint="eastAsia"/>
                <w:b/>
                <w:color w:val="auto"/>
                <w:sz w:val="24"/>
                <w:highlight w:val="none"/>
                <w:lang w:val="en-US" w:eastAsia="zh-CN"/>
              </w:rPr>
              <w:t>2、</w:t>
            </w:r>
            <w:r>
              <w:rPr>
                <w:b/>
                <w:color w:val="auto"/>
                <w:sz w:val="24"/>
                <w:highlight w:val="none"/>
              </w:rPr>
              <w:t>废水</w:t>
            </w:r>
          </w:p>
          <w:p w14:paraId="2AB204F0">
            <w:pPr>
              <w:spacing w:line="360" w:lineRule="auto"/>
              <w:ind w:firstLine="480" w:firstLineChars="200"/>
              <w:rPr>
                <w:color w:val="auto"/>
                <w:sz w:val="24"/>
                <w:highlight w:val="none"/>
              </w:rPr>
            </w:pPr>
            <w:r>
              <w:rPr>
                <w:rFonts w:hint="eastAsia" w:ascii="Times New Roman" w:hAnsi="Times New Roman" w:eastAsia="宋体" w:cs="Times New Roman"/>
                <w:b w:val="0"/>
                <w:bCs w:val="0"/>
                <w:color w:val="auto"/>
                <w:kern w:val="0"/>
                <w:sz w:val="24"/>
                <w:szCs w:val="24"/>
                <w:highlight w:val="none"/>
                <w:lang w:val="en-US" w:eastAsia="zh-CN" w:bidi="ar"/>
              </w:rPr>
              <w:t>实验室质检废水、</w:t>
            </w:r>
            <w:r>
              <w:rPr>
                <w:rFonts w:hint="eastAsia" w:cs="Times New Roman"/>
                <w:b w:val="0"/>
                <w:bCs w:val="0"/>
                <w:color w:val="auto"/>
                <w:kern w:val="0"/>
                <w:sz w:val="24"/>
                <w:szCs w:val="24"/>
                <w:highlight w:val="none"/>
                <w:lang w:val="en-US" w:eastAsia="zh-CN" w:bidi="ar"/>
              </w:rPr>
              <w:t>瓶/桶/盖</w:t>
            </w:r>
            <w:r>
              <w:rPr>
                <w:rFonts w:hint="eastAsia" w:cs="Times New Roman"/>
                <w:color w:val="auto"/>
                <w:sz w:val="24"/>
                <w:szCs w:val="32"/>
                <w:highlight w:val="none"/>
                <w:lang w:eastAsia="zh-CN"/>
              </w:rPr>
              <w:t>清洗</w:t>
            </w:r>
            <w:r>
              <w:rPr>
                <w:rFonts w:hint="eastAsia" w:ascii="Times New Roman" w:hAnsi="Times New Roman" w:cs="Times New Roman"/>
                <w:color w:val="auto"/>
                <w:sz w:val="24"/>
                <w:szCs w:val="32"/>
                <w:highlight w:val="none"/>
                <w:lang w:eastAsia="zh-CN"/>
              </w:rPr>
              <w:t>废</w:t>
            </w:r>
            <w:r>
              <w:rPr>
                <w:rFonts w:hint="default" w:ascii="Times New Roman" w:hAnsi="Times New Roman" w:cs="Times New Roman"/>
                <w:color w:val="auto"/>
                <w:sz w:val="24"/>
                <w:szCs w:val="32"/>
                <w:highlight w:val="none"/>
              </w:rPr>
              <w:t>水</w:t>
            </w:r>
            <w:r>
              <w:rPr>
                <w:rFonts w:hint="eastAsia" w:cs="Times New Roman"/>
                <w:color w:val="auto"/>
                <w:sz w:val="24"/>
                <w:szCs w:val="32"/>
                <w:highlight w:val="none"/>
                <w:lang w:eastAsia="zh-CN"/>
              </w:rPr>
              <w:t>、反冲洗废水和纯净水制备浓水与生活污水、保洁废水</w:t>
            </w:r>
            <w:r>
              <w:rPr>
                <w:rFonts w:hint="eastAsia"/>
                <w:color w:val="auto"/>
                <w:sz w:val="24"/>
                <w:highlight w:val="none"/>
              </w:rPr>
              <w:t>通过</w:t>
            </w:r>
            <w:r>
              <w:rPr>
                <w:color w:val="auto"/>
                <w:sz w:val="24"/>
                <w:highlight w:val="none"/>
              </w:rPr>
              <w:t>市政管网排至</w:t>
            </w:r>
            <w:r>
              <w:rPr>
                <w:rFonts w:hint="eastAsia" w:ascii="Times New Roman" w:hAnsi="Times New Roman" w:cs="Times New Roman"/>
                <w:bCs/>
                <w:color w:val="auto"/>
                <w:sz w:val="24"/>
                <w:szCs w:val="24"/>
                <w:highlight w:val="none"/>
                <w:lang w:val="zh-CN"/>
              </w:rPr>
              <w:t>宿州市循环经济示范园污水处理厂</w:t>
            </w:r>
            <w:r>
              <w:rPr>
                <w:color w:val="auto"/>
                <w:sz w:val="24"/>
                <w:highlight w:val="none"/>
              </w:rPr>
              <w:t>，废水排放执行《污水综合排放标准》（GB8978-1996）中表4三级标准和</w:t>
            </w:r>
            <w:r>
              <w:rPr>
                <w:rFonts w:hint="eastAsia" w:ascii="Times New Roman" w:hAnsi="Times New Roman" w:cs="Times New Roman"/>
                <w:color w:val="auto"/>
                <w:sz w:val="24"/>
                <w:szCs w:val="24"/>
                <w:highlight w:val="none"/>
                <w:lang w:eastAsia="zh-CN"/>
              </w:rPr>
              <w:t>宿州市循环经济示范园污水处理厂</w:t>
            </w:r>
            <w:r>
              <w:rPr>
                <w:rFonts w:hint="default" w:ascii="Times New Roman" w:hAnsi="Times New Roman" w:cs="Times New Roman"/>
                <w:color w:val="auto"/>
                <w:sz w:val="24"/>
                <w:szCs w:val="24"/>
                <w:highlight w:val="none"/>
              </w:rPr>
              <w:t>接管</w:t>
            </w:r>
            <w:r>
              <w:rPr>
                <w:rFonts w:hint="eastAsia" w:ascii="Times New Roman" w:hAnsi="Times New Roman" w:cs="Times New Roman"/>
                <w:color w:val="auto"/>
                <w:sz w:val="24"/>
                <w:szCs w:val="24"/>
                <w:highlight w:val="none"/>
                <w:lang w:eastAsia="zh-CN"/>
              </w:rPr>
              <w:t>限值</w:t>
            </w:r>
            <w:r>
              <w:rPr>
                <w:rFonts w:hint="default" w:ascii="Times New Roman" w:hAnsi="Times New Roman" w:cs="Times New Roman"/>
                <w:color w:val="auto"/>
                <w:sz w:val="24"/>
                <w:szCs w:val="24"/>
                <w:highlight w:val="none"/>
              </w:rPr>
              <w:t>后排入</w:t>
            </w:r>
            <w:r>
              <w:rPr>
                <w:rFonts w:hint="eastAsia" w:ascii="Times New Roman" w:hAnsi="Times New Roman" w:cs="Times New Roman"/>
                <w:color w:val="auto"/>
                <w:sz w:val="24"/>
                <w:szCs w:val="24"/>
                <w:highlight w:val="none"/>
                <w:lang w:eastAsia="zh-CN"/>
              </w:rPr>
              <w:t>宿州市循环经济示范园污水处理厂</w:t>
            </w:r>
            <w:r>
              <w:rPr>
                <w:rFonts w:hint="default" w:ascii="Times New Roman" w:hAnsi="Times New Roman" w:cs="Times New Roman"/>
                <w:color w:val="auto"/>
                <w:sz w:val="24"/>
                <w:szCs w:val="24"/>
                <w:highlight w:val="none"/>
              </w:rPr>
              <w:t>处理达《城镇污水处理厂污染物排放标准》（GB18918-2002）表1中一级</w:t>
            </w:r>
            <w:r>
              <w:rPr>
                <w:rFonts w:hint="default" w:ascii="Times New Roman" w:hAnsi="Times New Roman" w:cs="Times New Roman"/>
                <w:color w:val="auto"/>
                <w:sz w:val="24"/>
                <w:szCs w:val="24"/>
                <w:highlight w:val="none"/>
                <w:lang w:eastAsia="zh-CN"/>
              </w:rPr>
              <w:t>标准</w:t>
            </w:r>
            <w:r>
              <w:rPr>
                <w:rFonts w:hint="default" w:ascii="Times New Roman" w:hAnsi="Times New Roman" w:cs="Times New Roman"/>
                <w:color w:val="auto"/>
                <w:sz w:val="24"/>
                <w:szCs w:val="24"/>
                <w:highlight w:val="none"/>
              </w:rPr>
              <w:t>A标准后排入</w:t>
            </w:r>
            <w:r>
              <w:rPr>
                <w:rFonts w:hint="eastAsia" w:ascii="Times New Roman" w:hAnsi="Times New Roman" w:cs="Times New Roman"/>
                <w:color w:val="auto"/>
                <w:sz w:val="24"/>
                <w:szCs w:val="24"/>
                <w:highlight w:val="none"/>
                <w:lang w:eastAsia="zh-CN"/>
              </w:rPr>
              <w:t>运粮河</w:t>
            </w:r>
            <w:r>
              <w:rPr>
                <w:color w:val="auto"/>
                <w:sz w:val="24"/>
                <w:highlight w:val="none"/>
              </w:rPr>
              <w:t>。</w:t>
            </w:r>
          </w:p>
          <w:p w14:paraId="215BE7B8">
            <w:pPr>
              <w:jc w:val="center"/>
              <w:rPr>
                <w:b/>
                <w:color w:val="auto"/>
                <w:sz w:val="24"/>
                <w:highlight w:val="none"/>
                <w:lang w:val="zh-CN"/>
              </w:rPr>
            </w:pPr>
            <w:r>
              <w:rPr>
                <w:b/>
                <w:color w:val="auto"/>
                <w:sz w:val="24"/>
                <w:highlight w:val="none"/>
                <w:lang w:val="zh-CN"/>
              </w:rPr>
              <w:t>表3</w:t>
            </w:r>
            <w:r>
              <w:rPr>
                <w:b/>
                <w:color w:val="auto"/>
                <w:sz w:val="24"/>
                <w:highlight w:val="none"/>
              </w:rPr>
              <w:t>-</w:t>
            </w:r>
            <w:r>
              <w:rPr>
                <w:rFonts w:hint="eastAsia"/>
                <w:b/>
                <w:color w:val="auto"/>
                <w:sz w:val="24"/>
                <w:highlight w:val="none"/>
                <w:lang w:val="en-US" w:eastAsia="zh-CN"/>
              </w:rPr>
              <w:t>6</w:t>
            </w:r>
            <w:r>
              <w:rPr>
                <w:rFonts w:hint="eastAsia"/>
                <w:b/>
                <w:color w:val="auto"/>
                <w:sz w:val="24"/>
                <w:highlight w:val="none"/>
              </w:rPr>
              <w:t xml:space="preserve"> </w:t>
            </w:r>
            <w:r>
              <w:rPr>
                <w:b/>
                <w:color w:val="auto"/>
                <w:sz w:val="24"/>
                <w:highlight w:val="none"/>
                <w:lang w:val="zh-CN"/>
              </w:rPr>
              <w:t>废水排放标准 单位：mg/L（pH 为无量纲）</w:t>
            </w:r>
          </w:p>
          <w:tbl>
            <w:tblPr>
              <w:tblStyle w:val="3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948"/>
              <w:gridCol w:w="1837"/>
              <w:gridCol w:w="1554"/>
              <w:gridCol w:w="1241"/>
              <w:gridCol w:w="2724"/>
            </w:tblGrid>
            <w:tr w14:paraId="5C28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0BD12D1">
                  <w:pPr>
                    <w:pStyle w:val="371"/>
                    <w:jc w:val="center"/>
                    <w:rPr>
                      <w:rFonts w:ascii="Times New Roman" w:hAnsi="Times New Roman" w:cs="Times New Roman"/>
                      <w:bCs w:val="0"/>
                      <w:snapToGrid w:val="0"/>
                      <w:color w:val="auto"/>
                      <w:kern w:val="2"/>
                      <w:sz w:val="21"/>
                      <w:highlight w:val="none"/>
                      <w:lang w:val="zh-CN"/>
                    </w:rPr>
                  </w:pPr>
                  <w:r>
                    <w:rPr>
                      <w:rFonts w:ascii="Times New Roman" w:hAnsi="Times New Roman" w:cs="Times New Roman"/>
                      <w:bCs w:val="0"/>
                      <w:snapToGrid w:val="0"/>
                      <w:color w:val="auto"/>
                      <w:sz w:val="21"/>
                      <w:highlight w:val="none"/>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08C22120">
                  <w:pPr>
                    <w:pStyle w:val="371"/>
                    <w:jc w:val="center"/>
                    <w:rPr>
                      <w:rFonts w:ascii="Times New Roman" w:hAnsi="Times New Roman" w:cs="Times New Roman"/>
                      <w:bCs w:val="0"/>
                      <w:snapToGrid w:val="0"/>
                      <w:color w:val="auto"/>
                      <w:kern w:val="2"/>
                      <w:sz w:val="21"/>
                      <w:highlight w:val="none"/>
                      <w:lang w:val="zh-CN"/>
                    </w:rPr>
                  </w:pPr>
                  <w:r>
                    <w:rPr>
                      <w:rFonts w:ascii="Times New Roman" w:hAnsi="Times New Roman" w:cs="Times New Roman"/>
                      <w:bCs w:val="0"/>
                      <w:snapToGrid w:val="0"/>
                      <w:color w:val="auto"/>
                      <w:sz w:val="21"/>
                      <w:highlight w:val="none"/>
                    </w:rPr>
                    <w:t>污染物</w:t>
                  </w:r>
                </w:p>
              </w:tc>
              <w:tc>
                <w:tcPr>
                  <w:tcW w:w="1837" w:type="dxa"/>
                  <w:tcBorders>
                    <w:top w:val="single" w:color="auto" w:sz="4" w:space="0"/>
                    <w:left w:val="single" w:color="auto" w:sz="4" w:space="0"/>
                    <w:bottom w:val="single" w:color="auto" w:sz="4" w:space="0"/>
                    <w:right w:val="single" w:color="auto" w:sz="4" w:space="0"/>
                  </w:tcBorders>
                  <w:vAlign w:val="center"/>
                </w:tcPr>
                <w:p w14:paraId="554ACAD8">
                  <w:pPr>
                    <w:pStyle w:val="371"/>
                    <w:jc w:val="center"/>
                    <w:rPr>
                      <w:rFonts w:ascii="Times New Roman" w:hAnsi="Times New Roman" w:cs="Times New Roman"/>
                      <w:bCs w:val="0"/>
                      <w:snapToGrid w:val="0"/>
                      <w:color w:val="auto"/>
                      <w:kern w:val="2"/>
                      <w:sz w:val="21"/>
                      <w:highlight w:val="none"/>
                      <w:lang w:val="zh-CN"/>
                    </w:rPr>
                  </w:pPr>
                  <w:r>
                    <w:rPr>
                      <w:rFonts w:ascii="Times New Roman" w:hAnsi="Times New Roman" w:cs="Times New Roman"/>
                      <w:bCs w:val="0"/>
                      <w:snapToGrid w:val="0"/>
                      <w:color w:val="auto"/>
                      <w:sz w:val="21"/>
                      <w:highlight w:val="none"/>
                    </w:rPr>
                    <w:t>《污水综合排放标准》（GB8978-1996）三级标准</w:t>
                  </w:r>
                </w:p>
              </w:tc>
              <w:tc>
                <w:tcPr>
                  <w:tcW w:w="1554" w:type="dxa"/>
                  <w:tcBorders>
                    <w:top w:val="single" w:color="auto" w:sz="4" w:space="0"/>
                    <w:left w:val="single" w:color="auto" w:sz="4" w:space="0"/>
                    <w:bottom w:val="single" w:color="auto" w:sz="4" w:space="0"/>
                    <w:right w:val="single" w:color="auto" w:sz="4" w:space="0"/>
                  </w:tcBorders>
                  <w:vAlign w:val="center"/>
                </w:tcPr>
                <w:p w14:paraId="39D0C80B">
                  <w:pPr>
                    <w:jc w:val="center"/>
                    <w:rPr>
                      <w:color w:val="auto"/>
                      <w:szCs w:val="21"/>
                      <w:highlight w:val="none"/>
                      <w:lang w:val="zh-CN"/>
                    </w:rPr>
                  </w:pPr>
                  <w:r>
                    <w:rPr>
                      <w:rFonts w:hint="eastAsia" w:ascii="Times New Roman" w:hAnsi="Times New Roman" w:cs="Times New Roman"/>
                      <w:color w:val="auto"/>
                      <w:sz w:val="21"/>
                      <w:szCs w:val="21"/>
                      <w:highlight w:val="none"/>
                      <w:lang w:eastAsia="zh-CN"/>
                    </w:rPr>
                    <w:t>宿州市循环经济示范园污水处理厂</w:t>
                  </w:r>
                  <w:r>
                    <w:rPr>
                      <w:color w:val="auto"/>
                      <w:szCs w:val="21"/>
                      <w:highlight w:val="none"/>
                    </w:rPr>
                    <w:t>接管标准</w:t>
                  </w:r>
                </w:p>
              </w:tc>
              <w:tc>
                <w:tcPr>
                  <w:tcW w:w="1241" w:type="dxa"/>
                  <w:tcBorders>
                    <w:top w:val="single" w:color="auto" w:sz="4" w:space="0"/>
                    <w:left w:val="single" w:color="auto" w:sz="4" w:space="0"/>
                    <w:bottom w:val="single" w:color="auto" w:sz="4" w:space="0"/>
                    <w:right w:val="single" w:color="auto" w:sz="4" w:space="0"/>
                  </w:tcBorders>
                  <w:vAlign w:val="center"/>
                </w:tcPr>
                <w:p w14:paraId="318BC147">
                  <w:pPr>
                    <w:jc w:val="center"/>
                    <w:rPr>
                      <w:color w:val="auto"/>
                      <w:szCs w:val="21"/>
                      <w:highlight w:val="none"/>
                      <w:lang w:val="zh-CN"/>
                    </w:rPr>
                  </w:pPr>
                  <w:r>
                    <w:rPr>
                      <w:snapToGrid w:val="0"/>
                      <w:color w:val="auto"/>
                      <w:szCs w:val="21"/>
                      <w:highlight w:val="none"/>
                    </w:rPr>
                    <w:t>本项目执行标准</w:t>
                  </w:r>
                </w:p>
              </w:tc>
              <w:tc>
                <w:tcPr>
                  <w:tcW w:w="2724" w:type="dxa"/>
                  <w:tcBorders>
                    <w:top w:val="single" w:color="auto" w:sz="4" w:space="0"/>
                    <w:left w:val="single" w:color="auto" w:sz="4" w:space="0"/>
                    <w:bottom w:val="single" w:color="auto" w:sz="4" w:space="0"/>
                    <w:right w:val="single" w:color="auto" w:sz="4" w:space="0"/>
                  </w:tcBorders>
                  <w:vAlign w:val="center"/>
                </w:tcPr>
                <w:p w14:paraId="587E0065">
                  <w:pPr>
                    <w:jc w:val="center"/>
                    <w:rPr>
                      <w:color w:val="auto"/>
                      <w:szCs w:val="21"/>
                      <w:highlight w:val="none"/>
                      <w:lang w:val="zh-CN"/>
                    </w:rPr>
                  </w:pPr>
                  <w:r>
                    <w:rPr>
                      <w:color w:val="auto"/>
                      <w:szCs w:val="21"/>
                      <w:highlight w:val="none"/>
                    </w:rPr>
                    <w:t>《城镇污水处理厂污染物排放标准》（GB18918-2002）中的一级A标准</w:t>
                  </w:r>
                </w:p>
              </w:tc>
            </w:tr>
            <w:tr w14:paraId="62A9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1AD6C9C">
                  <w:pPr>
                    <w:pStyle w:val="371"/>
                    <w:jc w:val="center"/>
                    <w:rPr>
                      <w:rFonts w:ascii="Times New Roman" w:hAnsi="Times New Roman" w:cs="Times New Roman"/>
                      <w:bCs w:val="0"/>
                      <w:snapToGrid w:val="0"/>
                      <w:color w:val="auto"/>
                      <w:kern w:val="2"/>
                      <w:sz w:val="21"/>
                      <w:highlight w:val="none"/>
                      <w:lang w:val="zh-CN"/>
                    </w:rPr>
                  </w:pPr>
                  <w:r>
                    <w:rPr>
                      <w:rFonts w:ascii="Times New Roman" w:hAnsi="Times New Roman" w:cs="Times New Roman"/>
                      <w:bCs w:val="0"/>
                      <w:snapToGrid w:val="0"/>
                      <w:color w:val="auto"/>
                      <w:sz w:val="21"/>
                      <w:highlight w:val="none"/>
                    </w:rPr>
                    <w:t>1</w:t>
                  </w:r>
                </w:p>
              </w:tc>
              <w:tc>
                <w:tcPr>
                  <w:tcW w:w="948" w:type="dxa"/>
                  <w:tcBorders>
                    <w:top w:val="single" w:color="auto" w:sz="4" w:space="0"/>
                    <w:left w:val="single" w:color="auto" w:sz="4" w:space="0"/>
                    <w:bottom w:val="single" w:color="auto" w:sz="4" w:space="0"/>
                    <w:right w:val="single" w:color="auto" w:sz="4" w:space="0"/>
                  </w:tcBorders>
                  <w:vAlign w:val="center"/>
                </w:tcPr>
                <w:p w14:paraId="0DADF51F">
                  <w:pPr>
                    <w:pStyle w:val="371"/>
                    <w:jc w:val="center"/>
                    <w:rPr>
                      <w:rFonts w:ascii="Times New Roman" w:hAnsi="Times New Roman" w:cs="Times New Roman"/>
                      <w:bCs w:val="0"/>
                      <w:snapToGrid w:val="0"/>
                      <w:color w:val="auto"/>
                      <w:kern w:val="2"/>
                      <w:sz w:val="21"/>
                      <w:highlight w:val="none"/>
                      <w:lang w:val="zh-CN"/>
                    </w:rPr>
                  </w:pPr>
                  <w:r>
                    <w:rPr>
                      <w:rFonts w:ascii="Times New Roman" w:hAnsi="Times New Roman" w:cs="Times New Roman"/>
                      <w:bCs w:val="0"/>
                      <w:snapToGrid w:val="0"/>
                      <w:color w:val="auto"/>
                      <w:sz w:val="21"/>
                      <w:highlight w:val="none"/>
                    </w:rPr>
                    <w:t>pH</w:t>
                  </w:r>
                </w:p>
              </w:tc>
              <w:tc>
                <w:tcPr>
                  <w:tcW w:w="1837" w:type="dxa"/>
                  <w:tcBorders>
                    <w:top w:val="single" w:color="auto" w:sz="4" w:space="0"/>
                    <w:left w:val="single" w:color="auto" w:sz="4" w:space="0"/>
                    <w:bottom w:val="single" w:color="auto" w:sz="4" w:space="0"/>
                    <w:right w:val="single" w:color="auto" w:sz="4" w:space="0"/>
                  </w:tcBorders>
                  <w:vAlign w:val="center"/>
                </w:tcPr>
                <w:p w14:paraId="6CE816BE">
                  <w:pPr>
                    <w:jc w:val="center"/>
                    <w:rPr>
                      <w:color w:val="auto"/>
                      <w:szCs w:val="21"/>
                      <w:highlight w:val="none"/>
                    </w:rPr>
                  </w:pPr>
                  <w:r>
                    <w:rPr>
                      <w:color w:val="auto"/>
                      <w:szCs w:val="21"/>
                      <w:highlight w:val="none"/>
                    </w:rPr>
                    <w:t>6-9</w:t>
                  </w:r>
                </w:p>
              </w:tc>
              <w:tc>
                <w:tcPr>
                  <w:tcW w:w="1554" w:type="dxa"/>
                  <w:tcBorders>
                    <w:top w:val="single" w:color="auto" w:sz="4" w:space="0"/>
                    <w:left w:val="single" w:color="auto" w:sz="4" w:space="0"/>
                    <w:bottom w:val="single" w:color="auto" w:sz="4" w:space="0"/>
                    <w:right w:val="single" w:color="auto" w:sz="4" w:space="0"/>
                  </w:tcBorders>
                  <w:vAlign w:val="center"/>
                </w:tcPr>
                <w:p w14:paraId="5C2BB4F3">
                  <w:pPr>
                    <w:jc w:val="center"/>
                    <w:rPr>
                      <w:color w:val="auto"/>
                      <w:szCs w:val="21"/>
                      <w:highlight w:val="none"/>
                    </w:rPr>
                  </w:pPr>
                  <w:r>
                    <w:rPr>
                      <w:color w:val="auto"/>
                      <w:szCs w:val="21"/>
                      <w:highlight w:val="none"/>
                    </w:rPr>
                    <w:t>6-9</w:t>
                  </w:r>
                </w:p>
              </w:tc>
              <w:tc>
                <w:tcPr>
                  <w:tcW w:w="1241" w:type="dxa"/>
                  <w:tcBorders>
                    <w:top w:val="single" w:color="auto" w:sz="4" w:space="0"/>
                    <w:left w:val="single" w:color="auto" w:sz="4" w:space="0"/>
                    <w:bottom w:val="single" w:color="auto" w:sz="4" w:space="0"/>
                    <w:right w:val="single" w:color="auto" w:sz="4" w:space="0"/>
                  </w:tcBorders>
                  <w:vAlign w:val="center"/>
                </w:tcPr>
                <w:p w14:paraId="5ECF0A5B">
                  <w:pPr>
                    <w:jc w:val="center"/>
                    <w:rPr>
                      <w:color w:val="auto"/>
                      <w:szCs w:val="21"/>
                      <w:highlight w:val="none"/>
                    </w:rPr>
                  </w:pPr>
                  <w:r>
                    <w:rPr>
                      <w:color w:val="auto"/>
                      <w:szCs w:val="21"/>
                      <w:highlight w:val="none"/>
                    </w:rPr>
                    <w:t>6-9</w:t>
                  </w:r>
                </w:p>
              </w:tc>
              <w:tc>
                <w:tcPr>
                  <w:tcW w:w="2724" w:type="dxa"/>
                  <w:tcBorders>
                    <w:top w:val="single" w:color="auto" w:sz="4" w:space="0"/>
                    <w:left w:val="single" w:color="auto" w:sz="4" w:space="0"/>
                    <w:bottom w:val="single" w:color="auto" w:sz="4" w:space="0"/>
                    <w:right w:val="single" w:color="auto" w:sz="4" w:space="0"/>
                  </w:tcBorders>
                  <w:vAlign w:val="center"/>
                </w:tcPr>
                <w:p w14:paraId="61EA5B94">
                  <w:pPr>
                    <w:jc w:val="center"/>
                    <w:rPr>
                      <w:color w:val="auto"/>
                      <w:szCs w:val="21"/>
                      <w:highlight w:val="none"/>
                    </w:rPr>
                  </w:pPr>
                  <w:r>
                    <w:rPr>
                      <w:color w:val="auto"/>
                      <w:szCs w:val="21"/>
                      <w:highlight w:val="none"/>
                    </w:rPr>
                    <w:t>6-9</w:t>
                  </w:r>
                </w:p>
              </w:tc>
            </w:tr>
            <w:tr w14:paraId="3038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A613875">
                  <w:pPr>
                    <w:pStyle w:val="371"/>
                    <w:jc w:val="center"/>
                    <w:rPr>
                      <w:rFonts w:ascii="Times New Roman" w:hAnsi="Times New Roman" w:cs="Times New Roman"/>
                      <w:bCs w:val="0"/>
                      <w:snapToGrid w:val="0"/>
                      <w:color w:val="auto"/>
                      <w:kern w:val="2"/>
                      <w:sz w:val="21"/>
                      <w:highlight w:val="none"/>
                      <w:lang w:val="zh-CN"/>
                    </w:rPr>
                  </w:pPr>
                  <w:r>
                    <w:rPr>
                      <w:rFonts w:ascii="Times New Roman" w:hAnsi="Times New Roman" w:cs="Times New Roman"/>
                      <w:bCs w:val="0"/>
                      <w:snapToGrid w:val="0"/>
                      <w:color w:val="auto"/>
                      <w:sz w:val="21"/>
                      <w:highlight w:val="none"/>
                    </w:rPr>
                    <w:t>2</w:t>
                  </w:r>
                </w:p>
              </w:tc>
              <w:tc>
                <w:tcPr>
                  <w:tcW w:w="948" w:type="dxa"/>
                  <w:tcBorders>
                    <w:top w:val="single" w:color="auto" w:sz="4" w:space="0"/>
                    <w:left w:val="single" w:color="auto" w:sz="4" w:space="0"/>
                    <w:bottom w:val="single" w:color="auto" w:sz="4" w:space="0"/>
                    <w:right w:val="single" w:color="auto" w:sz="4" w:space="0"/>
                  </w:tcBorders>
                  <w:vAlign w:val="center"/>
                </w:tcPr>
                <w:p w14:paraId="7ECB7501">
                  <w:pPr>
                    <w:pStyle w:val="371"/>
                    <w:jc w:val="center"/>
                    <w:rPr>
                      <w:rFonts w:ascii="Times New Roman" w:hAnsi="Times New Roman" w:cs="Times New Roman"/>
                      <w:bCs w:val="0"/>
                      <w:snapToGrid w:val="0"/>
                      <w:color w:val="auto"/>
                      <w:kern w:val="2"/>
                      <w:sz w:val="21"/>
                      <w:highlight w:val="none"/>
                      <w:lang w:val="zh-CN"/>
                    </w:rPr>
                  </w:pPr>
                  <w:r>
                    <w:rPr>
                      <w:rFonts w:ascii="Times New Roman" w:hAnsi="Times New Roman" w:cs="Times New Roman"/>
                      <w:bCs w:val="0"/>
                      <w:snapToGrid w:val="0"/>
                      <w:color w:val="auto"/>
                      <w:sz w:val="21"/>
                      <w:highlight w:val="none"/>
                    </w:rPr>
                    <w:t>COD</w:t>
                  </w:r>
                </w:p>
              </w:tc>
              <w:tc>
                <w:tcPr>
                  <w:tcW w:w="1837" w:type="dxa"/>
                  <w:tcBorders>
                    <w:top w:val="single" w:color="auto" w:sz="4" w:space="0"/>
                    <w:left w:val="single" w:color="auto" w:sz="4" w:space="0"/>
                    <w:bottom w:val="single" w:color="auto" w:sz="4" w:space="0"/>
                    <w:right w:val="single" w:color="auto" w:sz="4" w:space="0"/>
                  </w:tcBorders>
                  <w:vAlign w:val="center"/>
                </w:tcPr>
                <w:p w14:paraId="45A33815">
                  <w:pPr>
                    <w:jc w:val="center"/>
                    <w:rPr>
                      <w:color w:val="auto"/>
                      <w:szCs w:val="21"/>
                      <w:highlight w:val="none"/>
                    </w:rPr>
                  </w:pPr>
                  <w:r>
                    <w:rPr>
                      <w:color w:val="auto"/>
                      <w:szCs w:val="21"/>
                      <w:highlight w:val="none"/>
                    </w:rPr>
                    <w:t>500</w:t>
                  </w:r>
                </w:p>
              </w:tc>
              <w:tc>
                <w:tcPr>
                  <w:tcW w:w="1554" w:type="dxa"/>
                  <w:tcBorders>
                    <w:top w:val="single" w:color="auto" w:sz="4" w:space="0"/>
                    <w:left w:val="single" w:color="auto" w:sz="4" w:space="0"/>
                    <w:bottom w:val="single" w:color="auto" w:sz="4" w:space="0"/>
                    <w:right w:val="single" w:color="auto" w:sz="4" w:space="0"/>
                  </w:tcBorders>
                  <w:vAlign w:val="center"/>
                </w:tcPr>
                <w:p w14:paraId="5BE99190">
                  <w:pPr>
                    <w:jc w:val="center"/>
                    <w:rPr>
                      <w:color w:val="auto"/>
                      <w:szCs w:val="21"/>
                      <w:highlight w:val="none"/>
                    </w:rPr>
                  </w:pPr>
                  <w:r>
                    <w:rPr>
                      <w:rFonts w:hint="eastAsia"/>
                      <w:color w:val="auto"/>
                      <w:szCs w:val="21"/>
                      <w:highlight w:val="none"/>
                      <w:lang w:val="en-US" w:eastAsia="zh-CN"/>
                    </w:rPr>
                    <w:t>50</w:t>
                  </w:r>
                  <w:r>
                    <w:rPr>
                      <w:rFonts w:hint="eastAsia"/>
                      <w:color w:val="auto"/>
                      <w:szCs w:val="21"/>
                      <w:highlight w:val="none"/>
                    </w:rPr>
                    <w:t>0</w:t>
                  </w:r>
                </w:p>
              </w:tc>
              <w:tc>
                <w:tcPr>
                  <w:tcW w:w="1241" w:type="dxa"/>
                  <w:tcBorders>
                    <w:top w:val="single" w:color="auto" w:sz="4" w:space="0"/>
                    <w:left w:val="single" w:color="auto" w:sz="4" w:space="0"/>
                    <w:bottom w:val="single" w:color="auto" w:sz="4" w:space="0"/>
                    <w:right w:val="single" w:color="auto" w:sz="4" w:space="0"/>
                  </w:tcBorders>
                  <w:vAlign w:val="center"/>
                </w:tcPr>
                <w:p w14:paraId="74A97A1B">
                  <w:pPr>
                    <w:jc w:val="center"/>
                    <w:rPr>
                      <w:rFonts w:hint="default" w:eastAsia="宋体"/>
                      <w:color w:val="auto"/>
                      <w:szCs w:val="21"/>
                      <w:highlight w:val="none"/>
                      <w:lang w:val="en-US" w:eastAsia="zh-CN"/>
                    </w:rPr>
                  </w:pPr>
                  <w:r>
                    <w:rPr>
                      <w:rFonts w:hint="eastAsia"/>
                      <w:color w:val="auto"/>
                      <w:szCs w:val="21"/>
                      <w:highlight w:val="none"/>
                      <w:lang w:val="en-US" w:eastAsia="zh-CN"/>
                    </w:rPr>
                    <w:t>50</w:t>
                  </w:r>
                  <w:r>
                    <w:rPr>
                      <w:rFonts w:hint="eastAsia"/>
                      <w:color w:val="auto"/>
                      <w:szCs w:val="21"/>
                      <w:highlight w:val="none"/>
                    </w:rPr>
                    <w:t>0</w:t>
                  </w:r>
                </w:p>
              </w:tc>
              <w:tc>
                <w:tcPr>
                  <w:tcW w:w="2724" w:type="dxa"/>
                  <w:tcBorders>
                    <w:top w:val="single" w:color="auto" w:sz="4" w:space="0"/>
                    <w:left w:val="single" w:color="auto" w:sz="4" w:space="0"/>
                    <w:bottom w:val="single" w:color="auto" w:sz="4" w:space="0"/>
                    <w:right w:val="single" w:color="auto" w:sz="4" w:space="0"/>
                  </w:tcBorders>
                  <w:vAlign w:val="center"/>
                </w:tcPr>
                <w:p w14:paraId="5C27FC45">
                  <w:pPr>
                    <w:jc w:val="center"/>
                    <w:rPr>
                      <w:rFonts w:hint="default" w:eastAsia="宋体"/>
                      <w:color w:val="auto"/>
                      <w:szCs w:val="21"/>
                      <w:highlight w:val="none"/>
                      <w:lang w:val="en-US" w:eastAsia="zh-CN"/>
                    </w:rPr>
                  </w:pPr>
                  <w:r>
                    <w:rPr>
                      <w:rFonts w:hint="eastAsia"/>
                      <w:color w:val="auto"/>
                      <w:szCs w:val="21"/>
                      <w:highlight w:val="none"/>
                      <w:lang w:val="en-US" w:eastAsia="zh-CN"/>
                    </w:rPr>
                    <w:t>50</w:t>
                  </w:r>
                </w:p>
              </w:tc>
            </w:tr>
            <w:tr w14:paraId="7B70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2EB8A4D">
                  <w:pPr>
                    <w:pStyle w:val="371"/>
                    <w:jc w:val="center"/>
                    <w:rPr>
                      <w:rFonts w:ascii="Times New Roman" w:hAnsi="Times New Roman" w:cs="Times New Roman"/>
                      <w:bCs w:val="0"/>
                      <w:snapToGrid w:val="0"/>
                      <w:color w:val="auto"/>
                      <w:kern w:val="2"/>
                      <w:sz w:val="21"/>
                      <w:highlight w:val="none"/>
                    </w:rPr>
                  </w:pPr>
                  <w:r>
                    <w:rPr>
                      <w:rFonts w:ascii="Times New Roman" w:hAnsi="Times New Roman" w:cs="Times New Roman"/>
                      <w:bCs w:val="0"/>
                      <w:snapToGrid w:val="0"/>
                      <w:color w:val="auto"/>
                      <w:sz w:val="21"/>
                      <w:highlight w:val="none"/>
                    </w:rPr>
                    <w:t>3</w:t>
                  </w:r>
                </w:p>
              </w:tc>
              <w:tc>
                <w:tcPr>
                  <w:tcW w:w="948" w:type="dxa"/>
                  <w:tcBorders>
                    <w:top w:val="single" w:color="auto" w:sz="4" w:space="0"/>
                    <w:left w:val="single" w:color="auto" w:sz="4" w:space="0"/>
                    <w:bottom w:val="single" w:color="auto" w:sz="4" w:space="0"/>
                    <w:right w:val="single" w:color="auto" w:sz="4" w:space="0"/>
                  </w:tcBorders>
                  <w:vAlign w:val="center"/>
                </w:tcPr>
                <w:p w14:paraId="08FCA4DF">
                  <w:pPr>
                    <w:pStyle w:val="371"/>
                    <w:jc w:val="center"/>
                    <w:rPr>
                      <w:rFonts w:ascii="Times New Roman" w:hAnsi="Times New Roman" w:cs="Times New Roman"/>
                      <w:bCs w:val="0"/>
                      <w:snapToGrid w:val="0"/>
                      <w:color w:val="auto"/>
                      <w:sz w:val="21"/>
                      <w:highlight w:val="none"/>
                    </w:rPr>
                  </w:pPr>
                  <w:r>
                    <w:rPr>
                      <w:rFonts w:ascii="Times New Roman" w:hAnsi="Times New Roman" w:cs="Times New Roman"/>
                      <w:bCs w:val="0"/>
                      <w:snapToGrid w:val="0"/>
                      <w:color w:val="auto"/>
                      <w:sz w:val="21"/>
                      <w:highlight w:val="none"/>
                    </w:rPr>
                    <w:t>BOD</w:t>
                  </w:r>
                  <w:r>
                    <w:rPr>
                      <w:rFonts w:ascii="Times New Roman" w:hAnsi="Times New Roman" w:cs="Times New Roman"/>
                      <w:bCs w:val="0"/>
                      <w:snapToGrid w:val="0"/>
                      <w:color w:val="auto"/>
                      <w:sz w:val="21"/>
                      <w:highlight w:val="none"/>
                      <w:vertAlign w:val="subscript"/>
                    </w:rPr>
                    <w:t>5</w:t>
                  </w:r>
                </w:p>
              </w:tc>
              <w:tc>
                <w:tcPr>
                  <w:tcW w:w="1837" w:type="dxa"/>
                  <w:tcBorders>
                    <w:top w:val="single" w:color="auto" w:sz="4" w:space="0"/>
                    <w:left w:val="single" w:color="auto" w:sz="4" w:space="0"/>
                    <w:bottom w:val="single" w:color="auto" w:sz="4" w:space="0"/>
                    <w:right w:val="single" w:color="auto" w:sz="4" w:space="0"/>
                  </w:tcBorders>
                  <w:vAlign w:val="center"/>
                </w:tcPr>
                <w:p w14:paraId="3F30F73A">
                  <w:pPr>
                    <w:jc w:val="center"/>
                    <w:rPr>
                      <w:color w:val="auto"/>
                      <w:szCs w:val="21"/>
                      <w:highlight w:val="none"/>
                    </w:rPr>
                  </w:pPr>
                  <w:r>
                    <w:rPr>
                      <w:color w:val="auto"/>
                      <w:szCs w:val="21"/>
                      <w:highlight w:val="none"/>
                    </w:rPr>
                    <w:t>300</w:t>
                  </w:r>
                </w:p>
              </w:tc>
              <w:tc>
                <w:tcPr>
                  <w:tcW w:w="1554" w:type="dxa"/>
                  <w:tcBorders>
                    <w:top w:val="single" w:color="auto" w:sz="4" w:space="0"/>
                    <w:left w:val="single" w:color="auto" w:sz="4" w:space="0"/>
                    <w:bottom w:val="single" w:color="auto" w:sz="4" w:space="0"/>
                    <w:right w:val="single" w:color="auto" w:sz="4" w:space="0"/>
                  </w:tcBorders>
                  <w:vAlign w:val="center"/>
                </w:tcPr>
                <w:p w14:paraId="0A8CE497">
                  <w:pPr>
                    <w:jc w:val="center"/>
                    <w:rPr>
                      <w:rFonts w:hint="default" w:eastAsia="宋体"/>
                      <w:color w:val="auto"/>
                      <w:szCs w:val="21"/>
                      <w:highlight w:val="none"/>
                      <w:lang w:val="en-US" w:eastAsia="zh-CN"/>
                    </w:rPr>
                  </w:pPr>
                  <w:r>
                    <w:rPr>
                      <w:rFonts w:hint="eastAsia"/>
                      <w:color w:val="auto"/>
                      <w:szCs w:val="21"/>
                      <w:highlight w:val="none"/>
                      <w:lang w:val="en-US" w:eastAsia="zh-CN"/>
                    </w:rPr>
                    <w:t>150</w:t>
                  </w:r>
                </w:p>
              </w:tc>
              <w:tc>
                <w:tcPr>
                  <w:tcW w:w="1241" w:type="dxa"/>
                  <w:tcBorders>
                    <w:top w:val="single" w:color="auto" w:sz="4" w:space="0"/>
                    <w:left w:val="single" w:color="auto" w:sz="4" w:space="0"/>
                    <w:bottom w:val="single" w:color="auto" w:sz="4" w:space="0"/>
                    <w:right w:val="single" w:color="auto" w:sz="4" w:space="0"/>
                  </w:tcBorders>
                  <w:vAlign w:val="center"/>
                </w:tcPr>
                <w:p w14:paraId="6995A82E">
                  <w:pPr>
                    <w:jc w:val="center"/>
                    <w:rPr>
                      <w:rFonts w:hint="default" w:eastAsia="宋体"/>
                      <w:color w:val="auto"/>
                      <w:szCs w:val="21"/>
                      <w:highlight w:val="none"/>
                      <w:lang w:val="en-US" w:eastAsia="zh-CN"/>
                    </w:rPr>
                  </w:pPr>
                  <w:r>
                    <w:rPr>
                      <w:rFonts w:hint="eastAsia"/>
                      <w:color w:val="auto"/>
                      <w:szCs w:val="21"/>
                      <w:highlight w:val="none"/>
                      <w:lang w:val="en-US" w:eastAsia="zh-CN"/>
                    </w:rPr>
                    <w:t>150</w:t>
                  </w:r>
                </w:p>
              </w:tc>
              <w:tc>
                <w:tcPr>
                  <w:tcW w:w="2724" w:type="dxa"/>
                  <w:tcBorders>
                    <w:top w:val="single" w:color="auto" w:sz="4" w:space="0"/>
                    <w:left w:val="single" w:color="auto" w:sz="4" w:space="0"/>
                    <w:bottom w:val="single" w:color="auto" w:sz="4" w:space="0"/>
                    <w:right w:val="single" w:color="auto" w:sz="4" w:space="0"/>
                  </w:tcBorders>
                  <w:vAlign w:val="center"/>
                </w:tcPr>
                <w:p w14:paraId="3284B158">
                  <w:pPr>
                    <w:jc w:val="center"/>
                    <w:rPr>
                      <w:rFonts w:hint="default" w:eastAsia="宋体"/>
                      <w:color w:val="auto"/>
                      <w:szCs w:val="21"/>
                      <w:highlight w:val="none"/>
                      <w:lang w:val="en-US" w:eastAsia="zh-CN"/>
                    </w:rPr>
                  </w:pPr>
                  <w:r>
                    <w:rPr>
                      <w:rFonts w:hint="eastAsia"/>
                      <w:color w:val="auto"/>
                      <w:szCs w:val="21"/>
                      <w:highlight w:val="none"/>
                      <w:lang w:val="en-US" w:eastAsia="zh-CN"/>
                    </w:rPr>
                    <w:t>10</w:t>
                  </w:r>
                </w:p>
              </w:tc>
            </w:tr>
            <w:tr w14:paraId="67E7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E41C156">
                  <w:pPr>
                    <w:pStyle w:val="371"/>
                    <w:jc w:val="center"/>
                    <w:rPr>
                      <w:rFonts w:ascii="Times New Roman" w:hAnsi="Times New Roman" w:cs="Times New Roman"/>
                      <w:bCs w:val="0"/>
                      <w:snapToGrid w:val="0"/>
                      <w:color w:val="auto"/>
                      <w:kern w:val="2"/>
                      <w:sz w:val="21"/>
                      <w:highlight w:val="none"/>
                      <w:lang w:val="zh-CN"/>
                    </w:rPr>
                  </w:pPr>
                  <w:r>
                    <w:rPr>
                      <w:rFonts w:ascii="Times New Roman" w:hAnsi="Times New Roman" w:cs="Times New Roman"/>
                      <w:bCs w:val="0"/>
                      <w:snapToGrid w:val="0"/>
                      <w:color w:val="auto"/>
                      <w:sz w:val="21"/>
                      <w:highlight w:val="none"/>
                    </w:rPr>
                    <w:t>4</w:t>
                  </w:r>
                </w:p>
              </w:tc>
              <w:tc>
                <w:tcPr>
                  <w:tcW w:w="948" w:type="dxa"/>
                  <w:tcBorders>
                    <w:top w:val="single" w:color="auto" w:sz="4" w:space="0"/>
                    <w:left w:val="single" w:color="auto" w:sz="4" w:space="0"/>
                    <w:bottom w:val="single" w:color="auto" w:sz="4" w:space="0"/>
                    <w:right w:val="single" w:color="auto" w:sz="4" w:space="0"/>
                  </w:tcBorders>
                  <w:vAlign w:val="center"/>
                </w:tcPr>
                <w:p w14:paraId="7400A468">
                  <w:pPr>
                    <w:pStyle w:val="371"/>
                    <w:jc w:val="center"/>
                    <w:rPr>
                      <w:rFonts w:ascii="Times New Roman" w:hAnsi="Times New Roman" w:cs="Times New Roman"/>
                      <w:bCs w:val="0"/>
                      <w:snapToGrid w:val="0"/>
                      <w:color w:val="auto"/>
                      <w:kern w:val="2"/>
                      <w:sz w:val="21"/>
                      <w:highlight w:val="none"/>
                      <w:lang w:val="zh-CN"/>
                    </w:rPr>
                  </w:pPr>
                  <w:r>
                    <w:rPr>
                      <w:rFonts w:ascii="Times New Roman" w:hAnsi="Times New Roman" w:cs="Times New Roman"/>
                      <w:bCs w:val="0"/>
                      <w:snapToGrid w:val="0"/>
                      <w:color w:val="auto"/>
                      <w:sz w:val="21"/>
                      <w:highlight w:val="none"/>
                    </w:rPr>
                    <w:t>NH</w:t>
                  </w:r>
                  <w:r>
                    <w:rPr>
                      <w:rFonts w:ascii="Times New Roman" w:hAnsi="Times New Roman" w:cs="Times New Roman"/>
                      <w:bCs w:val="0"/>
                      <w:snapToGrid w:val="0"/>
                      <w:color w:val="auto"/>
                      <w:sz w:val="21"/>
                      <w:highlight w:val="none"/>
                      <w:vertAlign w:val="subscript"/>
                    </w:rPr>
                    <w:t>3</w:t>
                  </w:r>
                  <w:r>
                    <w:rPr>
                      <w:rFonts w:ascii="Times New Roman" w:hAnsi="Times New Roman" w:cs="Times New Roman"/>
                      <w:bCs w:val="0"/>
                      <w:snapToGrid w:val="0"/>
                      <w:color w:val="auto"/>
                      <w:sz w:val="21"/>
                      <w:highlight w:val="none"/>
                    </w:rPr>
                    <w:t>-N</w:t>
                  </w:r>
                </w:p>
              </w:tc>
              <w:tc>
                <w:tcPr>
                  <w:tcW w:w="1837" w:type="dxa"/>
                  <w:tcBorders>
                    <w:top w:val="single" w:color="auto" w:sz="4" w:space="0"/>
                    <w:left w:val="single" w:color="auto" w:sz="4" w:space="0"/>
                    <w:bottom w:val="single" w:color="auto" w:sz="4" w:space="0"/>
                    <w:right w:val="single" w:color="auto" w:sz="4" w:space="0"/>
                  </w:tcBorders>
                  <w:vAlign w:val="center"/>
                </w:tcPr>
                <w:p w14:paraId="60F08C3D">
                  <w:pPr>
                    <w:jc w:val="center"/>
                    <w:rPr>
                      <w:color w:val="auto"/>
                      <w:szCs w:val="21"/>
                      <w:highlight w:val="none"/>
                    </w:rPr>
                  </w:pPr>
                  <w:r>
                    <w:rPr>
                      <w:color w:val="auto"/>
                      <w:szCs w:val="21"/>
                      <w:highlight w:val="none"/>
                    </w:rPr>
                    <w:t>/</w:t>
                  </w:r>
                </w:p>
              </w:tc>
              <w:tc>
                <w:tcPr>
                  <w:tcW w:w="1554" w:type="dxa"/>
                  <w:tcBorders>
                    <w:top w:val="single" w:color="auto" w:sz="4" w:space="0"/>
                    <w:left w:val="single" w:color="auto" w:sz="4" w:space="0"/>
                    <w:bottom w:val="single" w:color="auto" w:sz="4" w:space="0"/>
                    <w:right w:val="single" w:color="auto" w:sz="4" w:space="0"/>
                  </w:tcBorders>
                  <w:vAlign w:val="center"/>
                </w:tcPr>
                <w:p w14:paraId="00D254CC">
                  <w:pPr>
                    <w:jc w:val="center"/>
                    <w:rPr>
                      <w:rFonts w:hint="default" w:eastAsia="宋体"/>
                      <w:color w:val="auto"/>
                      <w:szCs w:val="21"/>
                      <w:highlight w:val="none"/>
                      <w:lang w:val="en-US" w:eastAsia="zh-CN"/>
                    </w:rPr>
                  </w:pPr>
                  <w:r>
                    <w:rPr>
                      <w:rFonts w:hint="eastAsia"/>
                      <w:color w:val="auto"/>
                      <w:szCs w:val="21"/>
                      <w:highlight w:val="none"/>
                      <w:lang w:val="en-US" w:eastAsia="zh-CN"/>
                    </w:rPr>
                    <w:t>30</w:t>
                  </w:r>
                </w:p>
              </w:tc>
              <w:tc>
                <w:tcPr>
                  <w:tcW w:w="1241" w:type="dxa"/>
                  <w:tcBorders>
                    <w:top w:val="single" w:color="auto" w:sz="4" w:space="0"/>
                    <w:left w:val="single" w:color="auto" w:sz="4" w:space="0"/>
                    <w:bottom w:val="single" w:color="auto" w:sz="4" w:space="0"/>
                    <w:right w:val="single" w:color="auto" w:sz="4" w:space="0"/>
                  </w:tcBorders>
                  <w:vAlign w:val="center"/>
                </w:tcPr>
                <w:p w14:paraId="2EE77C70">
                  <w:pPr>
                    <w:jc w:val="center"/>
                    <w:rPr>
                      <w:rFonts w:hint="default" w:eastAsia="宋体"/>
                      <w:color w:val="auto"/>
                      <w:szCs w:val="21"/>
                      <w:highlight w:val="none"/>
                      <w:lang w:val="en-US" w:eastAsia="zh-CN"/>
                    </w:rPr>
                  </w:pPr>
                  <w:r>
                    <w:rPr>
                      <w:rFonts w:hint="eastAsia"/>
                      <w:color w:val="auto"/>
                      <w:szCs w:val="21"/>
                      <w:highlight w:val="none"/>
                      <w:lang w:val="en-US" w:eastAsia="zh-CN"/>
                    </w:rPr>
                    <w:t>30</w:t>
                  </w:r>
                </w:p>
              </w:tc>
              <w:tc>
                <w:tcPr>
                  <w:tcW w:w="2724" w:type="dxa"/>
                  <w:tcBorders>
                    <w:top w:val="single" w:color="auto" w:sz="4" w:space="0"/>
                    <w:left w:val="single" w:color="auto" w:sz="4" w:space="0"/>
                    <w:bottom w:val="single" w:color="auto" w:sz="4" w:space="0"/>
                    <w:right w:val="single" w:color="auto" w:sz="4" w:space="0"/>
                  </w:tcBorders>
                  <w:vAlign w:val="center"/>
                </w:tcPr>
                <w:p w14:paraId="384C671D">
                  <w:pPr>
                    <w:jc w:val="center"/>
                    <w:rPr>
                      <w:rFonts w:hint="default" w:eastAsia="宋体"/>
                      <w:color w:val="auto"/>
                      <w:szCs w:val="21"/>
                      <w:highlight w:val="none"/>
                      <w:lang w:val="en-US" w:eastAsia="zh-CN"/>
                    </w:rPr>
                  </w:pPr>
                  <w:r>
                    <w:rPr>
                      <w:rFonts w:hint="eastAsia"/>
                      <w:color w:val="auto"/>
                      <w:szCs w:val="21"/>
                      <w:highlight w:val="none"/>
                      <w:lang w:val="en-US" w:eastAsia="zh-CN"/>
                    </w:rPr>
                    <w:t>8.0</w:t>
                  </w:r>
                </w:p>
              </w:tc>
            </w:tr>
            <w:tr w14:paraId="1F85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C42533E">
                  <w:pPr>
                    <w:pStyle w:val="371"/>
                    <w:jc w:val="center"/>
                    <w:rPr>
                      <w:rFonts w:ascii="Times New Roman" w:hAnsi="Times New Roman" w:cs="Times New Roman"/>
                      <w:bCs w:val="0"/>
                      <w:snapToGrid w:val="0"/>
                      <w:color w:val="auto"/>
                      <w:kern w:val="2"/>
                      <w:sz w:val="21"/>
                      <w:highlight w:val="none"/>
                      <w:lang w:val="zh-CN"/>
                    </w:rPr>
                  </w:pPr>
                  <w:r>
                    <w:rPr>
                      <w:rFonts w:ascii="Times New Roman" w:hAnsi="Times New Roman" w:cs="Times New Roman"/>
                      <w:bCs w:val="0"/>
                      <w:snapToGrid w:val="0"/>
                      <w:color w:val="auto"/>
                      <w:sz w:val="21"/>
                      <w:highlight w:val="none"/>
                    </w:rPr>
                    <w:t>5</w:t>
                  </w:r>
                </w:p>
              </w:tc>
              <w:tc>
                <w:tcPr>
                  <w:tcW w:w="948" w:type="dxa"/>
                  <w:tcBorders>
                    <w:top w:val="single" w:color="auto" w:sz="4" w:space="0"/>
                    <w:left w:val="single" w:color="auto" w:sz="4" w:space="0"/>
                    <w:bottom w:val="single" w:color="auto" w:sz="4" w:space="0"/>
                    <w:right w:val="single" w:color="auto" w:sz="4" w:space="0"/>
                  </w:tcBorders>
                  <w:vAlign w:val="center"/>
                </w:tcPr>
                <w:p w14:paraId="079EF3CC">
                  <w:pPr>
                    <w:pStyle w:val="371"/>
                    <w:jc w:val="center"/>
                    <w:rPr>
                      <w:rFonts w:ascii="Times New Roman" w:hAnsi="Times New Roman" w:cs="Times New Roman"/>
                      <w:bCs w:val="0"/>
                      <w:snapToGrid w:val="0"/>
                      <w:color w:val="auto"/>
                      <w:kern w:val="2"/>
                      <w:sz w:val="21"/>
                      <w:highlight w:val="none"/>
                      <w:lang w:val="zh-CN"/>
                    </w:rPr>
                  </w:pPr>
                  <w:r>
                    <w:rPr>
                      <w:rFonts w:ascii="Times New Roman" w:hAnsi="Times New Roman" w:cs="Times New Roman"/>
                      <w:bCs w:val="0"/>
                      <w:snapToGrid w:val="0"/>
                      <w:color w:val="auto"/>
                      <w:sz w:val="21"/>
                      <w:highlight w:val="none"/>
                    </w:rPr>
                    <w:t>SS</w:t>
                  </w:r>
                </w:p>
              </w:tc>
              <w:tc>
                <w:tcPr>
                  <w:tcW w:w="1837" w:type="dxa"/>
                  <w:tcBorders>
                    <w:top w:val="single" w:color="auto" w:sz="4" w:space="0"/>
                    <w:left w:val="single" w:color="auto" w:sz="4" w:space="0"/>
                    <w:bottom w:val="single" w:color="auto" w:sz="4" w:space="0"/>
                    <w:right w:val="single" w:color="auto" w:sz="4" w:space="0"/>
                  </w:tcBorders>
                  <w:vAlign w:val="center"/>
                </w:tcPr>
                <w:p w14:paraId="3B3DA94B">
                  <w:pPr>
                    <w:jc w:val="center"/>
                    <w:rPr>
                      <w:color w:val="auto"/>
                      <w:szCs w:val="21"/>
                      <w:highlight w:val="none"/>
                    </w:rPr>
                  </w:pPr>
                  <w:r>
                    <w:rPr>
                      <w:color w:val="auto"/>
                      <w:szCs w:val="21"/>
                      <w:highlight w:val="none"/>
                    </w:rPr>
                    <w:t>400</w:t>
                  </w:r>
                </w:p>
              </w:tc>
              <w:tc>
                <w:tcPr>
                  <w:tcW w:w="1554" w:type="dxa"/>
                  <w:tcBorders>
                    <w:top w:val="single" w:color="auto" w:sz="4" w:space="0"/>
                    <w:left w:val="single" w:color="auto" w:sz="4" w:space="0"/>
                    <w:bottom w:val="single" w:color="auto" w:sz="4" w:space="0"/>
                    <w:right w:val="single" w:color="auto" w:sz="4" w:space="0"/>
                  </w:tcBorders>
                  <w:vAlign w:val="center"/>
                </w:tcPr>
                <w:p w14:paraId="31A84757">
                  <w:pPr>
                    <w:jc w:val="center"/>
                    <w:rPr>
                      <w:rFonts w:hint="default" w:eastAsia="宋体"/>
                      <w:color w:val="auto"/>
                      <w:szCs w:val="21"/>
                      <w:highlight w:val="none"/>
                      <w:lang w:val="en-US" w:eastAsia="zh-CN"/>
                    </w:rPr>
                  </w:pPr>
                  <w:r>
                    <w:rPr>
                      <w:rFonts w:hint="eastAsia"/>
                      <w:color w:val="auto"/>
                      <w:szCs w:val="21"/>
                      <w:highlight w:val="none"/>
                      <w:lang w:val="en-US" w:eastAsia="zh-CN"/>
                    </w:rPr>
                    <w:t>250</w:t>
                  </w:r>
                </w:p>
              </w:tc>
              <w:tc>
                <w:tcPr>
                  <w:tcW w:w="1241" w:type="dxa"/>
                  <w:tcBorders>
                    <w:top w:val="single" w:color="auto" w:sz="4" w:space="0"/>
                    <w:left w:val="single" w:color="auto" w:sz="4" w:space="0"/>
                    <w:bottom w:val="single" w:color="auto" w:sz="4" w:space="0"/>
                    <w:right w:val="single" w:color="auto" w:sz="4" w:space="0"/>
                  </w:tcBorders>
                  <w:vAlign w:val="center"/>
                </w:tcPr>
                <w:p w14:paraId="4E1B04D8">
                  <w:pPr>
                    <w:jc w:val="center"/>
                    <w:rPr>
                      <w:rFonts w:hint="default" w:eastAsia="宋体"/>
                      <w:color w:val="auto"/>
                      <w:szCs w:val="21"/>
                      <w:highlight w:val="none"/>
                      <w:lang w:val="en-US" w:eastAsia="zh-CN"/>
                    </w:rPr>
                  </w:pPr>
                  <w:r>
                    <w:rPr>
                      <w:rFonts w:hint="eastAsia"/>
                      <w:color w:val="auto"/>
                      <w:szCs w:val="21"/>
                      <w:highlight w:val="none"/>
                      <w:lang w:val="en-US" w:eastAsia="zh-CN"/>
                    </w:rPr>
                    <w:t>250</w:t>
                  </w:r>
                </w:p>
              </w:tc>
              <w:tc>
                <w:tcPr>
                  <w:tcW w:w="2724" w:type="dxa"/>
                  <w:tcBorders>
                    <w:top w:val="single" w:color="auto" w:sz="4" w:space="0"/>
                    <w:left w:val="single" w:color="auto" w:sz="4" w:space="0"/>
                    <w:bottom w:val="single" w:color="auto" w:sz="4" w:space="0"/>
                    <w:right w:val="single" w:color="auto" w:sz="4" w:space="0"/>
                  </w:tcBorders>
                  <w:vAlign w:val="center"/>
                </w:tcPr>
                <w:p w14:paraId="7ABDCC79">
                  <w:pPr>
                    <w:jc w:val="center"/>
                    <w:rPr>
                      <w:rFonts w:hint="default" w:eastAsia="宋体"/>
                      <w:color w:val="auto"/>
                      <w:szCs w:val="21"/>
                      <w:highlight w:val="none"/>
                      <w:lang w:val="en-US" w:eastAsia="zh-CN"/>
                    </w:rPr>
                  </w:pPr>
                  <w:r>
                    <w:rPr>
                      <w:rFonts w:hint="eastAsia"/>
                      <w:color w:val="auto"/>
                      <w:szCs w:val="21"/>
                      <w:highlight w:val="none"/>
                      <w:lang w:val="en-US" w:eastAsia="zh-CN"/>
                    </w:rPr>
                    <w:t>10</w:t>
                  </w:r>
                </w:p>
              </w:tc>
            </w:tr>
          </w:tbl>
          <w:p w14:paraId="35D12F50">
            <w:pPr>
              <w:spacing w:line="360" w:lineRule="auto"/>
              <w:rPr>
                <w:color w:val="auto"/>
                <w:sz w:val="24"/>
                <w:highlight w:val="none"/>
              </w:rPr>
            </w:pPr>
            <w:r>
              <w:rPr>
                <w:b/>
                <w:color w:val="auto"/>
                <w:sz w:val="24"/>
                <w:highlight w:val="none"/>
              </w:rPr>
              <w:t>3、噪声</w:t>
            </w:r>
          </w:p>
          <w:p w14:paraId="79AA2C0B">
            <w:pPr>
              <w:pStyle w:val="106"/>
              <w:spacing w:line="360" w:lineRule="auto"/>
              <w:ind w:leftChars="0" w:firstLine="480"/>
              <w:outlineLvl w:val="9"/>
              <w:rPr>
                <w:b w:val="0"/>
                <w:color w:val="auto"/>
                <w:highlight w:val="none"/>
              </w:rPr>
            </w:pPr>
            <w:r>
              <w:rPr>
                <w:b w:val="0"/>
                <w:color w:val="auto"/>
                <w:szCs w:val="24"/>
                <w:highlight w:val="none"/>
              </w:rPr>
              <w:t>项目</w:t>
            </w:r>
            <w:r>
              <w:rPr>
                <w:b w:val="0"/>
                <w:color w:val="auto"/>
                <w:highlight w:val="none"/>
              </w:rPr>
              <w:t>运营期厂界噪声排放执行《工业企业厂界环境噪声排放标准》（GB12348-2008）中</w:t>
            </w:r>
            <w:r>
              <w:rPr>
                <w:rFonts w:hint="eastAsia"/>
                <w:b w:val="0"/>
                <w:color w:val="auto"/>
                <w:highlight w:val="none"/>
                <w:lang w:val="en-US" w:eastAsia="zh-CN"/>
              </w:rPr>
              <w:t>2</w:t>
            </w:r>
            <w:r>
              <w:rPr>
                <w:b w:val="0"/>
                <w:color w:val="auto"/>
                <w:highlight w:val="none"/>
              </w:rPr>
              <w:t>类标准。具体标准值见下表。</w:t>
            </w:r>
          </w:p>
          <w:p w14:paraId="1AD11ADA">
            <w:pPr>
              <w:numPr>
                <w:ilvl w:val="0"/>
                <w:numId w:val="0"/>
              </w:numPr>
              <w:tabs>
                <w:tab w:val="left" w:pos="420"/>
              </w:tabs>
              <w:ind w:leftChars="0"/>
              <w:jc w:val="center"/>
              <w:rPr>
                <w:b/>
                <w:color w:val="auto"/>
                <w:sz w:val="24"/>
                <w:highlight w:val="none"/>
              </w:rPr>
            </w:pPr>
            <w:r>
              <w:rPr>
                <w:rFonts w:hint="eastAsia"/>
                <w:b/>
                <w:color w:val="auto"/>
                <w:sz w:val="24"/>
                <w:highlight w:val="none"/>
                <w:lang w:eastAsia="zh-CN"/>
              </w:rPr>
              <w:t>表</w:t>
            </w:r>
            <w:r>
              <w:rPr>
                <w:rFonts w:hint="eastAsia"/>
                <w:b/>
                <w:color w:val="auto"/>
                <w:sz w:val="24"/>
                <w:highlight w:val="none"/>
                <w:lang w:val="en-US" w:eastAsia="zh-CN"/>
              </w:rPr>
              <w:t xml:space="preserve">3-7 </w:t>
            </w:r>
            <w:r>
              <w:rPr>
                <w:b/>
                <w:color w:val="auto"/>
                <w:sz w:val="24"/>
                <w:highlight w:val="none"/>
              </w:rPr>
              <w:t>厂界噪声排放标准  单位：dB(A)</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2"/>
              <w:gridCol w:w="2180"/>
              <w:gridCol w:w="1842"/>
            </w:tblGrid>
            <w:tr w14:paraId="5ABB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707" w:type="pct"/>
                  <w:vAlign w:val="center"/>
                </w:tcPr>
                <w:p w14:paraId="3761434A">
                  <w:pPr>
                    <w:jc w:val="center"/>
                    <w:rPr>
                      <w:color w:val="auto"/>
                      <w:kern w:val="0"/>
                      <w:szCs w:val="21"/>
                      <w:highlight w:val="none"/>
                    </w:rPr>
                  </w:pPr>
                  <w:r>
                    <w:rPr>
                      <w:color w:val="auto"/>
                      <w:kern w:val="0"/>
                      <w:szCs w:val="21"/>
                      <w:highlight w:val="none"/>
                    </w:rPr>
                    <w:t>类别</w:t>
                  </w:r>
                </w:p>
              </w:tc>
              <w:tc>
                <w:tcPr>
                  <w:tcW w:w="1242" w:type="pct"/>
                  <w:vAlign w:val="center"/>
                </w:tcPr>
                <w:p w14:paraId="2BB7FE68">
                  <w:pPr>
                    <w:jc w:val="center"/>
                    <w:rPr>
                      <w:color w:val="auto"/>
                      <w:kern w:val="0"/>
                      <w:szCs w:val="21"/>
                      <w:highlight w:val="none"/>
                    </w:rPr>
                  </w:pPr>
                  <w:r>
                    <w:rPr>
                      <w:color w:val="auto"/>
                      <w:kern w:val="0"/>
                      <w:szCs w:val="21"/>
                      <w:highlight w:val="none"/>
                    </w:rPr>
                    <w:t>昼  间</w:t>
                  </w:r>
                </w:p>
              </w:tc>
              <w:tc>
                <w:tcPr>
                  <w:tcW w:w="1049" w:type="pct"/>
                  <w:vAlign w:val="center"/>
                </w:tcPr>
                <w:p w14:paraId="3C78BE71">
                  <w:pPr>
                    <w:jc w:val="center"/>
                    <w:rPr>
                      <w:color w:val="auto"/>
                      <w:kern w:val="0"/>
                      <w:szCs w:val="21"/>
                      <w:highlight w:val="none"/>
                    </w:rPr>
                  </w:pPr>
                  <w:r>
                    <w:rPr>
                      <w:color w:val="auto"/>
                      <w:kern w:val="0"/>
                      <w:szCs w:val="21"/>
                      <w:highlight w:val="none"/>
                    </w:rPr>
                    <w:t>夜  间</w:t>
                  </w:r>
                </w:p>
              </w:tc>
            </w:tr>
            <w:tr w14:paraId="2A8C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707" w:type="pct"/>
                  <w:vAlign w:val="center"/>
                </w:tcPr>
                <w:p w14:paraId="07882E71">
                  <w:pPr>
                    <w:widowControl/>
                    <w:jc w:val="center"/>
                    <w:rPr>
                      <w:color w:val="auto"/>
                      <w:kern w:val="0"/>
                      <w:szCs w:val="21"/>
                      <w:highlight w:val="none"/>
                    </w:rPr>
                  </w:pPr>
                  <w:r>
                    <w:rPr>
                      <w:color w:val="auto"/>
                      <w:szCs w:val="21"/>
                      <w:highlight w:val="none"/>
                    </w:rPr>
                    <w:t>《工业企业厂界环境噪声排放标准》（GB12348-2008）</w:t>
                  </w:r>
                  <w:r>
                    <w:rPr>
                      <w:rFonts w:hint="eastAsia"/>
                      <w:color w:val="auto"/>
                      <w:szCs w:val="21"/>
                      <w:highlight w:val="none"/>
                      <w:lang w:val="en-US" w:eastAsia="zh-CN"/>
                    </w:rPr>
                    <w:t>2</w:t>
                  </w:r>
                  <w:r>
                    <w:rPr>
                      <w:color w:val="auto"/>
                      <w:kern w:val="0"/>
                      <w:szCs w:val="21"/>
                      <w:highlight w:val="none"/>
                    </w:rPr>
                    <w:t>类标准</w:t>
                  </w:r>
                </w:p>
              </w:tc>
              <w:tc>
                <w:tcPr>
                  <w:tcW w:w="1242" w:type="pct"/>
                  <w:vAlign w:val="center"/>
                </w:tcPr>
                <w:p w14:paraId="1CB82A77">
                  <w:pPr>
                    <w:widowControl/>
                    <w:jc w:val="center"/>
                    <w:rPr>
                      <w:rFonts w:hint="eastAsia" w:eastAsia="宋体"/>
                      <w:color w:val="auto"/>
                      <w:kern w:val="0"/>
                      <w:szCs w:val="21"/>
                      <w:highlight w:val="none"/>
                      <w:lang w:eastAsia="zh-CN"/>
                    </w:rPr>
                  </w:pPr>
                  <w:r>
                    <w:rPr>
                      <w:color w:val="auto"/>
                      <w:kern w:val="0"/>
                      <w:szCs w:val="21"/>
                      <w:highlight w:val="none"/>
                    </w:rPr>
                    <w:t>6</w:t>
                  </w:r>
                  <w:r>
                    <w:rPr>
                      <w:rFonts w:hint="eastAsia"/>
                      <w:color w:val="auto"/>
                      <w:kern w:val="0"/>
                      <w:szCs w:val="21"/>
                      <w:highlight w:val="none"/>
                      <w:lang w:val="en-US" w:eastAsia="zh-CN"/>
                    </w:rPr>
                    <w:t>0</w:t>
                  </w:r>
                </w:p>
              </w:tc>
              <w:tc>
                <w:tcPr>
                  <w:tcW w:w="1049" w:type="pct"/>
                  <w:vAlign w:val="center"/>
                </w:tcPr>
                <w:p w14:paraId="79A526B9">
                  <w:pPr>
                    <w:widowControl/>
                    <w:jc w:val="center"/>
                    <w:rPr>
                      <w:rFonts w:hint="eastAsia" w:eastAsia="宋体"/>
                      <w:color w:val="auto"/>
                      <w:kern w:val="0"/>
                      <w:szCs w:val="21"/>
                      <w:highlight w:val="none"/>
                      <w:lang w:eastAsia="zh-CN"/>
                    </w:rPr>
                  </w:pPr>
                  <w:r>
                    <w:rPr>
                      <w:color w:val="auto"/>
                      <w:kern w:val="0"/>
                      <w:szCs w:val="21"/>
                      <w:highlight w:val="none"/>
                    </w:rPr>
                    <w:t>5</w:t>
                  </w:r>
                  <w:r>
                    <w:rPr>
                      <w:rFonts w:hint="eastAsia"/>
                      <w:color w:val="auto"/>
                      <w:kern w:val="0"/>
                      <w:szCs w:val="21"/>
                      <w:highlight w:val="none"/>
                      <w:lang w:val="en-US" w:eastAsia="zh-CN"/>
                    </w:rPr>
                    <w:t>0</w:t>
                  </w:r>
                </w:p>
              </w:tc>
            </w:tr>
          </w:tbl>
          <w:p w14:paraId="2707D4E2">
            <w:pPr>
              <w:pStyle w:val="102"/>
              <w:widowControl/>
              <w:spacing w:line="360" w:lineRule="auto"/>
              <w:ind w:firstLine="0" w:firstLineChars="0"/>
              <w:rPr>
                <w:b/>
                <w:color w:val="auto"/>
                <w:sz w:val="24"/>
                <w:highlight w:val="none"/>
              </w:rPr>
            </w:pPr>
            <w:r>
              <w:rPr>
                <w:b/>
                <w:color w:val="auto"/>
                <w:sz w:val="24"/>
                <w:highlight w:val="none"/>
              </w:rPr>
              <w:t>4、固体废物</w:t>
            </w:r>
          </w:p>
          <w:p w14:paraId="1E717A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Cs w:val="21"/>
                <w:highlight w:val="none"/>
              </w:rPr>
            </w:pPr>
            <w:r>
              <w:rPr>
                <w:color w:val="auto"/>
                <w:sz w:val="24"/>
                <w:szCs w:val="32"/>
                <w:highlight w:val="none"/>
              </w:rPr>
              <w:t xml:space="preserve">一般工业固体废物贮存、处置参照执行《一般工业固体废物贮存和填埋污染控制标准》（GB18599-2020）；危险废物贮存执行《危险废物贮存污染控制标准》（GB18597-2023）。 </w:t>
            </w:r>
          </w:p>
        </w:tc>
      </w:tr>
      <w:tr w14:paraId="12EC45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7" w:type="dxa"/>
            <w:shd w:val="clear" w:color="auto" w:fill="auto"/>
            <w:tcMar>
              <w:left w:w="28" w:type="dxa"/>
              <w:right w:w="28" w:type="dxa"/>
            </w:tcMar>
            <w:vAlign w:val="center"/>
          </w:tcPr>
          <w:p w14:paraId="7FCAD983">
            <w:pPr>
              <w:adjustRightInd w:val="0"/>
              <w:snapToGrid w:val="0"/>
              <w:jc w:val="center"/>
              <w:rPr>
                <w:b/>
                <w:color w:val="auto"/>
                <w:kern w:val="0"/>
                <w:sz w:val="24"/>
                <w:highlight w:val="none"/>
              </w:rPr>
            </w:pPr>
            <w:r>
              <w:rPr>
                <w:b/>
                <w:color w:val="auto"/>
                <w:kern w:val="0"/>
                <w:sz w:val="24"/>
                <w:highlight w:val="none"/>
              </w:rPr>
              <w:t>总量</w:t>
            </w:r>
          </w:p>
          <w:p w14:paraId="2540880D">
            <w:pPr>
              <w:adjustRightInd w:val="0"/>
              <w:snapToGrid w:val="0"/>
              <w:jc w:val="center"/>
              <w:rPr>
                <w:b/>
                <w:color w:val="auto"/>
                <w:kern w:val="0"/>
                <w:sz w:val="24"/>
                <w:highlight w:val="none"/>
              </w:rPr>
            </w:pPr>
            <w:r>
              <w:rPr>
                <w:b/>
                <w:color w:val="auto"/>
                <w:kern w:val="0"/>
                <w:sz w:val="24"/>
                <w:highlight w:val="none"/>
              </w:rPr>
              <w:t>控制</w:t>
            </w:r>
          </w:p>
          <w:p w14:paraId="5C95F029">
            <w:pPr>
              <w:adjustRightInd w:val="0"/>
              <w:snapToGrid w:val="0"/>
              <w:jc w:val="center"/>
              <w:rPr>
                <w:rFonts w:ascii="Times New Roman" w:hAnsi="Times New Roman" w:eastAsia="宋体" w:cs="Times New Roman"/>
                <w:color w:val="auto"/>
                <w:kern w:val="0"/>
                <w:sz w:val="21"/>
                <w:szCs w:val="21"/>
                <w:highlight w:val="none"/>
                <w:lang w:val="en-US" w:eastAsia="zh-CN" w:bidi="ar-SA"/>
              </w:rPr>
            </w:pPr>
            <w:r>
              <w:rPr>
                <w:b/>
                <w:color w:val="auto"/>
                <w:kern w:val="0"/>
                <w:sz w:val="24"/>
                <w:highlight w:val="none"/>
              </w:rPr>
              <w:t>指标</w:t>
            </w:r>
          </w:p>
        </w:tc>
        <w:tc>
          <w:tcPr>
            <w:tcW w:w="9005" w:type="dxa"/>
            <w:shd w:val="clear" w:color="auto" w:fill="auto"/>
            <w:vAlign w:val="center"/>
          </w:tcPr>
          <w:p w14:paraId="60C8A1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Cs/>
                <w:color w:val="auto"/>
                <w:sz w:val="24"/>
                <w:highlight w:val="none"/>
                <w:lang w:eastAsia="zh-CN"/>
              </w:rPr>
            </w:pPr>
            <w:r>
              <w:rPr>
                <w:rFonts w:hint="eastAsia"/>
                <w:color w:val="auto"/>
                <w:sz w:val="24"/>
                <w:highlight w:val="none"/>
              </w:rPr>
              <w:t>根据《安徽省环保厅关于进一步加强建设项目新增大气污染物总量指标管理工作的通知》，目前对化学需氧量</w:t>
            </w:r>
            <w:r>
              <w:rPr>
                <w:rFonts w:hint="eastAsia"/>
                <w:color w:val="auto"/>
                <w:sz w:val="24"/>
                <w:highlight w:val="none"/>
                <w:lang w:eastAsia="zh-CN"/>
              </w:rPr>
              <w:t>（</w:t>
            </w:r>
            <w:r>
              <w:rPr>
                <w:rFonts w:hint="eastAsia"/>
                <w:color w:val="auto"/>
                <w:sz w:val="24"/>
                <w:highlight w:val="none"/>
              </w:rPr>
              <w:t>COD</w:t>
            </w:r>
            <w:r>
              <w:rPr>
                <w:rFonts w:hint="eastAsia"/>
                <w:color w:val="auto"/>
                <w:sz w:val="24"/>
                <w:highlight w:val="none"/>
                <w:lang w:eastAsia="zh-CN"/>
              </w:rPr>
              <w:t>）</w:t>
            </w:r>
            <w:r>
              <w:rPr>
                <w:rFonts w:hint="eastAsia"/>
                <w:color w:val="auto"/>
                <w:sz w:val="24"/>
                <w:highlight w:val="none"/>
              </w:rPr>
              <w:t>、氨氮</w:t>
            </w:r>
            <w:r>
              <w:rPr>
                <w:rFonts w:hint="eastAsia"/>
                <w:color w:val="auto"/>
                <w:sz w:val="24"/>
                <w:highlight w:val="none"/>
                <w:lang w:eastAsia="zh-CN"/>
              </w:rPr>
              <w:t>（</w:t>
            </w:r>
            <w:r>
              <w:rPr>
                <w:rFonts w:hint="eastAsia"/>
                <w:color w:val="auto"/>
                <w:sz w:val="24"/>
                <w:highlight w:val="none"/>
              </w:rPr>
              <w:t>NH</w:t>
            </w:r>
            <w:r>
              <w:rPr>
                <w:rFonts w:hint="eastAsia"/>
                <w:color w:val="auto"/>
                <w:sz w:val="24"/>
                <w:highlight w:val="none"/>
                <w:vertAlign w:val="subscript"/>
              </w:rPr>
              <w:t>3</w:t>
            </w:r>
            <w:r>
              <w:rPr>
                <w:rFonts w:hint="eastAsia"/>
                <w:color w:val="auto"/>
                <w:sz w:val="24"/>
                <w:highlight w:val="none"/>
              </w:rPr>
              <w:t>-N</w:t>
            </w:r>
            <w:r>
              <w:rPr>
                <w:rFonts w:hint="eastAsia"/>
                <w:color w:val="auto"/>
                <w:sz w:val="24"/>
                <w:highlight w:val="none"/>
                <w:lang w:eastAsia="zh-CN"/>
              </w:rPr>
              <w:t>）</w:t>
            </w:r>
            <w:r>
              <w:rPr>
                <w:rFonts w:hint="eastAsia"/>
                <w:color w:val="auto"/>
                <w:sz w:val="24"/>
                <w:highlight w:val="none"/>
              </w:rPr>
              <w:t>、二氧化硫</w:t>
            </w:r>
            <w:r>
              <w:rPr>
                <w:rFonts w:hint="eastAsia"/>
                <w:color w:val="auto"/>
                <w:sz w:val="24"/>
                <w:highlight w:val="none"/>
                <w:lang w:eastAsia="zh-CN"/>
              </w:rPr>
              <w:t>（</w:t>
            </w:r>
            <w:r>
              <w:rPr>
                <w:rFonts w:hint="eastAsia"/>
                <w:color w:val="auto"/>
                <w:sz w:val="24"/>
                <w:highlight w:val="none"/>
              </w:rPr>
              <w:t>SO</w:t>
            </w:r>
            <w:r>
              <w:rPr>
                <w:rFonts w:hint="eastAsia"/>
                <w:color w:val="auto"/>
                <w:sz w:val="24"/>
                <w:highlight w:val="none"/>
                <w:vertAlign w:val="subscript"/>
              </w:rPr>
              <w:t>2</w:t>
            </w:r>
            <w:r>
              <w:rPr>
                <w:rFonts w:hint="eastAsia"/>
                <w:color w:val="auto"/>
                <w:sz w:val="24"/>
                <w:highlight w:val="none"/>
                <w:lang w:eastAsia="zh-CN"/>
              </w:rPr>
              <w:t>）</w:t>
            </w:r>
            <w:r>
              <w:rPr>
                <w:rFonts w:hint="eastAsia"/>
                <w:color w:val="auto"/>
                <w:sz w:val="24"/>
                <w:highlight w:val="none"/>
              </w:rPr>
              <w:t>、氮氧化物</w:t>
            </w:r>
            <w:r>
              <w:rPr>
                <w:rFonts w:hint="eastAsia"/>
                <w:color w:val="auto"/>
                <w:sz w:val="24"/>
                <w:highlight w:val="none"/>
                <w:lang w:eastAsia="zh-CN"/>
              </w:rPr>
              <w:t>（</w:t>
            </w:r>
            <w:r>
              <w:rPr>
                <w:rFonts w:hint="eastAsia"/>
                <w:color w:val="auto"/>
                <w:sz w:val="24"/>
                <w:highlight w:val="none"/>
              </w:rPr>
              <w:t>NO</w:t>
            </w:r>
            <w:r>
              <w:rPr>
                <w:rFonts w:hint="eastAsia"/>
                <w:color w:val="auto"/>
                <w:sz w:val="24"/>
                <w:highlight w:val="none"/>
                <w:vertAlign w:val="subscript"/>
                <w:lang w:val="en-US" w:eastAsia="zh-CN"/>
              </w:rPr>
              <w:t>X</w:t>
            </w:r>
            <w:r>
              <w:rPr>
                <w:rFonts w:hint="eastAsia"/>
                <w:color w:val="auto"/>
                <w:sz w:val="24"/>
                <w:highlight w:val="none"/>
                <w:lang w:eastAsia="zh-CN"/>
              </w:rPr>
              <w:t>）</w:t>
            </w:r>
            <w:r>
              <w:rPr>
                <w:rFonts w:hint="eastAsia"/>
                <w:color w:val="auto"/>
                <w:sz w:val="24"/>
                <w:highlight w:val="none"/>
              </w:rPr>
              <w:t>、</w:t>
            </w:r>
            <w:r>
              <w:rPr>
                <w:rFonts w:hint="eastAsia"/>
                <w:color w:val="auto"/>
                <w:sz w:val="24"/>
                <w:highlight w:val="none"/>
                <w:lang w:eastAsia="zh-CN"/>
              </w:rPr>
              <w:t>烟粉尘</w:t>
            </w:r>
            <w:r>
              <w:rPr>
                <w:rFonts w:hint="eastAsia"/>
                <w:color w:val="auto"/>
                <w:sz w:val="24"/>
                <w:highlight w:val="none"/>
              </w:rPr>
              <w:t>、有机废气VOC</w:t>
            </w:r>
            <w:r>
              <w:rPr>
                <w:rFonts w:hint="eastAsia"/>
                <w:color w:val="auto"/>
                <w:sz w:val="24"/>
                <w:highlight w:val="none"/>
                <w:lang w:eastAsia="zh-CN"/>
              </w:rPr>
              <w:t>（</w:t>
            </w:r>
            <w:r>
              <w:rPr>
                <w:rFonts w:hint="eastAsia"/>
                <w:color w:val="auto"/>
                <w:sz w:val="24"/>
                <w:highlight w:val="none"/>
              </w:rPr>
              <w:t>以非甲烷总烃计算</w:t>
            </w:r>
            <w:r>
              <w:rPr>
                <w:rFonts w:hint="eastAsia"/>
                <w:color w:val="auto"/>
                <w:sz w:val="24"/>
                <w:highlight w:val="none"/>
                <w:lang w:eastAsia="zh-CN"/>
              </w:rPr>
              <w:t>）</w:t>
            </w:r>
            <w:r>
              <w:rPr>
                <w:rFonts w:hint="eastAsia"/>
                <w:color w:val="auto"/>
                <w:sz w:val="24"/>
                <w:highlight w:val="none"/>
              </w:rPr>
              <w:t>等主要污染物实行排放总</w:t>
            </w:r>
            <w:r>
              <w:rPr>
                <w:rFonts w:hint="eastAsia"/>
                <w:color w:val="auto"/>
                <w:sz w:val="24"/>
                <w:highlight w:val="none"/>
                <w:lang w:eastAsia="zh-CN"/>
              </w:rPr>
              <w:t>量</w:t>
            </w:r>
            <w:r>
              <w:rPr>
                <w:rFonts w:hint="eastAsia"/>
                <w:color w:val="auto"/>
                <w:sz w:val="24"/>
                <w:highlight w:val="none"/>
              </w:rPr>
              <w:t>控制计划管理。</w:t>
            </w:r>
            <w:r>
              <w:rPr>
                <w:bCs/>
                <w:color w:val="auto"/>
                <w:sz w:val="24"/>
                <w:highlight w:val="none"/>
              </w:rPr>
              <w:t>本项目</w:t>
            </w:r>
            <w:r>
              <w:rPr>
                <w:rFonts w:hint="eastAsia"/>
                <w:bCs/>
                <w:color w:val="auto"/>
                <w:sz w:val="24"/>
                <w:highlight w:val="none"/>
                <w:lang w:eastAsia="zh-CN"/>
              </w:rPr>
              <w:t>为新建项目，提</w:t>
            </w:r>
            <w:r>
              <w:rPr>
                <w:color w:val="auto"/>
                <w:sz w:val="24"/>
                <w:highlight w:val="none"/>
                <w:lang w:bidi="ar"/>
              </w:rPr>
              <w:t>出本项目总量控制指</w:t>
            </w:r>
            <w:r>
              <w:rPr>
                <w:bCs/>
                <w:color w:val="auto"/>
                <w:sz w:val="24"/>
                <w:highlight w:val="none"/>
                <w:lang w:bidi="ar"/>
              </w:rPr>
              <w:t>标为：COD、</w:t>
            </w:r>
            <w:r>
              <w:rPr>
                <w:rFonts w:hint="eastAsia"/>
                <w:bCs/>
                <w:color w:val="auto"/>
                <w:sz w:val="24"/>
                <w:highlight w:val="none"/>
                <w:lang w:bidi="ar"/>
              </w:rPr>
              <w:t>NH</w:t>
            </w:r>
            <w:r>
              <w:rPr>
                <w:rFonts w:hint="eastAsia"/>
                <w:bCs/>
                <w:color w:val="auto"/>
                <w:sz w:val="24"/>
                <w:highlight w:val="none"/>
                <w:vertAlign w:val="subscript"/>
                <w:lang w:bidi="ar"/>
              </w:rPr>
              <w:t>3</w:t>
            </w:r>
            <w:r>
              <w:rPr>
                <w:rFonts w:hint="eastAsia"/>
                <w:bCs/>
                <w:color w:val="auto"/>
                <w:sz w:val="24"/>
                <w:highlight w:val="none"/>
                <w:lang w:bidi="ar"/>
              </w:rPr>
              <w:t>-N、</w:t>
            </w:r>
            <w:r>
              <w:rPr>
                <w:bCs/>
                <w:color w:val="auto"/>
                <w:sz w:val="24"/>
                <w:highlight w:val="none"/>
                <w:lang w:bidi="ar"/>
              </w:rPr>
              <w:t>VOC</w:t>
            </w:r>
            <w:r>
              <w:rPr>
                <w:rFonts w:hint="eastAsia"/>
                <w:bCs/>
                <w:color w:val="auto"/>
                <w:sz w:val="24"/>
                <w:highlight w:val="none"/>
                <w:vertAlign w:val="subscript"/>
                <w:lang w:val="en-US" w:eastAsia="zh-CN" w:bidi="ar"/>
              </w:rPr>
              <w:t>S</w:t>
            </w:r>
            <w:r>
              <w:rPr>
                <w:bCs/>
                <w:color w:val="auto"/>
                <w:sz w:val="24"/>
                <w:highlight w:val="none"/>
                <w:lang w:bidi="ar"/>
              </w:rPr>
              <w:t>。</w:t>
            </w:r>
          </w:p>
          <w:p w14:paraId="3D9C2F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lang w:eastAsia="zh-CN"/>
              </w:rPr>
              <w:t>项目</w:t>
            </w:r>
            <w:r>
              <w:rPr>
                <w:rFonts w:hint="default" w:ascii="Times New Roman" w:hAnsi="Times New Roman" w:eastAsia="宋体" w:cs="Times New Roman"/>
                <w:bCs/>
                <w:color w:val="auto"/>
                <w:sz w:val="24"/>
                <w:szCs w:val="24"/>
                <w:highlight w:val="none"/>
              </w:rPr>
              <w:t>建成</w:t>
            </w:r>
            <w:r>
              <w:rPr>
                <w:rFonts w:hint="default" w:ascii="Times New Roman" w:hAnsi="Times New Roman" w:eastAsia="宋体" w:cs="Times New Roman"/>
                <w:color w:val="auto"/>
                <w:sz w:val="24"/>
                <w:szCs w:val="24"/>
                <w:highlight w:val="none"/>
                <w:lang w:val="en-US" w:eastAsia="zh-CN"/>
              </w:rPr>
              <w:t>后，厂区排放的废水达到</w:t>
            </w:r>
            <w:r>
              <w:rPr>
                <w:rFonts w:hint="eastAsia" w:eastAsia="宋体" w:cs="Times New Roman"/>
                <w:color w:val="auto"/>
                <w:sz w:val="24"/>
                <w:szCs w:val="24"/>
                <w:highlight w:val="none"/>
                <w:lang w:val="en-US" w:eastAsia="zh-CN"/>
              </w:rPr>
              <w:t>宿州市循环经济示范园污水</w:t>
            </w:r>
            <w:r>
              <w:rPr>
                <w:rFonts w:hint="default" w:ascii="Times New Roman" w:hAnsi="Times New Roman" w:eastAsia="宋体" w:cs="Times New Roman"/>
                <w:color w:val="auto"/>
                <w:sz w:val="24"/>
                <w:szCs w:val="24"/>
                <w:highlight w:val="none"/>
                <w:lang w:val="en-US" w:eastAsia="zh-CN"/>
              </w:rPr>
              <w:t>处理厂接管标准后进入</w:t>
            </w:r>
            <w:r>
              <w:rPr>
                <w:rFonts w:hint="eastAsia" w:eastAsia="宋体" w:cs="Times New Roman"/>
                <w:color w:val="auto"/>
                <w:sz w:val="24"/>
                <w:szCs w:val="24"/>
                <w:highlight w:val="none"/>
                <w:lang w:val="en-US" w:eastAsia="zh-CN"/>
              </w:rPr>
              <w:t>宿州市循环经济示范园污水</w:t>
            </w:r>
            <w:r>
              <w:rPr>
                <w:rFonts w:hint="default" w:ascii="Times New Roman" w:hAnsi="Times New Roman" w:eastAsia="宋体" w:cs="Times New Roman"/>
                <w:color w:val="auto"/>
                <w:sz w:val="24"/>
                <w:szCs w:val="24"/>
                <w:highlight w:val="none"/>
                <w:lang w:val="en-US" w:eastAsia="zh-CN"/>
              </w:rPr>
              <w:t>处理厂集中处理。本项目废水排放量为</w:t>
            </w:r>
            <w:r>
              <w:rPr>
                <w:rFonts w:hint="eastAsia" w:eastAsia="宋体" w:cs="Times New Roman"/>
                <w:color w:val="auto"/>
                <w:sz w:val="24"/>
                <w:szCs w:val="24"/>
                <w:highlight w:val="none"/>
                <w:lang w:val="en-US" w:eastAsia="zh-CN"/>
              </w:rPr>
              <w:t>5</w:t>
            </w:r>
            <w:r>
              <w:rPr>
                <w:rFonts w:hint="eastAsia" w:cs="Times New Roman"/>
                <w:color w:val="auto"/>
                <w:sz w:val="24"/>
                <w:szCs w:val="24"/>
                <w:highlight w:val="none"/>
                <w:lang w:val="en-US" w:eastAsia="zh-CN"/>
              </w:rPr>
              <w:t>569.9325t</w:t>
            </w:r>
            <w:r>
              <w:rPr>
                <w:rFonts w:hint="default" w:ascii="Times New Roman" w:hAnsi="Times New Roman" w:eastAsia="宋体" w:cs="Times New Roman"/>
                <w:color w:val="auto"/>
                <w:sz w:val="24"/>
                <w:szCs w:val="24"/>
                <w:highlight w:val="none"/>
                <w:lang w:val="en-US" w:eastAsia="zh-CN"/>
              </w:rPr>
              <w:t xml:space="preserve">/a，其中COD </w:t>
            </w:r>
            <w:r>
              <w:rPr>
                <w:rFonts w:hint="eastAsia" w:cs="Times New Roman"/>
                <w:color w:val="auto"/>
                <w:sz w:val="24"/>
                <w:szCs w:val="24"/>
                <w:highlight w:val="none"/>
                <w:lang w:val="en-US" w:eastAsia="zh-CN"/>
              </w:rPr>
              <w:t>0.8159</w:t>
            </w:r>
            <w:r>
              <w:rPr>
                <w:rFonts w:hint="default" w:ascii="Times New Roman" w:hAnsi="Times New Roman" w:eastAsia="宋体" w:cs="Times New Roman"/>
                <w:color w:val="auto"/>
                <w:sz w:val="24"/>
                <w:szCs w:val="24"/>
                <w:highlight w:val="none"/>
                <w:lang w:val="en-US" w:eastAsia="zh-CN"/>
              </w:rPr>
              <w:t>t/a，氨氮0.</w:t>
            </w:r>
            <w:r>
              <w:rPr>
                <w:rFonts w:hint="eastAsia" w:cs="Times New Roman"/>
                <w:color w:val="auto"/>
                <w:sz w:val="24"/>
                <w:szCs w:val="24"/>
                <w:highlight w:val="none"/>
                <w:lang w:val="en-US" w:eastAsia="zh-CN"/>
              </w:rPr>
              <w:t>1120</w:t>
            </w:r>
            <w:r>
              <w:rPr>
                <w:rFonts w:hint="default" w:ascii="Times New Roman" w:hAnsi="Times New Roman" w:eastAsia="宋体" w:cs="Times New Roman"/>
                <w:color w:val="auto"/>
                <w:sz w:val="24"/>
                <w:szCs w:val="24"/>
                <w:highlight w:val="none"/>
                <w:lang w:val="en-US" w:eastAsia="zh-CN"/>
              </w:rPr>
              <w:t>t/a，项目废水污染物总量指标纳</w:t>
            </w:r>
            <w:r>
              <w:rPr>
                <w:rFonts w:hint="eastAsia" w:ascii="Times New Roman" w:hAnsi="Times New Roman" w:eastAsia="宋体" w:cs="Times New Roman"/>
                <w:color w:val="auto"/>
                <w:sz w:val="24"/>
                <w:szCs w:val="24"/>
                <w:highlight w:val="none"/>
                <w:lang w:val="en-US" w:eastAsia="zh-CN"/>
              </w:rPr>
              <w:t>入</w:t>
            </w:r>
            <w:r>
              <w:rPr>
                <w:rFonts w:hint="eastAsia" w:eastAsia="宋体" w:cs="Times New Roman"/>
                <w:color w:val="auto"/>
                <w:sz w:val="24"/>
                <w:szCs w:val="24"/>
                <w:highlight w:val="none"/>
                <w:lang w:val="en-US" w:eastAsia="zh-CN"/>
              </w:rPr>
              <w:t>宿州市循环经济示范园污水</w:t>
            </w:r>
            <w:r>
              <w:rPr>
                <w:rFonts w:hint="default" w:ascii="Times New Roman" w:hAnsi="Times New Roman" w:eastAsia="宋体" w:cs="Times New Roman"/>
                <w:color w:val="auto"/>
                <w:sz w:val="24"/>
                <w:szCs w:val="24"/>
                <w:highlight w:val="none"/>
                <w:lang w:val="en-US" w:eastAsia="zh-CN"/>
              </w:rPr>
              <w:t xml:space="preserve">处理厂总指标中，不需另行申请总量。本环评给出项目污水排入环境中的量作为环境主管部门参考COD </w:t>
            </w:r>
            <w:r>
              <w:rPr>
                <w:rFonts w:hint="eastAsia" w:cs="Times New Roman"/>
                <w:color w:val="auto"/>
                <w:sz w:val="24"/>
                <w:szCs w:val="24"/>
                <w:highlight w:val="none"/>
                <w:lang w:val="en-US" w:eastAsia="zh-CN"/>
              </w:rPr>
              <w:t>0.8159</w:t>
            </w:r>
            <w:r>
              <w:rPr>
                <w:rFonts w:hint="default" w:ascii="Times New Roman" w:hAnsi="Times New Roman" w:eastAsia="宋体" w:cs="Times New Roman"/>
                <w:color w:val="auto"/>
                <w:sz w:val="24"/>
                <w:szCs w:val="24"/>
                <w:highlight w:val="none"/>
                <w:lang w:val="en-US" w:eastAsia="zh-CN"/>
              </w:rPr>
              <w:t>t/a，氨氮0.</w:t>
            </w:r>
            <w:r>
              <w:rPr>
                <w:rFonts w:hint="eastAsia" w:cs="Times New Roman"/>
                <w:color w:val="auto"/>
                <w:sz w:val="24"/>
                <w:szCs w:val="24"/>
                <w:highlight w:val="none"/>
                <w:lang w:val="en-US" w:eastAsia="zh-CN"/>
              </w:rPr>
              <w:t>1120</w:t>
            </w:r>
            <w:r>
              <w:rPr>
                <w:rFonts w:hint="default" w:ascii="Times New Roman" w:hAnsi="Times New Roman" w:eastAsia="宋体" w:cs="Times New Roman"/>
                <w:color w:val="auto"/>
                <w:sz w:val="24"/>
                <w:szCs w:val="24"/>
                <w:highlight w:val="none"/>
                <w:lang w:val="en-US" w:eastAsia="zh-CN"/>
              </w:rPr>
              <w:t>t/a，废水排放量为</w:t>
            </w:r>
            <w:r>
              <w:rPr>
                <w:rFonts w:hint="eastAsia" w:eastAsia="宋体" w:cs="Times New Roman"/>
                <w:color w:val="auto"/>
                <w:sz w:val="24"/>
                <w:szCs w:val="24"/>
                <w:highlight w:val="none"/>
                <w:lang w:val="en-US" w:eastAsia="zh-CN"/>
              </w:rPr>
              <w:t>5</w:t>
            </w:r>
            <w:r>
              <w:rPr>
                <w:rFonts w:hint="eastAsia" w:cs="Times New Roman"/>
                <w:color w:val="auto"/>
                <w:sz w:val="24"/>
                <w:szCs w:val="24"/>
                <w:highlight w:val="none"/>
                <w:lang w:val="en-US" w:eastAsia="zh-CN"/>
              </w:rPr>
              <w:t>569.9325t</w:t>
            </w: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rPr>
              <w:t>。</w:t>
            </w:r>
          </w:p>
          <w:p w14:paraId="6905B7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lang w:eastAsia="zh-CN"/>
              </w:rPr>
              <w:t>产生的非甲烷总烃经处理后最终排放量</w:t>
            </w:r>
            <w:r>
              <w:rPr>
                <w:rFonts w:hint="default" w:ascii="Times New Roman" w:hAnsi="Times New Roman" w:eastAsia="宋体" w:cs="Times New Roman"/>
                <w:color w:val="auto"/>
                <w:sz w:val="24"/>
                <w:szCs w:val="24"/>
                <w:highlight w:val="none"/>
              </w:rPr>
              <w:t>为</w:t>
            </w:r>
            <w:r>
              <w:rPr>
                <w:rFonts w:hint="default" w:ascii="Times New Roman" w:hAnsi="Times New Roman" w:cs="Times New Roman"/>
                <w:bCs/>
                <w:color w:val="auto"/>
                <w:sz w:val="24"/>
                <w:highlight w:val="none"/>
                <w:lang w:bidi="ar"/>
              </w:rPr>
              <w:t>VOC</w:t>
            </w:r>
            <w:r>
              <w:rPr>
                <w:rFonts w:hint="default" w:ascii="Times New Roman" w:hAnsi="Times New Roman" w:cs="Times New Roman"/>
                <w:bCs/>
                <w:color w:val="auto"/>
                <w:sz w:val="24"/>
                <w:highlight w:val="none"/>
                <w:vertAlign w:val="subscript"/>
                <w:lang w:val="en-US" w:eastAsia="zh-CN" w:bidi="ar"/>
              </w:rPr>
              <w:t>S</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kern w:val="0"/>
                <w:sz w:val="24"/>
                <w:szCs w:val="24"/>
                <w:highlight w:val="none"/>
                <w:lang w:val="en-US" w:eastAsia="zh-CN" w:bidi="ar"/>
              </w:rPr>
              <w:t>0.0</w:t>
            </w:r>
            <w:r>
              <w:rPr>
                <w:rFonts w:hint="eastAsia" w:cs="Times New Roman"/>
                <w:color w:val="auto"/>
                <w:kern w:val="0"/>
                <w:sz w:val="24"/>
                <w:szCs w:val="24"/>
                <w:highlight w:val="none"/>
                <w:lang w:val="en-US" w:eastAsia="zh-CN" w:bidi="ar"/>
              </w:rPr>
              <w:t>57</w:t>
            </w:r>
            <w:r>
              <w:rPr>
                <w:rFonts w:hint="default" w:ascii="Times New Roman" w:hAnsi="Times New Roman" w:cs="Times New Roman"/>
                <w:color w:val="auto"/>
                <w:kern w:val="0"/>
                <w:sz w:val="24"/>
                <w:szCs w:val="24"/>
                <w:highlight w:val="none"/>
                <w:lang w:val="en-US" w:eastAsia="zh-CN" w:bidi="ar"/>
              </w:rPr>
              <w:t>t</w:t>
            </w:r>
            <w:r>
              <w:rPr>
                <w:rFonts w:hint="default" w:ascii="Times New Roman" w:hAnsi="Times New Roman" w:eastAsia="宋体" w:cs="Times New Roman"/>
                <w:color w:val="auto"/>
                <w:sz w:val="24"/>
                <w:szCs w:val="24"/>
                <w:highlight w:val="none"/>
              </w:rPr>
              <w:t>/a</w:t>
            </w:r>
            <w:r>
              <w:rPr>
                <w:rFonts w:hint="eastAsia" w:eastAsia="宋体" w:cs="Times New Roman"/>
                <w:color w:val="auto"/>
                <w:sz w:val="24"/>
                <w:szCs w:val="24"/>
                <w:highlight w:val="none"/>
                <w:lang w:eastAsia="zh-CN"/>
              </w:rPr>
              <w:t>。宿州市为不达标区，</w:t>
            </w:r>
            <w:r>
              <w:rPr>
                <w:rFonts w:hint="default" w:ascii="Times New Roman" w:hAnsi="Times New Roman" w:eastAsia="宋体" w:cs="Times New Roman"/>
                <w:color w:val="auto"/>
                <w:sz w:val="24"/>
                <w:szCs w:val="24"/>
                <w:highlight w:val="none"/>
              </w:rPr>
              <w:t>因此，本项目的</w:t>
            </w:r>
            <w:r>
              <w:rPr>
                <w:rFonts w:hint="default" w:ascii="Times New Roman" w:hAnsi="Times New Roman" w:eastAsia="宋体" w:cs="Times New Roman"/>
                <w:color w:val="auto"/>
                <w:sz w:val="24"/>
                <w:szCs w:val="24"/>
                <w:highlight w:val="none"/>
                <w:lang w:eastAsia="zh-CN"/>
              </w:rPr>
              <w:t>申请</w:t>
            </w:r>
            <w:r>
              <w:rPr>
                <w:rFonts w:hint="default" w:ascii="Times New Roman" w:hAnsi="Times New Roman" w:eastAsia="宋体" w:cs="Times New Roman"/>
                <w:color w:val="auto"/>
                <w:sz w:val="24"/>
                <w:szCs w:val="24"/>
                <w:highlight w:val="none"/>
              </w:rPr>
              <w:t>总量控制指标为</w:t>
            </w:r>
            <w:r>
              <w:rPr>
                <w:rFonts w:hint="default" w:ascii="Times New Roman" w:hAnsi="Times New Roman" w:cs="Times New Roman"/>
                <w:bCs/>
                <w:color w:val="auto"/>
                <w:sz w:val="24"/>
                <w:highlight w:val="none"/>
                <w:lang w:bidi="ar"/>
              </w:rPr>
              <w:t>VOC</w:t>
            </w:r>
            <w:r>
              <w:rPr>
                <w:rFonts w:hint="default" w:ascii="Times New Roman" w:hAnsi="Times New Roman" w:cs="Times New Roman"/>
                <w:bCs/>
                <w:color w:val="auto"/>
                <w:sz w:val="24"/>
                <w:highlight w:val="none"/>
                <w:vertAlign w:val="subscript"/>
                <w:lang w:val="en-US" w:eastAsia="zh-CN" w:bidi="ar"/>
              </w:rPr>
              <w:t>S</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kern w:val="0"/>
                <w:sz w:val="24"/>
                <w:szCs w:val="24"/>
                <w:highlight w:val="none"/>
                <w:lang w:val="en-US" w:eastAsia="zh-CN" w:bidi="ar"/>
              </w:rPr>
              <w:t>0.</w:t>
            </w:r>
            <w:r>
              <w:rPr>
                <w:rFonts w:hint="eastAsia" w:cs="Times New Roman"/>
                <w:color w:val="auto"/>
                <w:kern w:val="0"/>
                <w:sz w:val="24"/>
                <w:szCs w:val="24"/>
                <w:highlight w:val="none"/>
                <w:lang w:val="en-US" w:eastAsia="zh-CN" w:bidi="ar"/>
              </w:rPr>
              <w:t>114</w:t>
            </w:r>
            <w:r>
              <w:rPr>
                <w:rFonts w:hint="default" w:ascii="Times New Roman" w:hAnsi="Times New Roman" w:cs="Times New Roman"/>
                <w:color w:val="auto"/>
                <w:kern w:val="0"/>
                <w:sz w:val="24"/>
                <w:szCs w:val="24"/>
                <w:highlight w:val="none"/>
                <w:lang w:val="en-US" w:eastAsia="zh-CN" w:bidi="ar"/>
              </w:rPr>
              <w:t>t</w:t>
            </w:r>
            <w:r>
              <w:rPr>
                <w:rFonts w:hint="default" w:ascii="Times New Roman" w:hAnsi="Times New Roman" w:eastAsia="宋体" w:cs="Times New Roman"/>
                <w:color w:val="auto"/>
                <w:sz w:val="24"/>
                <w:szCs w:val="24"/>
                <w:highlight w:val="none"/>
              </w:rPr>
              <w:t>/a</w:t>
            </w:r>
            <w:r>
              <w:rPr>
                <w:rFonts w:hint="default" w:ascii="Times New Roman" w:hAnsi="Times New Roman" w:cs="Times New Roman"/>
                <w:color w:val="auto"/>
                <w:sz w:val="24"/>
                <w:szCs w:val="24"/>
                <w:highlight w:val="none"/>
                <w:lang w:eastAsia="zh-CN"/>
              </w:rPr>
              <w:t>。</w:t>
            </w:r>
          </w:p>
        </w:tc>
      </w:tr>
    </w:tbl>
    <w:p w14:paraId="28C180C6">
      <w:pPr>
        <w:pStyle w:val="35"/>
        <w:jc w:val="center"/>
        <w:outlineLvl w:val="0"/>
        <w:rPr>
          <w:rFonts w:ascii="Times New Roman" w:hAnsi="Times New Roman"/>
          <w:b/>
          <w:snapToGrid w:val="0"/>
          <w:color w:val="auto"/>
          <w:sz w:val="30"/>
          <w:szCs w:val="30"/>
          <w:highlight w:val="none"/>
        </w:rPr>
      </w:pPr>
      <w:r>
        <w:rPr>
          <w:rFonts w:ascii="Times New Roman" w:hAnsi="Times New Roman"/>
          <w:snapToGrid w:val="0"/>
          <w:color w:val="auto"/>
          <w:sz w:val="36"/>
          <w:szCs w:val="36"/>
          <w:highlight w:val="none"/>
        </w:rPr>
        <w:br w:type="page"/>
      </w:r>
      <w:r>
        <w:rPr>
          <w:rFonts w:ascii="Times New Roman" w:hAnsi="Times New Roman"/>
          <w:b/>
          <w:snapToGrid w:val="0"/>
          <w:color w:val="auto"/>
          <w:sz w:val="30"/>
          <w:szCs w:val="30"/>
          <w:highlight w:val="none"/>
        </w:rPr>
        <w:t>四、主要环境影响和保护措施</w:t>
      </w:r>
    </w:p>
    <w:tbl>
      <w:tblPr>
        <w:tblStyle w:val="39"/>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
        <w:gridCol w:w="9386"/>
      </w:tblGrid>
      <w:tr w14:paraId="75D8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461" w:type="dxa"/>
            <w:tcMar>
              <w:left w:w="28" w:type="dxa"/>
              <w:right w:w="28" w:type="dxa"/>
            </w:tcMar>
            <w:vAlign w:val="center"/>
          </w:tcPr>
          <w:p w14:paraId="0CC29B1D">
            <w:pPr>
              <w:pStyle w:val="35"/>
              <w:adjustRightInd w:val="0"/>
              <w:snapToGrid w:val="0"/>
              <w:spacing w:before="0" w:beforeAutospacing="0" w:after="0" w:afterAutospacing="0"/>
              <w:jc w:val="center"/>
              <w:rPr>
                <w:rFonts w:ascii="Times New Roman" w:hAnsi="Times New Roman"/>
                <w:b/>
                <w:color w:val="auto"/>
                <w:kern w:val="2"/>
                <w:sz w:val="24"/>
                <w:szCs w:val="24"/>
                <w:highlight w:val="none"/>
              </w:rPr>
            </w:pPr>
            <w:r>
              <w:rPr>
                <w:rFonts w:ascii="Times New Roman" w:hAnsi="Times New Roman"/>
                <w:b/>
                <w:color w:val="auto"/>
                <w:kern w:val="2"/>
                <w:sz w:val="24"/>
                <w:szCs w:val="24"/>
                <w:highlight w:val="none"/>
              </w:rPr>
              <w:t>施工</w:t>
            </w:r>
          </w:p>
          <w:p w14:paraId="3502B63F">
            <w:pPr>
              <w:pStyle w:val="35"/>
              <w:adjustRightInd w:val="0"/>
              <w:snapToGrid w:val="0"/>
              <w:spacing w:before="0" w:beforeAutospacing="0" w:after="0" w:afterAutospacing="0"/>
              <w:jc w:val="center"/>
              <w:rPr>
                <w:rFonts w:ascii="Times New Roman" w:hAnsi="Times New Roman"/>
                <w:b/>
                <w:color w:val="auto"/>
                <w:kern w:val="2"/>
                <w:sz w:val="24"/>
                <w:szCs w:val="24"/>
                <w:highlight w:val="none"/>
              </w:rPr>
            </w:pPr>
            <w:r>
              <w:rPr>
                <w:rFonts w:ascii="Times New Roman" w:hAnsi="Times New Roman"/>
                <w:b/>
                <w:color w:val="auto"/>
                <w:kern w:val="2"/>
                <w:sz w:val="24"/>
                <w:szCs w:val="24"/>
                <w:highlight w:val="none"/>
              </w:rPr>
              <w:t>期环</w:t>
            </w:r>
          </w:p>
          <w:p w14:paraId="3003BCE4">
            <w:pPr>
              <w:pStyle w:val="35"/>
              <w:adjustRightInd w:val="0"/>
              <w:snapToGrid w:val="0"/>
              <w:spacing w:before="0" w:beforeAutospacing="0" w:after="0" w:afterAutospacing="0"/>
              <w:jc w:val="center"/>
              <w:rPr>
                <w:rFonts w:ascii="Times New Roman" w:hAnsi="Times New Roman"/>
                <w:b/>
                <w:color w:val="auto"/>
                <w:kern w:val="2"/>
                <w:sz w:val="24"/>
                <w:szCs w:val="24"/>
                <w:highlight w:val="none"/>
              </w:rPr>
            </w:pPr>
            <w:r>
              <w:rPr>
                <w:rFonts w:ascii="Times New Roman" w:hAnsi="Times New Roman"/>
                <w:b/>
                <w:color w:val="auto"/>
                <w:kern w:val="2"/>
                <w:sz w:val="24"/>
                <w:szCs w:val="24"/>
                <w:highlight w:val="none"/>
              </w:rPr>
              <w:t>境保</w:t>
            </w:r>
          </w:p>
          <w:p w14:paraId="0641CCA6">
            <w:pPr>
              <w:pStyle w:val="35"/>
              <w:adjustRightInd w:val="0"/>
              <w:snapToGrid w:val="0"/>
              <w:spacing w:before="0" w:beforeAutospacing="0" w:after="0" w:afterAutospacing="0"/>
              <w:jc w:val="center"/>
              <w:rPr>
                <w:rFonts w:ascii="Times New Roman" w:hAnsi="Times New Roman"/>
                <w:b/>
                <w:color w:val="auto"/>
                <w:kern w:val="2"/>
                <w:sz w:val="24"/>
                <w:szCs w:val="24"/>
                <w:highlight w:val="none"/>
              </w:rPr>
            </w:pPr>
            <w:r>
              <w:rPr>
                <w:rFonts w:ascii="Times New Roman" w:hAnsi="Times New Roman"/>
                <w:b/>
                <w:color w:val="auto"/>
                <w:kern w:val="2"/>
                <w:sz w:val="24"/>
                <w:szCs w:val="24"/>
                <w:highlight w:val="none"/>
              </w:rPr>
              <w:t>护措</w:t>
            </w:r>
          </w:p>
          <w:p w14:paraId="40DE71EC">
            <w:pPr>
              <w:pStyle w:val="35"/>
              <w:adjustRightInd w:val="0"/>
              <w:snapToGrid w:val="0"/>
              <w:spacing w:before="0" w:beforeAutospacing="0" w:after="0" w:afterAutospacing="0"/>
              <w:jc w:val="center"/>
              <w:rPr>
                <w:rFonts w:ascii="Times New Roman" w:hAnsi="Times New Roman"/>
                <w:bCs/>
                <w:color w:val="auto"/>
                <w:kern w:val="2"/>
                <w:sz w:val="24"/>
                <w:szCs w:val="24"/>
                <w:highlight w:val="none"/>
              </w:rPr>
            </w:pPr>
            <w:r>
              <w:rPr>
                <w:rFonts w:ascii="Times New Roman" w:hAnsi="Times New Roman"/>
                <w:b/>
                <w:color w:val="auto"/>
                <w:kern w:val="2"/>
                <w:sz w:val="24"/>
                <w:szCs w:val="24"/>
                <w:highlight w:val="none"/>
              </w:rPr>
              <w:t>施</w:t>
            </w:r>
          </w:p>
        </w:tc>
        <w:tc>
          <w:tcPr>
            <w:tcW w:w="9201" w:type="dxa"/>
            <w:vAlign w:val="center"/>
          </w:tcPr>
          <w:p w14:paraId="43BEEC1F">
            <w:pPr>
              <w:spacing w:line="360" w:lineRule="auto"/>
              <w:ind w:firstLine="480" w:firstLineChars="200"/>
              <w:rPr>
                <w:bCs/>
                <w:color w:val="auto"/>
                <w:spacing w:val="-10"/>
                <w:szCs w:val="21"/>
                <w:highlight w:val="none"/>
              </w:rPr>
            </w:pPr>
            <w:r>
              <w:rPr>
                <w:color w:val="auto"/>
                <w:sz w:val="24"/>
              </w:rPr>
              <w:t>施工期主要进行设备安装调试，不涉及土建，故本评价不对施工期产生的污染以及环境影响进行分析评价</w:t>
            </w:r>
            <w:r>
              <w:rPr>
                <w:rFonts w:ascii="Times New Roman" w:hAnsi="Times New Roman"/>
                <w:color w:val="auto"/>
                <w:sz w:val="24"/>
                <w:highlight w:val="none"/>
              </w:rPr>
              <w:t>。</w:t>
            </w:r>
          </w:p>
        </w:tc>
      </w:tr>
      <w:tr w14:paraId="7FA9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Mar>
              <w:left w:w="28" w:type="dxa"/>
              <w:right w:w="28" w:type="dxa"/>
            </w:tcMar>
            <w:vAlign w:val="center"/>
          </w:tcPr>
          <w:p w14:paraId="025BF3DD">
            <w:pPr>
              <w:adjustRightInd w:val="0"/>
              <w:snapToGrid w:val="0"/>
              <w:jc w:val="center"/>
              <w:rPr>
                <w:b/>
                <w:bCs/>
                <w:color w:val="auto"/>
                <w:sz w:val="24"/>
                <w:szCs w:val="24"/>
                <w:highlight w:val="none"/>
              </w:rPr>
            </w:pPr>
            <w:r>
              <w:rPr>
                <w:b/>
                <w:bCs/>
                <w:color w:val="auto"/>
                <w:sz w:val="24"/>
                <w:szCs w:val="24"/>
                <w:highlight w:val="none"/>
              </w:rPr>
              <w:t>运营</w:t>
            </w:r>
          </w:p>
          <w:p w14:paraId="51A2684D">
            <w:pPr>
              <w:adjustRightInd w:val="0"/>
              <w:snapToGrid w:val="0"/>
              <w:jc w:val="center"/>
              <w:rPr>
                <w:b/>
                <w:bCs/>
                <w:color w:val="auto"/>
                <w:sz w:val="24"/>
                <w:szCs w:val="24"/>
                <w:highlight w:val="none"/>
              </w:rPr>
            </w:pPr>
            <w:r>
              <w:rPr>
                <w:b/>
                <w:bCs/>
                <w:color w:val="auto"/>
                <w:sz w:val="24"/>
                <w:szCs w:val="24"/>
                <w:highlight w:val="none"/>
              </w:rPr>
              <w:t>期环</w:t>
            </w:r>
          </w:p>
          <w:p w14:paraId="64C03868">
            <w:pPr>
              <w:adjustRightInd w:val="0"/>
              <w:snapToGrid w:val="0"/>
              <w:jc w:val="center"/>
              <w:rPr>
                <w:b/>
                <w:bCs/>
                <w:color w:val="auto"/>
                <w:sz w:val="24"/>
                <w:szCs w:val="24"/>
                <w:highlight w:val="none"/>
              </w:rPr>
            </w:pPr>
            <w:r>
              <w:rPr>
                <w:b/>
                <w:bCs/>
                <w:color w:val="auto"/>
                <w:sz w:val="24"/>
                <w:szCs w:val="24"/>
                <w:highlight w:val="none"/>
              </w:rPr>
              <w:t>境影</w:t>
            </w:r>
          </w:p>
          <w:p w14:paraId="76A2B1E0">
            <w:pPr>
              <w:adjustRightInd w:val="0"/>
              <w:snapToGrid w:val="0"/>
              <w:jc w:val="center"/>
              <w:rPr>
                <w:b/>
                <w:bCs/>
                <w:color w:val="auto"/>
                <w:sz w:val="24"/>
                <w:szCs w:val="24"/>
                <w:highlight w:val="none"/>
              </w:rPr>
            </w:pPr>
            <w:r>
              <w:rPr>
                <w:b/>
                <w:bCs/>
                <w:color w:val="auto"/>
                <w:sz w:val="24"/>
                <w:szCs w:val="24"/>
                <w:highlight w:val="none"/>
              </w:rPr>
              <w:t>响和</w:t>
            </w:r>
          </w:p>
          <w:p w14:paraId="73A089C6">
            <w:pPr>
              <w:adjustRightInd w:val="0"/>
              <w:snapToGrid w:val="0"/>
              <w:jc w:val="center"/>
              <w:rPr>
                <w:b/>
                <w:bCs/>
                <w:color w:val="auto"/>
                <w:sz w:val="24"/>
                <w:szCs w:val="24"/>
                <w:highlight w:val="none"/>
              </w:rPr>
            </w:pPr>
            <w:r>
              <w:rPr>
                <w:b/>
                <w:bCs/>
                <w:color w:val="auto"/>
                <w:sz w:val="24"/>
                <w:szCs w:val="24"/>
                <w:highlight w:val="none"/>
              </w:rPr>
              <w:t>保护</w:t>
            </w:r>
          </w:p>
          <w:p w14:paraId="31B0896A">
            <w:pPr>
              <w:adjustRightInd w:val="0"/>
              <w:snapToGrid w:val="0"/>
              <w:jc w:val="center"/>
              <w:rPr>
                <w:bCs/>
                <w:color w:val="auto"/>
                <w:sz w:val="24"/>
                <w:szCs w:val="24"/>
                <w:highlight w:val="none"/>
              </w:rPr>
            </w:pPr>
            <w:r>
              <w:rPr>
                <w:b/>
                <w:bCs/>
                <w:color w:val="auto"/>
                <w:sz w:val="24"/>
                <w:szCs w:val="24"/>
                <w:highlight w:val="none"/>
              </w:rPr>
              <w:t>措施</w:t>
            </w:r>
          </w:p>
        </w:tc>
        <w:tc>
          <w:tcPr>
            <w:tcW w:w="9201" w:type="dxa"/>
          </w:tcPr>
          <w:p w14:paraId="623ADD76">
            <w:pPr>
              <w:adjustRightInd w:val="0"/>
              <w:snapToGrid w:val="0"/>
              <w:spacing w:line="360" w:lineRule="auto"/>
              <w:rPr>
                <w:rFonts w:hint="eastAsia" w:eastAsia="宋体"/>
                <w:b/>
                <w:bCs/>
                <w:color w:val="auto"/>
                <w:spacing w:val="-10"/>
                <w:sz w:val="24"/>
                <w:highlight w:val="none"/>
                <w:lang w:eastAsia="zh-CN"/>
              </w:rPr>
            </w:pPr>
            <w:r>
              <w:rPr>
                <w:rFonts w:hint="eastAsia"/>
                <w:b/>
                <w:bCs/>
                <w:color w:val="auto"/>
                <w:spacing w:val="-10"/>
                <w:sz w:val="24"/>
                <w:highlight w:val="none"/>
                <w:lang w:eastAsia="zh-CN"/>
              </w:rPr>
              <w:t>一、废气</w:t>
            </w:r>
          </w:p>
          <w:p w14:paraId="513A76F6">
            <w:pPr>
              <w:spacing w:line="360" w:lineRule="auto"/>
              <w:ind w:firstLine="480" w:firstLineChars="200"/>
              <w:rPr>
                <w:color w:val="auto"/>
                <w:sz w:val="24"/>
                <w:highlight w:val="none"/>
              </w:rPr>
            </w:pPr>
            <w:r>
              <w:rPr>
                <w:color w:val="auto"/>
                <w:sz w:val="24"/>
                <w:highlight w:val="none"/>
              </w:rPr>
              <w:t>根据项目的工程分析可知，本项目生产过程产生的废气主要为</w:t>
            </w:r>
            <w:r>
              <w:rPr>
                <w:rFonts w:hint="eastAsia"/>
                <w:color w:val="auto"/>
                <w:sz w:val="24"/>
                <w:highlight w:val="none"/>
                <w:lang w:eastAsia="zh-CN"/>
              </w:rPr>
              <w:t>吹瓶</w:t>
            </w:r>
            <w:r>
              <w:rPr>
                <w:rFonts w:hint="eastAsia"/>
                <w:color w:val="auto"/>
                <w:sz w:val="24"/>
                <w:highlight w:val="none"/>
              </w:rPr>
              <w:t>过程产生的有机废气</w:t>
            </w:r>
            <w:r>
              <w:rPr>
                <w:color w:val="auto"/>
                <w:sz w:val="24"/>
                <w:highlight w:val="none"/>
              </w:rPr>
              <w:t>。</w:t>
            </w:r>
          </w:p>
          <w:p w14:paraId="2A5972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highlight w:val="none"/>
              </w:rPr>
            </w:pPr>
            <w:r>
              <w:rPr>
                <w:rFonts w:hint="eastAsia" w:ascii="宋体" w:hAnsi="宋体" w:eastAsia="宋体" w:cs="宋体"/>
                <w:color w:val="auto"/>
                <w:kern w:val="0"/>
                <w:sz w:val="24"/>
                <w:szCs w:val="24"/>
                <w:highlight w:val="none"/>
                <w:lang w:val="en-US" w:eastAsia="zh-CN" w:bidi="ar"/>
              </w:rPr>
              <w:t>由于吹瓶主要靠物理拉伸杆拉伸，把瓶胚拉倒一定程度，然后先通过</w:t>
            </w:r>
            <w:r>
              <w:rPr>
                <w:rFonts w:hint="default" w:ascii="Times New Roman" w:hAnsi="Times New Roman" w:eastAsia="宋体" w:cs="Times New Roman"/>
                <w:color w:val="auto"/>
                <w:kern w:val="0"/>
                <w:sz w:val="24"/>
                <w:szCs w:val="24"/>
                <w:highlight w:val="none"/>
                <w:lang w:val="en-US" w:eastAsia="zh-CN" w:bidi="ar"/>
              </w:rPr>
              <w:t>8-15bar</w:t>
            </w:r>
            <w:r>
              <w:rPr>
                <w:rFonts w:hint="eastAsia" w:ascii="宋体" w:hAnsi="宋体" w:eastAsia="宋体" w:cs="宋体"/>
                <w:color w:val="auto"/>
                <w:kern w:val="0"/>
                <w:sz w:val="24"/>
                <w:szCs w:val="24"/>
                <w:highlight w:val="none"/>
                <w:lang w:val="en-US" w:eastAsia="zh-CN" w:bidi="ar"/>
              </w:rPr>
              <w:t>的低压对瓶胚进行预吹，再通过</w:t>
            </w:r>
            <w:r>
              <w:rPr>
                <w:rFonts w:hint="default" w:ascii="Times New Roman" w:hAnsi="Times New Roman" w:eastAsia="宋体" w:cs="Times New Roman"/>
                <w:color w:val="auto"/>
                <w:kern w:val="0"/>
                <w:sz w:val="24"/>
                <w:szCs w:val="24"/>
                <w:highlight w:val="none"/>
                <w:lang w:val="en-US" w:eastAsia="zh-CN" w:bidi="ar"/>
              </w:rPr>
              <w:t>28-35bar的高压吹成瓶子。由于模具温度一般在70-90°C左右，该加热温度远低于物料的分解温度（240℃-300℃），不会产生热解废气，吹瓶过程中产生的污染物为少量有机废气（以非甲烷总烃计）</w:t>
            </w:r>
            <w:r>
              <w:rPr>
                <w:color w:val="auto"/>
                <w:sz w:val="24"/>
                <w:highlight w:val="none"/>
              </w:rPr>
              <w:t>。</w:t>
            </w:r>
          </w:p>
          <w:p w14:paraId="26507C2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olor w:val="auto"/>
                <w:sz w:val="24"/>
                <w:highlight w:val="none"/>
                <w:lang w:eastAsia="zh-CN"/>
              </w:rPr>
            </w:pPr>
            <w:r>
              <w:rPr>
                <w:rFonts w:hint="eastAsia"/>
                <w:color w:val="auto"/>
                <w:sz w:val="24"/>
                <w:highlight w:val="none"/>
                <w:lang w:eastAsia="zh-CN"/>
              </w:rPr>
              <w:t>参照</w:t>
            </w:r>
            <w:r>
              <w:rPr>
                <w:rFonts w:hint="eastAsia"/>
                <w:color w:val="auto"/>
                <w:sz w:val="24"/>
                <w:szCs w:val="32"/>
                <w:highlight w:val="none"/>
              </w:rPr>
              <w:t>《排放源统计调查产排核算方法和系数手册》的公告（公告2021年第24号）中“292塑料制品业系数手册2929</w:t>
            </w:r>
            <w:r>
              <w:rPr>
                <w:rFonts w:hint="eastAsia"/>
                <w:color w:val="auto"/>
                <w:sz w:val="24"/>
                <w:szCs w:val="32"/>
                <w:highlight w:val="none"/>
                <w:lang w:val="en-US" w:eastAsia="zh-CN"/>
              </w:rPr>
              <w:t xml:space="preserve"> </w:t>
            </w:r>
            <w:r>
              <w:rPr>
                <w:rFonts w:hint="eastAsia"/>
                <w:color w:val="auto"/>
                <w:sz w:val="24"/>
                <w:szCs w:val="32"/>
                <w:highlight w:val="none"/>
              </w:rPr>
              <w:t>塑料零件及其他塑料制品制造行业系数表”，塑料零件注塑过程中挥发性有机物的产污系数为2.70kg/吨-产品，以非甲烷总烃计。</w:t>
            </w:r>
          </w:p>
          <w:p w14:paraId="53A000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lang w:val="en-US" w:eastAsia="zh-CN"/>
              </w:rPr>
            </w:pPr>
            <w:r>
              <w:rPr>
                <w:rFonts w:hint="eastAsia"/>
                <w:color w:val="auto"/>
                <w:sz w:val="24"/>
                <w:szCs w:val="24"/>
                <w:highlight w:val="none"/>
                <w:lang w:eastAsia="zh-CN"/>
              </w:rPr>
              <w:t>本项目对一次性水瓶</w:t>
            </w:r>
            <w:r>
              <w:rPr>
                <w:rFonts w:hint="eastAsia"/>
                <w:color w:val="auto"/>
                <w:sz w:val="24"/>
                <w:szCs w:val="24"/>
                <w:highlight w:val="none"/>
                <w:lang w:val="en-US" w:eastAsia="zh-CN"/>
              </w:rPr>
              <w:t>/桶进行水瓶工艺，年使用500mL水瓶600万个，15L水桶46.7万个，</w:t>
            </w:r>
            <w:r>
              <w:rPr>
                <w:rFonts w:hint="default" w:ascii="Times New Roman" w:hAnsi="Times New Roman" w:eastAsia="宋体" w:cs="Times New Roman"/>
                <w:color w:val="auto"/>
                <w:kern w:val="0"/>
                <w:sz w:val="24"/>
                <w:szCs w:val="24"/>
                <w:highlight w:val="none"/>
                <w:lang w:val="en-US" w:eastAsia="zh-CN" w:bidi="ar"/>
              </w:rPr>
              <w:t>500ml瓶重约1</w:t>
            </w:r>
            <w:r>
              <w:rPr>
                <w:rFonts w:hint="eastAsia" w:ascii="Times New Roman" w:hAnsi="Times New Roman" w:eastAsia="宋体" w:cs="Times New Roman"/>
                <w:color w:val="auto"/>
                <w:kern w:val="0"/>
                <w:sz w:val="24"/>
                <w:szCs w:val="24"/>
                <w:highlight w:val="none"/>
                <w:lang w:val="en-US" w:eastAsia="zh-CN" w:bidi="ar"/>
              </w:rPr>
              <w:t>6</w:t>
            </w:r>
            <w:r>
              <w:rPr>
                <w:rFonts w:hint="default" w:ascii="Times New Roman" w:hAnsi="Times New Roman" w:eastAsia="宋体" w:cs="Times New Roman"/>
                <w:color w:val="auto"/>
                <w:kern w:val="0"/>
                <w:sz w:val="24"/>
                <w:szCs w:val="24"/>
                <w:highlight w:val="none"/>
                <w:lang w:val="en-US" w:eastAsia="zh-CN" w:bidi="ar"/>
              </w:rPr>
              <w:t>g，15L瓶重</w:t>
            </w:r>
            <w:r>
              <w:rPr>
                <w:rFonts w:hint="eastAsia" w:ascii="Times New Roman" w:hAnsi="Times New Roman" w:eastAsia="宋体" w:cs="Times New Roman"/>
                <w:color w:val="auto"/>
                <w:kern w:val="0"/>
                <w:sz w:val="24"/>
                <w:szCs w:val="24"/>
                <w:highlight w:val="none"/>
                <w:lang w:val="en-US" w:eastAsia="zh-CN" w:bidi="ar"/>
              </w:rPr>
              <w:t>约</w:t>
            </w:r>
            <w:r>
              <w:rPr>
                <w:rFonts w:hint="eastAsia" w:cs="Times New Roman"/>
                <w:color w:val="auto"/>
                <w:kern w:val="0"/>
                <w:sz w:val="24"/>
                <w:szCs w:val="24"/>
                <w:highlight w:val="none"/>
                <w:lang w:val="en-US" w:eastAsia="zh-CN" w:bidi="ar"/>
              </w:rPr>
              <w:t>300</w:t>
            </w:r>
            <w:r>
              <w:rPr>
                <w:rFonts w:hint="default" w:ascii="Times New Roman" w:hAnsi="Times New Roman" w:eastAsia="宋体" w:cs="Times New Roman"/>
                <w:color w:val="auto"/>
                <w:kern w:val="0"/>
                <w:sz w:val="24"/>
                <w:szCs w:val="24"/>
                <w:highlight w:val="none"/>
                <w:lang w:val="en-US" w:eastAsia="zh-CN" w:bidi="ar"/>
              </w:rPr>
              <w:t>g</w:t>
            </w:r>
            <w:r>
              <w:rPr>
                <w:rFonts w:hint="eastAsia" w:ascii="Times New Roman" w:hAnsi="Times New Roman" w:eastAsia="宋体" w:cs="Times New Roman"/>
                <w:color w:val="auto"/>
                <w:kern w:val="0"/>
                <w:sz w:val="24"/>
                <w:szCs w:val="24"/>
                <w:highlight w:val="none"/>
                <w:lang w:val="en-US" w:eastAsia="zh-CN" w:bidi="ar"/>
              </w:rPr>
              <w:t>，则年使用瓶胚量为</w:t>
            </w:r>
            <w:r>
              <w:rPr>
                <w:rFonts w:hint="eastAsia"/>
                <w:color w:val="auto"/>
                <w:sz w:val="24"/>
                <w:szCs w:val="24"/>
                <w:highlight w:val="none"/>
                <w:lang w:val="en-US" w:eastAsia="zh-CN"/>
              </w:rPr>
              <w:t>236.1t，吹瓶过程中产生的挥发性有机物量为0.637t。年生产2400h。</w:t>
            </w:r>
          </w:p>
          <w:p w14:paraId="57FB397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风量核算：</w:t>
            </w:r>
          </w:p>
          <w:p w14:paraId="5EFD13A6">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在</w:t>
            </w:r>
            <w:r>
              <w:rPr>
                <w:rFonts w:hint="eastAsia" w:ascii="Times New Roman" w:hAnsi="Times New Roman" w:cs="Times New Roman"/>
                <w:color w:val="auto"/>
                <w:sz w:val="24"/>
                <w:szCs w:val="24"/>
                <w:highlight w:val="none"/>
                <w:lang w:eastAsia="zh-CN"/>
              </w:rPr>
              <w:t>吹瓶</w:t>
            </w:r>
            <w:r>
              <w:rPr>
                <w:rFonts w:hint="default" w:ascii="Times New Roman" w:hAnsi="Times New Roman" w:cs="Times New Roman"/>
                <w:color w:val="auto"/>
                <w:sz w:val="24"/>
                <w:szCs w:val="24"/>
                <w:highlight w:val="none"/>
                <w:lang w:eastAsia="zh-CN"/>
              </w:rPr>
              <w:t>机设备</w:t>
            </w:r>
            <w:r>
              <w:rPr>
                <w:rFonts w:hint="default" w:ascii="Times New Roman" w:hAnsi="Times New Roman" w:cs="Times New Roman"/>
                <w:color w:val="auto"/>
                <w:sz w:val="24"/>
                <w:szCs w:val="24"/>
                <w:highlight w:val="none"/>
              </w:rPr>
              <w:t>上</w:t>
            </w:r>
            <w:r>
              <w:rPr>
                <w:rFonts w:hint="default" w:ascii="Times New Roman" w:hAnsi="Times New Roman" w:cs="Times New Roman"/>
                <w:color w:val="auto"/>
                <w:sz w:val="24"/>
                <w:szCs w:val="24"/>
                <w:highlight w:val="none"/>
                <w:lang w:eastAsia="zh-CN"/>
              </w:rPr>
              <w:t>方</w:t>
            </w:r>
            <w:r>
              <w:rPr>
                <w:rFonts w:hint="default" w:ascii="Times New Roman" w:hAnsi="Times New Roman" w:cs="Times New Roman"/>
                <w:color w:val="auto"/>
                <w:sz w:val="24"/>
                <w:szCs w:val="24"/>
                <w:highlight w:val="none"/>
              </w:rPr>
              <w:t>设置</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个集气罩，设计集气罩尺寸为</w:t>
            </w:r>
            <w:r>
              <w:rPr>
                <w:rFonts w:hint="default" w:ascii="Times New Roman" w:hAnsi="Times New Roman" w:cs="Times New Roman"/>
                <w:color w:val="auto"/>
                <w:sz w:val="24"/>
                <w:szCs w:val="24"/>
                <w:highlight w:val="none"/>
                <w:lang w:val="en-US" w:eastAsia="zh-CN"/>
              </w:rPr>
              <w:t>0.</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lang w:val="en-US" w:eastAsia="zh-CN"/>
              </w:rPr>
              <w:t>0.</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m，根据《排风罩的分类及技术条件》（GBT16758-2008），风机风量计算公式：</w:t>
            </w:r>
          </w:p>
          <w:p w14:paraId="182070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Q=Fv</w:t>
            </w:r>
          </w:p>
          <w:p w14:paraId="7F727E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式中：Q—为集气罩集气风量，单位为m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/s；</w:t>
            </w:r>
          </w:p>
          <w:p w14:paraId="315505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F—为集气罩集气面积，单位为m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w:t>
            </w:r>
          </w:p>
          <w:p w14:paraId="600E46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V—污染源气体流速，根据《局部排风设施控制风速检测与评估技术规范》（AQT4274-2016），本项目集气罩为上吸式，吸收非甲烷总烃，V取1.0m/s。</w:t>
            </w:r>
          </w:p>
          <w:p w14:paraId="7EB670BA">
            <w:pPr>
              <w:pStyle w:val="365"/>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废气经集气罩收集，收集效率不低于90%，</w:t>
            </w:r>
            <w:r>
              <w:rPr>
                <w:rFonts w:hint="eastAsia" w:ascii="Times New Roman" w:hAnsi="Times New Roman" w:cs="Times New Roman"/>
                <w:color w:val="auto"/>
                <w:sz w:val="24"/>
                <w:szCs w:val="24"/>
                <w:highlight w:val="none"/>
                <w:lang w:eastAsia="zh-CN"/>
              </w:rPr>
              <w:t>吹瓶</w:t>
            </w:r>
            <w:r>
              <w:rPr>
                <w:rFonts w:hint="default" w:ascii="Times New Roman" w:hAnsi="Times New Roman" w:cs="Times New Roman"/>
                <w:color w:val="auto"/>
                <w:sz w:val="24"/>
                <w:szCs w:val="24"/>
                <w:highlight w:val="none"/>
              </w:rPr>
              <w:t>过程的风机风量=</w:t>
            </w:r>
            <w:r>
              <w:rPr>
                <w:rFonts w:hint="default" w:ascii="Times New Roman" w:hAnsi="Times New Roman" w:cs="Times New Roman"/>
                <w:color w:val="auto"/>
                <w:sz w:val="24"/>
                <w:szCs w:val="24"/>
                <w:highlight w:val="none"/>
                <w:lang w:val="en-US" w:eastAsia="zh-CN"/>
              </w:rPr>
              <w:t>0.</w:t>
            </w:r>
            <w:r>
              <w:rPr>
                <w:rFonts w:hint="eastAsia"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×0.</w:t>
            </w:r>
            <w:r>
              <w:rPr>
                <w:rFonts w:hint="eastAsia"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×1×3600×</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（数量）=</w:t>
            </w:r>
            <w:r>
              <w:rPr>
                <w:rFonts w:hint="eastAsia" w:ascii="Times New Roman" w:hAnsi="Times New Roman" w:cs="Times New Roman"/>
                <w:color w:val="auto"/>
                <w:sz w:val="24"/>
                <w:szCs w:val="24"/>
                <w:highlight w:val="none"/>
                <w:lang w:val="en-US" w:eastAsia="zh-CN"/>
              </w:rPr>
              <w:t>1296</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/h。</w:t>
            </w:r>
            <w:r>
              <w:rPr>
                <w:rFonts w:hint="default" w:ascii="Times New Roman" w:hAnsi="Times New Roman" w:cs="Times New Roman"/>
                <w:color w:val="auto"/>
                <w:kern w:val="0"/>
                <w:sz w:val="24"/>
                <w:highlight w:val="none"/>
              </w:rPr>
              <w:t>综合考虑风阻损耗等影响，</w:t>
            </w:r>
            <w:r>
              <w:rPr>
                <w:rFonts w:hint="default" w:ascii="Times New Roman" w:hAnsi="Times New Roman" w:cs="Times New Roman"/>
                <w:color w:val="auto"/>
                <w:sz w:val="24"/>
                <w:szCs w:val="24"/>
                <w:highlight w:val="none"/>
              </w:rPr>
              <w:t>设置集气罩风量为</w:t>
            </w:r>
            <w:r>
              <w:rPr>
                <w:rFonts w:hint="default"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50</w:t>
            </w:r>
            <w:r>
              <w:rPr>
                <w:rFonts w:hint="default" w:ascii="Times New Roman" w:hAnsi="Times New Roman" w:cs="Times New Roman"/>
                <w:color w:val="auto"/>
                <w:sz w:val="24"/>
                <w:szCs w:val="24"/>
                <w:highlight w:val="none"/>
              </w:rPr>
              <w:t>0m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/h。</w:t>
            </w:r>
            <w:r>
              <w:rPr>
                <w:rFonts w:hint="eastAsia" w:ascii="Times New Roman" w:hAnsi="Times New Roman" w:cs="Times New Roman"/>
                <w:color w:val="auto"/>
                <w:sz w:val="24"/>
                <w:szCs w:val="24"/>
                <w:highlight w:val="none"/>
                <w:lang w:eastAsia="zh-CN"/>
              </w:rPr>
              <w:t>废气经过收集后通过二级活性炭吸附装置处置，经一根</w:t>
            </w:r>
            <w:r>
              <w:rPr>
                <w:rFonts w:hint="eastAsia" w:ascii="Times New Roman" w:hAnsi="Times New Roman" w:cs="Times New Roman"/>
                <w:color w:val="auto"/>
                <w:sz w:val="24"/>
                <w:szCs w:val="24"/>
                <w:highlight w:val="none"/>
                <w:lang w:val="en-US" w:eastAsia="zh-CN"/>
              </w:rPr>
              <w:t>15m高排气筒DA001进行排放。</w:t>
            </w:r>
          </w:p>
          <w:p w14:paraId="7E393D62">
            <w:pPr>
              <w:pStyle w:val="365"/>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jc w:val="both"/>
              <w:textAlignment w:val="auto"/>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snapToGrid w:val="0"/>
                <w:color w:val="auto"/>
                <w:kern w:val="0"/>
                <w:sz w:val="24"/>
                <w:szCs w:val="24"/>
                <w:highlight w:val="none"/>
                <w:lang w:val="en-US" w:eastAsia="zh-CN" w:bidi="ar-SA"/>
              </w:rPr>
              <w:t>则</w:t>
            </w:r>
            <w:r>
              <w:rPr>
                <w:rFonts w:hint="default" w:ascii="Times New Roman" w:hAnsi="Times New Roman" w:eastAsia="宋体" w:cs="Times New Roman"/>
                <w:snapToGrid w:val="0"/>
                <w:color w:val="auto"/>
                <w:kern w:val="0"/>
                <w:sz w:val="24"/>
                <w:szCs w:val="24"/>
                <w:highlight w:val="none"/>
                <w:lang w:val="en-US" w:eastAsia="zh-CN" w:bidi="ar-SA"/>
              </w:rPr>
              <w:t>非甲烷总烃有组织</w:t>
            </w:r>
            <w:r>
              <w:rPr>
                <w:rFonts w:hint="eastAsia" w:ascii="Times New Roman" w:hAnsi="Times New Roman" w:eastAsia="宋体" w:cs="Times New Roman"/>
                <w:snapToGrid w:val="0"/>
                <w:color w:val="auto"/>
                <w:kern w:val="0"/>
                <w:sz w:val="24"/>
                <w:szCs w:val="24"/>
                <w:highlight w:val="none"/>
                <w:lang w:val="en-US" w:eastAsia="zh-CN" w:bidi="ar-SA"/>
              </w:rPr>
              <w:t>产生</w:t>
            </w:r>
            <w:r>
              <w:rPr>
                <w:rFonts w:hint="default" w:ascii="Times New Roman" w:hAnsi="Times New Roman" w:eastAsia="宋体" w:cs="Times New Roman"/>
                <w:snapToGrid w:val="0"/>
                <w:color w:val="auto"/>
                <w:kern w:val="0"/>
                <w:sz w:val="24"/>
                <w:szCs w:val="24"/>
                <w:highlight w:val="none"/>
                <w:lang w:val="en-US" w:eastAsia="zh-CN" w:bidi="ar-SA"/>
              </w:rPr>
              <w:t>量为</w:t>
            </w:r>
            <w:r>
              <w:rPr>
                <w:rFonts w:hint="eastAsia" w:ascii="Times New Roman" w:hAnsi="Times New Roman" w:eastAsia="宋体" w:cs="Times New Roman"/>
                <w:snapToGrid w:val="0"/>
                <w:color w:val="auto"/>
                <w:kern w:val="0"/>
                <w:sz w:val="24"/>
                <w:szCs w:val="24"/>
                <w:highlight w:val="none"/>
                <w:lang w:val="en-US" w:eastAsia="zh-CN" w:bidi="ar-SA"/>
              </w:rPr>
              <w:t>0.</w:t>
            </w:r>
            <w:r>
              <w:rPr>
                <w:rFonts w:hint="eastAsia" w:ascii="Times New Roman" w:hAnsi="Times New Roman" w:cs="Times New Roman"/>
                <w:snapToGrid w:val="0"/>
                <w:color w:val="auto"/>
                <w:kern w:val="0"/>
                <w:sz w:val="24"/>
                <w:szCs w:val="24"/>
                <w:highlight w:val="none"/>
                <w:lang w:val="en-US" w:eastAsia="zh-CN" w:bidi="ar-SA"/>
              </w:rPr>
              <w:t>057</w:t>
            </w:r>
            <w:r>
              <w:rPr>
                <w:rFonts w:hint="eastAsia" w:ascii="Times New Roman" w:hAnsi="Times New Roman" w:eastAsia="宋体" w:cs="Times New Roman"/>
                <w:snapToGrid w:val="0"/>
                <w:color w:val="auto"/>
                <w:kern w:val="0"/>
                <w:sz w:val="24"/>
                <w:szCs w:val="24"/>
                <w:highlight w:val="none"/>
                <w:lang w:val="en-US" w:eastAsia="zh-CN" w:bidi="ar-SA"/>
              </w:rPr>
              <w:t>t/a，产生速率为0.</w:t>
            </w:r>
            <w:r>
              <w:rPr>
                <w:rFonts w:hint="eastAsia" w:ascii="Times New Roman" w:hAnsi="Times New Roman" w:cs="Times New Roman"/>
                <w:snapToGrid w:val="0"/>
                <w:color w:val="auto"/>
                <w:kern w:val="0"/>
                <w:sz w:val="24"/>
                <w:szCs w:val="24"/>
                <w:highlight w:val="none"/>
                <w:lang w:val="en-US" w:eastAsia="zh-CN" w:bidi="ar-SA"/>
              </w:rPr>
              <w:t>024</w:t>
            </w:r>
            <w:r>
              <w:rPr>
                <w:rFonts w:hint="eastAsia" w:ascii="Times New Roman" w:hAnsi="Times New Roman" w:eastAsia="宋体" w:cs="Times New Roman"/>
                <w:snapToGrid w:val="0"/>
                <w:color w:val="auto"/>
                <w:kern w:val="0"/>
                <w:sz w:val="24"/>
                <w:szCs w:val="24"/>
                <w:highlight w:val="none"/>
                <w:lang w:val="en-US" w:eastAsia="zh-CN" w:bidi="ar-SA"/>
              </w:rPr>
              <w:t>kg/h</w:t>
            </w:r>
            <w:r>
              <w:rPr>
                <w:rFonts w:hint="eastAsia" w:ascii="Times New Roman" w:hAnsi="Times New Roman" w:cs="Times New Roman"/>
                <w:snapToGrid w:val="0"/>
                <w:color w:val="auto"/>
                <w:kern w:val="0"/>
                <w:sz w:val="24"/>
                <w:szCs w:val="24"/>
                <w:highlight w:val="none"/>
                <w:lang w:val="en-US" w:eastAsia="zh-CN" w:bidi="ar-SA"/>
              </w:rPr>
              <w:t>，</w:t>
            </w:r>
            <w:r>
              <w:rPr>
                <w:rFonts w:hint="default" w:ascii="Times New Roman" w:hAnsi="Times New Roman" w:cs="Times New Roman"/>
                <w:color w:val="auto"/>
                <w:sz w:val="24"/>
                <w:szCs w:val="32"/>
                <w:highlight w:val="none"/>
                <w:lang w:val="en-US" w:eastAsia="zh-CN"/>
              </w:rPr>
              <w:t>产生浓度为</w:t>
            </w:r>
            <w:r>
              <w:rPr>
                <w:rFonts w:hint="eastAsia" w:ascii="Times New Roman" w:hAnsi="Times New Roman" w:cs="Times New Roman"/>
                <w:color w:val="auto"/>
                <w:sz w:val="24"/>
                <w:szCs w:val="32"/>
                <w:highlight w:val="none"/>
                <w:lang w:val="en-US" w:eastAsia="zh-CN"/>
              </w:rPr>
              <w:t>16</w:t>
            </w:r>
            <w:r>
              <w:rPr>
                <w:rFonts w:hint="default" w:ascii="Times New Roman" w:hAnsi="Times New Roman" w:cs="Times New Roman"/>
                <w:color w:val="auto"/>
                <w:sz w:val="24"/>
                <w:szCs w:val="32"/>
                <w:highlight w:val="none"/>
              </w:rPr>
              <w:t>mg/m³；无组织产生及排放量为0.</w:t>
            </w:r>
            <w:r>
              <w:rPr>
                <w:rFonts w:hint="eastAsia" w:ascii="Times New Roman" w:hAnsi="Times New Roman" w:cs="Times New Roman"/>
                <w:color w:val="auto"/>
                <w:sz w:val="24"/>
                <w:szCs w:val="32"/>
                <w:highlight w:val="none"/>
                <w:lang w:val="en-US" w:eastAsia="zh-CN"/>
              </w:rPr>
              <w:t>064</w:t>
            </w:r>
            <w:r>
              <w:rPr>
                <w:rFonts w:hint="default" w:ascii="Times New Roman" w:hAnsi="Times New Roman" w:cs="Times New Roman"/>
                <w:color w:val="auto"/>
                <w:sz w:val="24"/>
                <w:szCs w:val="32"/>
                <w:highlight w:val="none"/>
              </w:rPr>
              <w:t>t/a，产生及排放速率为0.0</w:t>
            </w:r>
            <w:r>
              <w:rPr>
                <w:rFonts w:hint="eastAsia" w:ascii="Times New Roman" w:hAnsi="Times New Roman" w:cs="Times New Roman"/>
                <w:color w:val="auto"/>
                <w:sz w:val="24"/>
                <w:szCs w:val="32"/>
                <w:highlight w:val="none"/>
                <w:lang w:val="en-US" w:eastAsia="zh-CN"/>
              </w:rPr>
              <w:t>27</w:t>
            </w:r>
            <w:r>
              <w:rPr>
                <w:rFonts w:hint="default" w:ascii="Times New Roman" w:hAnsi="Times New Roman" w:cs="Times New Roman"/>
                <w:color w:val="auto"/>
                <w:sz w:val="24"/>
                <w:szCs w:val="32"/>
                <w:highlight w:val="none"/>
              </w:rPr>
              <w:t>kg/h</w:t>
            </w:r>
            <w:r>
              <w:rPr>
                <w:rFonts w:hint="eastAsia" w:ascii="Times New Roman" w:hAnsi="Times New Roman" w:eastAsia="宋体" w:cs="Times New Roman"/>
                <w:snapToGrid w:val="0"/>
                <w:color w:val="auto"/>
                <w:kern w:val="0"/>
                <w:sz w:val="24"/>
                <w:szCs w:val="24"/>
                <w:highlight w:val="none"/>
                <w:lang w:val="en-US" w:eastAsia="zh-CN" w:bidi="ar-SA"/>
              </w:rPr>
              <w:t>。</w:t>
            </w:r>
          </w:p>
          <w:p w14:paraId="0998FA97">
            <w:pPr>
              <w:spacing w:line="360" w:lineRule="auto"/>
              <w:ind w:firstLine="480" w:firstLineChars="200"/>
              <w:rPr>
                <w:rFonts w:hint="default" w:ascii="Times New Roman" w:hAnsi="Times New Roman" w:cs="Times New Roman"/>
                <w:b/>
                <w:bCs/>
                <w:color w:val="auto"/>
                <w:szCs w:val="21"/>
                <w:highlight w:val="none"/>
              </w:rPr>
            </w:pPr>
            <w:r>
              <w:rPr>
                <w:rFonts w:hint="default" w:ascii="Times New Roman" w:hAnsi="Times New Roman" w:cs="Times New Roman"/>
                <w:color w:val="auto"/>
                <w:sz w:val="24"/>
                <w:highlight w:val="none"/>
              </w:rPr>
              <w:t>项目建成后，全厂有组织废气产排情况如下：</w:t>
            </w:r>
          </w:p>
          <w:p w14:paraId="306ACE45">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 w:val="24"/>
                <w:highlight w:val="none"/>
              </w:rPr>
              <w:t>表4-</w:t>
            </w:r>
            <w:r>
              <w:rPr>
                <w:rFonts w:hint="eastAsia" w:cs="Times New Roman"/>
                <w:b/>
                <w:bCs/>
                <w:color w:val="auto"/>
                <w:sz w:val="24"/>
                <w:highlight w:val="none"/>
                <w:lang w:val="en-US" w:eastAsia="zh-CN"/>
              </w:rPr>
              <w:t>1</w:t>
            </w:r>
            <w:r>
              <w:rPr>
                <w:rFonts w:hint="default" w:ascii="Times New Roman" w:hAnsi="Times New Roman" w:cs="Times New Roman"/>
                <w:b/>
                <w:bCs/>
                <w:color w:val="auto"/>
                <w:sz w:val="24"/>
                <w:highlight w:val="none"/>
              </w:rPr>
              <w:t xml:space="preserve"> 本项目有组织废气污染物产排情况一览表</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398"/>
              <w:gridCol w:w="627"/>
              <w:gridCol w:w="627"/>
              <w:gridCol w:w="697"/>
              <w:gridCol w:w="399"/>
              <w:gridCol w:w="925"/>
              <w:gridCol w:w="399"/>
              <w:gridCol w:w="551"/>
              <w:gridCol w:w="551"/>
              <w:gridCol w:w="399"/>
              <w:gridCol w:w="627"/>
              <w:gridCol w:w="627"/>
              <w:gridCol w:w="697"/>
              <w:gridCol w:w="541"/>
              <w:gridCol w:w="697"/>
            </w:tblGrid>
            <w:tr w14:paraId="7904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restart"/>
                  <w:vAlign w:val="center"/>
                </w:tcPr>
                <w:p w14:paraId="714D881B">
                  <w:pPr>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产污环节</w:t>
                  </w:r>
                </w:p>
              </w:tc>
              <w:tc>
                <w:tcPr>
                  <w:tcW w:w="219" w:type="pct"/>
                  <w:vMerge w:val="restart"/>
                  <w:vAlign w:val="center"/>
                </w:tcPr>
                <w:p w14:paraId="5BA62AC3">
                  <w:pPr>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污染物种类</w:t>
                  </w:r>
                </w:p>
              </w:tc>
              <w:tc>
                <w:tcPr>
                  <w:tcW w:w="1066" w:type="pct"/>
                  <w:gridSpan w:val="3"/>
                  <w:vAlign w:val="center"/>
                </w:tcPr>
                <w:p w14:paraId="547DE8ED">
                  <w:pPr>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lang w:eastAsia="zh-CN"/>
                    </w:rPr>
                    <w:t>产生情况</w:t>
                  </w:r>
                </w:p>
              </w:tc>
              <w:tc>
                <w:tcPr>
                  <w:tcW w:w="222" w:type="pct"/>
                  <w:vMerge w:val="restart"/>
                  <w:vAlign w:val="center"/>
                </w:tcPr>
                <w:p w14:paraId="57426947">
                  <w:pPr>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排放形式</w:t>
                  </w:r>
                </w:p>
              </w:tc>
              <w:tc>
                <w:tcPr>
                  <w:tcW w:w="1508" w:type="pct"/>
                  <w:gridSpan w:val="5"/>
                  <w:vAlign w:val="center"/>
                </w:tcPr>
                <w:p w14:paraId="22C1CE05">
                  <w:pPr>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治理措施</w:t>
                  </w:r>
                </w:p>
              </w:tc>
              <w:tc>
                <w:tcPr>
                  <w:tcW w:w="1066" w:type="pct"/>
                  <w:gridSpan w:val="3"/>
                  <w:vAlign w:val="center"/>
                </w:tcPr>
                <w:p w14:paraId="3BE172FF">
                  <w:pPr>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lang w:eastAsia="zh-CN"/>
                    </w:rPr>
                    <w:t>排放源强</w:t>
                  </w:r>
                </w:p>
              </w:tc>
              <w:tc>
                <w:tcPr>
                  <w:tcW w:w="696" w:type="pct"/>
                  <w:gridSpan w:val="2"/>
                  <w:vAlign w:val="center"/>
                </w:tcPr>
                <w:p w14:paraId="6CD0456A">
                  <w:pPr>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lang w:eastAsia="zh-CN"/>
                    </w:rPr>
                    <w:t>排放标准</w:t>
                  </w:r>
                </w:p>
              </w:tc>
            </w:tr>
            <w:tr w14:paraId="4105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vMerge w:val="continue"/>
                  <w:vAlign w:val="center"/>
                </w:tcPr>
                <w:p w14:paraId="7351BD2E">
                  <w:pPr>
                    <w:jc w:val="center"/>
                    <w:rPr>
                      <w:rFonts w:hint="default" w:ascii="Times New Roman" w:hAnsi="Times New Roman" w:eastAsia="宋体" w:cs="Times New Roman"/>
                      <w:color w:val="auto"/>
                      <w:sz w:val="21"/>
                      <w:szCs w:val="21"/>
                      <w:highlight w:val="none"/>
                      <w:vertAlign w:val="baseline"/>
                    </w:rPr>
                  </w:pPr>
                </w:p>
              </w:tc>
              <w:tc>
                <w:tcPr>
                  <w:tcW w:w="219" w:type="pct"/>
                  <w:vMerge w:val="continue"/>
                  <w:vAlign w:val="center"/>
                </w:tcPr>
                <w:p w14:paraId="305FDF61">
                  <w:pPr>
                    <w:jc w:val="center"/>
                    <w:rPr>
                      <w:rFonts w:hint="default" w:ascii="Times New Roman" w:hAnsi="Times New Roman" w:eastAsia="宋体" w:cs="Times New Roman"/>
                      <w:color w:val="auto"/>
                      <w:sz w:val="21"/>
                      <w:szCs w:val="21"/>
                      <w:highlight w:val="none"/>
                      <w:vertAlign w:val="baseline"/>
                    </w:rPr>
                  </w:pPr>
                </w:p>
              </w:tc>
              <w:tc>
                <w:tcPr>
                  <w:tcW w:w="330" w:type="pct"/>
                  <w:vAlign w:val="center"/>
                </w:tcPr>
                <w:p w14:paraId="006DF204">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产生量</w:t>
                  </w:r>
                  <w:r>
                    <w:rPr>
                      <w:rFonts w:hint="default" w:ascii="Times New Roman" w:hAnsi="Times New Roman" w:eastAsia="宋体" w:cs="Times New Roman"/>
                      <w:color w:val="auto"/>
                      <w:sz w:val="21"/>
                      <w:szCs w:val="21"/>
                      <w:highlight w:val="none"/>
                      <w:vertAlign w:val="baseline"/>
                      <w:lang w:val="en-US" w:eastAsia="zh-CN"/>
                    </w:rPr>
                    <w:t>t/a</w:t>
                  </w:r>
                </w:p>
              </w:tc>
              <w:tc>
                <w:tcPr>
                  <w:tcW w:w="330" w:type="pct"/>
                  <w:vAlign w:val="center"/>
                </w:tcPr>
                <w:p w14:paraId="70DAF87A">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产生速率</w:t>
                  </w:r>
                  <w:r>
                    <w:rPr>
                      <w:rFonts w:hint="default" w:ascii="Times New Roman" w:hAnsi="Times New Roman" w:eastAsia="宋体" w:cs="Times New Roman"/>
                      <w:color w:val="auto"/>
                      <w:sz w:val="21"/>
                      <w:szCs w:val="21"/>
                      <w:highlight w:val="none"/>
                      <w:vertAlign w:val="baseline"/>
                      <w:lang w:val="en-US" w:eastAsia="zh-CN"/>
                    </w:rPr>
                    <w:t>kg/h</w:t>
                  </w:r>
                </w:p>
              </w:tc>
              <w:tc>
                <w:tcPr>
                  <w:tcW w:w="405" w:type="pct"/>
                  <w:vAlign w:val="center"/>
                </w:tcPr>
                <w:p w14:paraId="31464C65">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产生浓度</w:t>
                  </w:r>
                  <w:r>
                    <w:rPr>
                      <w:rFonts w:hint="default" w:ascii="Times New Roman" w:hAnsi="Times New Roman" w:eastAsia="宋体" w:cs="Times New Roman"/>
                      <w:color w:val="auto"/>
                      <w:sz w:val="21"/>
                      <w:szCs w:val="21"/>
                      <w:highlight w:val="none"/>
                      <w:vertAlign w:val="baseline"/>
                      <w:lang w:val="en-US" w:eastAsia="zh-CN"/>
                    </w:rPr>
                    <w:t>mg/m³</w:t>
                  </w:r>
                </w:p>
              </w:tc>
              <w:tc>
                <w:tcPr>
                  <w:tcW w:w="222" w:type="pct"/>
                  <w:vMerge w:val="continue"/>
                  <w:vAlign w:val="center"/>
                </w:tcPr>
                <w:p w14:paraId="0E54DF27">
                  <w:pPr>
                    <w:jc w:val="center"/>
                    <w:rPr>
                      <w:rFonts w:hint="default" w:ascii="Times New Roman" w:hAnsi="Times New Roman" w:eastAsia="宋体" w:cs="Times New Roman"/>
                      <w:color w:val="auto"/>
                      <w:sz w:val="21"/>
                      <w:szCs w:val="21"/>
                      <w:highlight w:val="none"/>
                      <w:vertAlign w:val="baseline"/>
                    </w:rPr>
                  </w:pPr>
                </w:p>
              </w:tc>
              <w:tc>
                <w:tcPr>
                  <w:tcW w:w="420" w:type="pct"/>
                  <w:vAlign w:val="center"/>
                </w:tcPr>
                <w:p w14:paraId="112F7217">
                  <w:pPr>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color w:val="auto"/>
                      <w:sz w:val="21"/>
                      <w:szCs w:val="21"/>
                      <w:highlight w:val="none"/>
                      <w:vertAlign w:val="baseline"/>
                      <w:lang w:eastAsia="zh-CN"/>
                    </w:rPr>
                    <w:t>风机风量</w:t>
                  </w:r>
                </w:p>
              </w:tc>
              <w:tc>
                <w:tcPr>
                  <w:tcW w:w="274" w:type="pct"/>
                  <w:vAlign w:val="center"/>
                </w:tcPr>
                <w:p w14:paraId="287B2CE9">
                  <w:pPr>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治理措施</w:t>
                  </w:r>
                </w:p>
              </w:tc>
              <w:tc>
                <w:tcPr>
                  <w:tcW w:w="294" w:type="pct"/>
                  <w:vAlign w:val="center"/>
                </w:tcPr>
                <w:p w14:paraId="61B7D58C">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收集效率</w:t>
                  </w:r>
                  <w:r>
                    <w:rPr>
                      <w:rFonts w:hint="default" w:ascii="Times New Roman" w:hAnsi="Times New Roman" w:eastAsia="宋体" w:cs="Times New Roman"/>
                      <w:color w:val="auto"/>
                      <w:sz w:val="21"/>
                      <w:szCs w:val="21"/>
                      <w:highlight w:val="none"/>
                      <w:vertAlign w:val="baseline"/>
                      <w:lang w:val="en-US" w:eastAsia="zh-CN"/>
                    </w:rPr>
                    <w:t>%</w:t>
                  </w:r>
                </w:p>
              </w:tc>
              <w:tc>
                <w:tcPr>
                  <w:tcW w:w="294" w:type="pct"/>
                  <w:vAlign w:val="center"/>
                </w:tcPr>
                <w:p w14:paraId="6946B1A9">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处理效率</w:t>
                  </w:r>
                  <w:r>
                    <w:rPr>
                      <w:rFonts w:hint="default" w:ascii="Times New Roman" w:hAnsi="Times New Roman" w:eastAsia="宋体" w:cs="Times New Roman"/>
                      <w:color w:val="auto"/>
                      <w:sz w:val="21"/>
                      <w:szCs w:val="21"/>
                      <w:highlight w:val="none"/>
                      <w:vertAlign w:val="baseline"/>
                      <w:lang w:val="en-US" w:eastAsia="zh-CN"/>
                    </w:rPr>
                    <w:t>%</w:t>
                  </w:r>
                </w:p>
              </w:tc>
              <w:tc>
                <w:tcPr>
                  <w:tcW w:w="226" w:type="pct"/>
                  <w:vAlign w:val="center"/>
                </w:tcPr>
                <w:p w14:paraId="4D43DDB2">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是否可行</w:t>
                  </w:r>
                </w:p>
              </w:tc>
              <w:tc>
                <w:tcPr>
                  <w:tcW w:w="330" w:type="pct"/>
                  <w:vAlign w:val="center"/>
                </w:tcPr>
                <w:p w14:paraId="62D337E1">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排放量</w:t>
                  </w:r>
                  <w:r>
                    <w:rPr>
                      <w:rFonts w:hint="default" w:ascii="Times New Roman" w:hAnsi="Times New Roman" w:eastAsia="宋体" w:cs="Times New Roman"/>
                      <w:color w:val="auto"/>
                      <w:sz w:val="21"/>
                      <w:szCs w:val="21"/>
                      <w:highlight w:val="none"/>
                      <w:vertAlign w:val="baseline"/>
                      <w:lang w:val="en-US" w:eastAsia="zh-CN"/>
                    </w:rPr>
                    <w:t>t/a</w:t>
                  </w:r>
                </w:p>
              </w:tc>
              <w:tc>
                <w:tcPr>
                  <w:tcW w:w="330" w:type="pct"/>
                  <w:vAlign w:val="center"/>
                </w:tcPr>
                <w:p w14:paraId="70DD111D">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排放速率</w:t>
                  </w:r>
                  <w:r>
                    <w:rPr>
                      <w:rFonts w:hint="default" w:ascii="Times New Roman" w:hAnsi="Times New Roman" w:eastAsia="宋体" w:cs="Times New Roman"/>
                      <w:color w:val="auto"/>
                      <w:sz w:val="21"/>
                      <w:szCs w:val="21"/>
                      <w:highlight w:val="none"/>
                      <w:vertAlign w:val="baseline"/>
                      <w:lang w:val="en-US" w:eastAsia="zh-CN"/>
                    </w:rPr>
                    <w:t>kg/h</w:t>
                  </w:r>
                </w:p>
              </w:tc>
              <w:tc>
                <w:tcPr>
                  <w:tcW w:w="405" w:type="pct"/>
                  <w:vAlign w:val="center"/>
                </w:tcPr>
                <w:p w14:paraId="078CC1C8">
                  <w:pPr>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排放浓度</w:t>
                  </w:r>
                  <w:r>
                    <w:rPr>
                      <w:rFonts w:hint="default" w:ascii="Times New Roman" w:hAnsi="Times New Roman" w:eastAsia="宋体" w:cs="Times New Roman"/>
                      <w:color w:val="auto"/>
                      <w:sz w:val="21"/>
                      <w:szCs w:val="21"/>
                      <w:highlight w:val="none"/>
                      <w:vertAlign w:val="baseline"/>
                      <w:lang w:val="en-US" w:eastAsia="zh-CN"/>
                    </w:rPr>
                    <w:t>mg/m³</w:t>
                  </w:r>
                </w:p>
              </w:tc>
              <w:tc>
                <w:tcPr>
                  <w:tcW w:w="290" w:type="pct"/>
                  <w:vAlign w:val="center"/>
                </w:tcPr>
                <w:p w14:paraId="0DF52503">
                  <w:pPr>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排放速率</w:t>
                  </w:r>
                  <w:r>
                    <w:rPr>
                      <w:rFonts w:hint="default" w:ascii="Times New Roman" w:hAnsi="Times New Roman" w:eastAsia="宋体" w:cs="Times New Roman"/>
                      <w:color w:val="auto"/>
                      <w:sz w:val="21"/>
                      <w:szCs w:val="21"/>
                      <w:highlight w:val="none"/>
                      <w:vertAlign w:val="baseline"/>
                      <w:lang w:val="en-US" w:eastAsia="zh-CN"/>
                    </w:rPr>
                    <w:t>kg/h</w:t>
                  </w:r>
                </w:p>
              </w:tc>
              <w:tc>
                <w:tcPr>
                  <w:tcW w:w="406" w:type="pct"/>
                  <w:vAlign w:val="center"/>
                </w:tcPr>
                <w:p w14:paraId="503C675F">
                  <w:pPr>
                    <w:jc w:val="center"/>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排放浓度</w:t>
                  </w:r>
                  <w:r>
                    <w:rPr>
                      <w:rFonts w:hint="default" w:ascii="Times New Roman" w:hAnsi="Times New Roman" w:eastAsia="宋体" w:cs="Times New Roman"/>
                      <w:color w:val="auto"/>
                      <w:sz w:val="21"/>
                      <w:szCs w:val="21"/>
                      <w:highlight w:val="none"/>
                      <w:vertAlign w:val="baseline"/>
                      <w:lang w:val="en-US" w:eastAsia="zh-CN"/>
                    </w:rPr>
                    <w:t>mg/m³</w:t>
                  </w:r>
                </w:p>
              </w:tc>
            </w:tr>
            <w:tr w14:paraId="0F7B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19" w:type="pct"/>
                  <w:vAlign w:val="center"/>
                </w:tcPr>
                <w:p w14:paraId="6DBF3779">
                  <w:pPr>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吹瓶</w:t>
                  </w:r>
                </w:p>
              </w:tc>
              <w:tc>
                <w:tcPr>
                  <w:tcW w:w="219" w:type="pct"/>
                  <w:vAlign w:val="center"/>
                </w:tcPr>
                <w:p w14:paraId="1EC2F3E2">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非甲烷总烃</w:t>
                  </w:r>
                </w:p>
              </w:tc>
              <w:tc>
                <w:tcPr>
                  <w:tcW w:w="330" w:type="pct"/>
                  <w:vAlign w:val="center"/>
                </w:tcPr>
                <w:p w14:paraId="0B790550">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0.573</w:t>
                  </w:r>
                </w:p>
              </w:tc>
              <w:tc>
                <w:tcPr>
                  <w:tcW w:w="330" w:type="pct"/>
                  <w:vAlign w:val="center"/>
                </w:tcPr>
                <w:p w14:paraId="0B090E56">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0.239</w:t>
                  </w:r>
                </w:p>
              </w:tc>
              <w:tc>
                <w:tcPr>
                  <w:tcW w:w="405" w:type="pct"/>
                  <w:vAlign w:val="center"/>
                </w:tcPr>
                <w:p w14:paraId="0F5784DA">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159.3</w:t>
                  </w:r>
                </w:p>
              </w:tc>
              <w:tc>
                <w:tcPr>
                  <w:tcW w:w="222" w:type="pct"/>
                  <w:vAlign w:val="center"/>
                </w:tcPr>
                <w:p w14:paraId="3C47EA6A">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有组织</w:t>
                  </w:r>
                </w:p>
              </w:tc>
              <w:tc>
                <w:tcPr>
                  <w:tcW w:w="420" w:type="pct"/>
                  <w:vAlign w:val="center"/>
                </w:tcPr>
                <w:p w14:paraId="33D38035">
                  <w:pPr>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r>
                    <w:rPr>
                      <w:rFonts w:hint="eastAsia" w:cs="Times New Roman"/>
                      <w:color w:val="auto"/>
                      <w:sz w:val="21"/>
                      <w:szCs w:val="21"/>
                      <w:highlight w:val="none"/>
                      <w:vertAlign w:val="baseline"/>
                      <w:lang w:val="en-US" w:eastAsia="zh-CN"/>
                    </w:rPr>
                    <w:t>5</w:t>
                  </w:r>
                  <w:r>
                    <w:rPr>
                      <w:rFonts w:hint="eastAsia" w:ascii="Times New Roman" w:hAnsi="Times New Roman" w:cs="Times New Roman"/>
                      <w:color w:val="auto"/>
                      <w:sz w:val="21"/>
                      <w:szCs w:val="21"/>
                      <w:highlight w:val="none"/>
                      <w:vertAlign w:val="baseline"/>
                      <w:lang w:val="en-US" w:eastAsia="zh-CN"/>
                    </w:rPr>
                    <w:t>0</w:t>
                  </w:r>
                  <w:r>
                    <w:rPr>
                      <w:rFonts w:hint="eastAsia" w:cs="Times New Roman"/>
                      <w:color w:val="auto"/>
                      <w:sz w:val="21"/>
                      <w:szCs w:val="21"/>
                      <w:highlight w:val="none"/>
                      <w:vertAlign w:val="baseline"/>
                      <w:lang w:val="en-US" w:eastAsia="zh-CN"/>
                    </w:rPr>
                    <w:t>0</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vertAlign w:val="baseline"/>
                      <w:lang w:val="en-US" w:eastAsia="zh-CN"/>
                    </w:rPr>
                    <w:t>/h</w:t>
                  </w:r>
                </w:p>
              </w:tc>
              <w:tc>
                <w:tcPr>
                  <w:tcW w:w="274" w:type="pct"/>
                  <w:vAlign w:val="center"/>
                </w:tcPr>
                <w:p w14:paraId="2B48CBF5">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集气罩+两级活性炭</w:t>
                  </w:r>
                </w:p>
              </w:tc>
              <w:tc>
                <w:tcPr>
                  <w:tcW w:w="294" w:type="pct"/>
                  <w:vAlign w:val="center"/>
                </w:tcPr>
                <w:p w14:paraId="7863D82F">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90</w:t>
                  </w:r>
                </w:p>
              </w:tc>
              <w:tc>
                <w:tcPr>
                  <w:tcW w:w="294" w:type="pct"/>
                  <w:vAlign w:val="center"/>
                </w:tcPr>
                <w:p w14:paraId="17FAA50D">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90</w:t>
                  </w:r>
                </w:p>
              </w:tc>
              <w:tc>
                <w:tcPr>
                  <w:tcW w:w="226" w:type="pct"/>
                  <w:vAlign w:val="center"/>
                </w:tcPr>
                <w:p w14:paraId="0BB6D99A">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是</w:t>
                  </w:r>
                </w:p>
              </w:tc>
              <w:tc>
                <w:tcPr>
                  <w:tcW w:w="330" w:type="pct"/>
                  <w:vAlign w:val="center"/>
                </w:tcPr>
                <w:p w14:paraId="55C1138E">
                  <w:pPr>
                    <w:jc w:val="center"/>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0.057</w:t>
                  </w:r>
                </w:p>
              </w:tc>
              <w:tc>
                <w:tcPr>
                  <w:tcW w:w="330" w:type="pct"/>
                  <w:vAlign w:val="center"/>
                </w:tcPr>
                <w:p w14:paraId="0CD98608">
                  <w:pPr>
                    <w:jc w:val="center"/>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0.024</w:t>
                  </w:r>
                </w:p>
              </w:tc>
              <w:tc>
                <w:tcPr>
                  <w:tcW w:w="405" w:type="pct"/>
                  <w:vAlign w:val="center"/>
                </w:tcPr>
                <w:p w14:paraId="2E233EF5">
                  <w:pPr>
                    <w:jc w:val="center"/>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16</w:t>
                  </w:r>
                </w:p>
              </w:tc>
              <w:tc>
                <w:tcPr>
                  <w:tcW w:w="290" w:type="pct"/>
                  <w:vAlign w:val="center"/>
                </w:tcPr>
                <w:p w14:paraId="5C027C7F">
                  <w:pPr>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406" w:type="pct"/>
                  <w:vAlign w:val="center"/>
                </w:tcPr>
                <w:p w14:paraId="376F16FF">
                  <w:pPr>
                    <w:jc w:val="center"/>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4</w:t>
                  </w:r>
                  <w:r>
                    <w:rPr>
                      <w:rFonts w:hint="default" w:ascii="Times New Roman" w:hAnsi="Times New Roman" w:eastAsia="宋体" w:cs="Times New Roman"/>
                      <w:color w:val="auto"/>
                      <w:sz w:val="21"/>
                      <w:szCs w:val="21"/>
                      <w:highlight w:val="none"/>
                      <w:vertAlign w:val="baseline"/>
                      <w:lang w:val="en-US" w:eastAsia="zh-CN"/>
                    </w:rPr>
                    <w:t>0</w:t>
                  </w:r>
                </w:p>
              </w:tc>
            </w:tr>
          </w:tbl>
          <w:p w14:paraId="6EFF6F3A">
            <w:pPr>
              <w:spacing w:before="120" w:beforeLines="5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表4-</w:t>
            </w:r>
            <w:r>
              <w:rPr>
                <w:rFonts w:hint="eastAsia" w:cs="Times New Roman"/>
                <w:b/>
                <w:bCs/>
                <w:color w:val="auto"/>
                <w:sz w:val="24"/>
                <w:highlight w:val="none"/>
                <w:lang w:val="en-US" w:eastAsia="zh-CN"/>
              </w:rPr>
              <w:t>2</w:t>
            </w:r>
            <w:r>
              <w:rPr>
                <w:rFonts w:hint="default" w:ascii="Times New Roman" w:hAnsi="Times New Roman" w:cs="Times New Roman"/>
                <w:b/>
                <w:bCs/>
                <w:color w:val="auto"/>
                <w:sz w:val="24"/>
                <w:highlight w:val="none"/>
              </w:rPr>
              <w:t xml:space="preserve">  无组织废气污染物产排情况一览表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0"/>
              <w:gridCol w:w="2381"/>
              <w:gridCol w:w="1138"/>
              <w:gridCol w:w="1432"/>
              <w:gridCol w:w="1523"/>
            </w:tblGrid>
            <w:tr w14:paraId="2806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pct"/>
                  <w:vMerge w:val="restart"/>
                  <w:vAlign w:val="center"/>
                </w:tcPr>
                <w:p w14:paraId="73F55AB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污染源</w:t>
                  </w:r>
                </w:p>
              </w:tc>
              <w:tc>
                <w:tcPr>
                  <w:tcW w:w="770" w:type="pct"/>
                  <w:vMerge w:val="restart"/>
                  <w:vAlign w:val="center"/>
                </w:tcPr>
                <w:p w14:paraId="174CCDC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污染物</w:t>
                  </w:r>
                </w:p>
              </w:tc>
              <w:tc>
                <w:tcPr>
                  <w:tcW w:w="1300" w:type="pct"/>
                  <w:vMerge w:val="restart"/>
                  <w:vAlign w:val="center"/>
                </w:tcPr>
                <w:p w14:paraId="2520850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面源参数（长宽高</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m）</w:t>
                  </w:r>
                </w:p>
              </w:tc>
              <w:tc>
                <w:tcPr>
                  <w:tcW w:w="621" w:type="pct"/>
                  <w:vMerge w:val="restart"/>
                  <w:vAlign w:val="center"/>
                </w:tcPr>
                <w:p w14:paraId="226A294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排放时间</w:t>
                  </w:r>
                </w:p>
              </w:tc>
              <w:tc>
                <w:tcPr>
                  <w:tcW w:w="1613" w:type="pct"/>
                  <w:gridSpan w:val="2"/>
                  <w:vAlign w:val="center"/>
                </w:tcPr>
                <w:p w14:paraId="16031AD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排放情况</w:t>
                  </w:r>
                </w:p>
              </w:tc>
            </w:tr>
            <w:tr w14:paraId="69E7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94" w:type="pct"/>
                  <w:vMerge w:val="continue"/>
                  <w:vAlign w:val="center"/>
                </w:tcPr>
                <w:p w14:paraId="7158CA57">
                  <w:pPr>
                    <w:jc w:val="center"/>
                    <w:rPr>
                      <w:rFonts w:hint="default" w:ascii="Times New Roman" w:hAnsi="Times New Roman" w:cs="Times New Roman"/>
                      <w:color w:val="auto"/>
                      <w:szCs w:val="21"/>
                      <w:highlight w:val="none"/>
                    </w:rPr>
                  </w:pPr>
                </w:p>
              </w:tc>
              <w:tc>
                <w:tcPr>
                  <w:tcW w:w="770" w:type="pct"/>
                  <w:vMerge w:val="continue"/>
                  <w:vAlign w:val="center"/>
                </w:tcPr>
                <w:p w14:paraId="47BFD7A7">
                  <w:pPr>
                    <w:jc w:val="center"/>
                    <w:rPr>
                      <w:rFonts w:hint="default" w:ascii="Times New Roman" w:hAnsi="Times New Roman" w:cs="Times New Roman"/>
                      <w:color w:val="auto"/>
                      <w:szCs w:val="21"/>
                      <w:highlight w:val="none"/>
                    </w:rPr>
                  </w:pPr>
                </w:p>
              </w:tc>
              <w:tc>
                <w:tcPr>
                  <w:tcW w:w="1300" w:type="pct"/>
                  <w:vMerge w:val="continue"/>
                  <w:vAlign w:val="center"/>
                </w:tcPr>
                <w:p w14:paraId="403D43EE">
                  <w:pPr>
                    <w:jc w:val="center"/>
                    <w:rPr>
                      <w:rFonts w:hint="default" w:ascii="Times New Roman" w:hAnsi="Times New Roman" w:cs="Times New Roman"/>
                      <w:color w:val="auto"/>
                      <w:szCs w:val="21"/>
                      <w:highlight w:val="none"/>
                    </w:rPr>
                  </w:pPr>
                </w:p>
              </w:tc>
              <w:tc>
                <w:tcPr>
                  <w:tcW w:w="621" w:type="pct"/>
                  <w:vMerge w:val="continue"/>
                  <w:vAlign w:val="center"/>
                </w:tcPr>
                <w:p w14:paraId="1C68F727">
                  <w:pPr>
                    <w:jc w:val="center"/>
                    <w:rPr>
                      <w:rFonts w:hint="default" w:ascii="Times New Roman" w:hAnsi="Times New Roman" w:cs="Times New Roman"/>
                      <w:color w:val="auto"/>
                      <w:szCs w:val="21"/>
                      <w:highlight w:val="none"/>
                    </w:rPr>
                  </w:pPr>
                </w:p>
              </w:tc>
              <w:tc>
                <w:tcPr>
                  <w:tcW w:w="782" w:type="pct"/>
                  <w:vAlign w:val="center"/>
                </w:tcPr>
                <w:p w14:paraId="6E64AFB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排放量（t/a）</w:t>
                  </w:r>
                </w:p>
              </w:tc>
              <w:tc>
                <w:tcPr>
                  <w:tcW w:w="831" w:type="pct"/>
                  <w:vAlign w:val="center"/>
                </w:tcPr>
                <w:p w14:paraId="6703E2E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速率（kg/h）</w:t>
                  </w:r>
                </w:p>
              </w:tc>
            </w:tr>
            <w:tr w14:paraId="741A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4" w:type="pct"/>
                  <w:vAlign w:val="center"/>
                </w:tcPr>
                <w:p w14:paraId="0732944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吹瓶</w:t>
                  </w:r>
                </w:p>
              </w:tc>
              <w:tc>
                <w:tcPr>
                  <w:tcW w:w="770" w:type="pct"/>
                  <w:vAlign w:val="center"/>
                </w:tcPr>
                <w:p w14:paraId="1A0AFCF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非甲烷总烃</w:t>
                  </w:r>
                </w:p>
              </w:tc>
              <w:tc>
                <w:tcPr>
                  <w:tcW w:w="1300" w:type="pct"/>
                  <w:vAlign w:val="center"/>
                </w:tcPr>
                <w:p w14:paraId="16960D42">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highlight w:val="none"/>
                      <w:lang w:val="en-US" w:eastAsia="zh-CN"/>
                    </w:rPr>
                    <w:t>60×26×8</w:t>
                  </w:r>
                </w:p>
              </w:tc>
              <w:tc>
                <w:tcPr>
                  <w:tcW w:w="621" w:type="pct"/>
                  <w:vAlign w:val="center"/>
                </w:tcPr>
                <w:p w14:paraId="5711C3C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24</w:t>
                  </w:r>
                  <w:r>
                    <w:rPr>
                      <w:rFonts w:hint="default" w:ascii="Times New Roman" w:hAnsi="Times New Roman" w:cs="Times New Roman"/>
                      <w:color w:val="auto"/>
                      <w:szCs w:val="21"/>
                      <w:highlight w:val="none"/>
                    </w:rPr>
                    <w:t>00h</w:t>
                  </w:r>
                </w:p>
              </w:tc>
              <w:tc>
                <w:tcPr>
                  <w:tcW w:w="782" w:type="pct"/>
                  <w:vAlign w:val="center"/>
                </w:tcPr>
                <w:p w14:paraId="6E8E568B">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w:t>
                  </w:r>
                  <w:r>
                    <w:rPr>
                      <w:rFonts w:hint="default" w:ascii="Times New Roman" w:hAnsi="Times New Roman" w:cs="Times New Roman"/>
                      <w:color w:val="auto"/>
                      <w:szCs w:val="21"/>
                      <w:highlight w:val="none"/>
                      <w:lang w:val="en-US" w:eastAsia="zh-CN"/>
                    </w:rPr>
                    <w:t>064</w:t>
                  </w:r>
                </w:p>
              </w:tc>
              <w:tc>
                <w:tcPr>
                  <w:tcW w:w="831" w:type="pct"/>
                  <w:vAlign w:val="center"/>
                </w:tcPr>
                <w:p w14:paraId="5C579445">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0.027</w:t>
                  </w:r>
                </w:p>
              </w:tc>
            </w:tr>
          </w:tbl>
          <w:p w14:paraId="62D44503">
            <w:pPr>
              <w:adjustRightInd w:val="0"/>
              <w:spacing w:line="360" w:lineRule="auto"/>
              <w:ind w:firstLine="482" w:firstLineChars="200"/>
              <w:rPr>
                <w:rFonts w:hint="default" w:ascii="Times New Roman" w:hAnsi="Times New Roman" w:cs="Times New Roman"/>
                <w:b/>
                <w:bCs/>
                <w:color w:val="auto"/>
                <w:kern w:val="0"/>
                <w:sz w:val="24"/>
                <w:highlight w:val="none"/>
              </w:rPr>
            </w:pPr>
            <w:r>
              <w:rPr>
                <w:rFonts w:hint="default" w:ascii="Times New Roman" w:hAnsi="Times New Roman" w:cs="Times New Roman"/>
                <w:b/>
                <w:color w:val="auto"/>
                <w:sz w:val="24"/>
                <w:highlight w:val="none"/>
              </w:rPr>
              <w:t>2、</w:t>
            </w:r>
            <w:r>
              <w:rPr>
                <w:rFonts w:hint="default" w:ascii="Times New Roman" w:hAnsi="Times New Roman" w:cs="Times New Roman"/>
                <w:b/>
                <w:bCs/>
                <w:color w:val="auto"/>
                <w:sz w:val="24"/>
                <w:highlight w:val="none"/>
              </w:rPr>
              <w:t>大气环境影响分析</w:t>
            </w:r>
          </w:p>
          <w:p w14:paraId="382E8E11">
            <w:pPr>
              <w:pStyle w:val="14"/>
              <w:spacing w:before="0" w:after="0" w:line="360" w:lineRule="auto"/>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本项目废气主要为</w:t>
            </w:r>
            <w:r>
              <w:rPr>
                <w:rFonts w:hint="eastAsia" w:ascii="Times New Roman" w:hAnsi="Times New Roman" w:cs="Times New Roman"/>
                <w:color w:val="auto"/>
                <w:sz w:val="24"/>
                <w:szCs w:val="24"/>
                <w:highlight w:val="none"/>
                <w:lang w:eastAsia="zh-CN"/>
              </w:rPr>
              <w:t>吹瓶</w:t>
            </w:r>
            <w:r>
              <w:rPr>
                <w:rFonts w:hint="default" w:ascii="Times New Roman" w:hAnsi="Times New Roman" w:cs="Times New Roman"/>
                <w:color w:val="auto"/>
                <w:sz w:val="24"/>
                <w:szCs w:val="24"/>
                <w:highlight w:val="none"/>
              </w:rPr>
              <w:t>产生的有机废气。</w:t>
            </w:r>
          </w:p>
          <w:p w14:paraId="788FB56B">
            <w:pPr>
              <w:pStyle w:val="277"/>
              <w:ind w:firstLine="480"/>
              <w:rPr>
                <w:rFonts w:hint="default" w:ascii="Times New Roman" w:hAnsi="Times New Roman" w:cs="Times New Roman"/>
                <w:bCs/>
                <w:color w:val="auto"/>
                <w:highlight w:val="none"/>
              </w:rPr>
            </w:pPr>
            <w:r>
              <w:rPr>
                <w:rFonts w:hint="default" w:ascii="Times New Roman" w:hAnsi="Times New Roman" w:cs="Times New Roman"/>
                <w:color w:val="auto"/>
                <w:highlight w:val="none"/>
              </w:rPr>
              <w:t>（1）污染物排放达标分析</w:t>
            </w:r>
          </w:p>
          <w:p w14:paraId="5C60B5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szCs w:val="24"/>
                <w:highlight w:val="none"/>
                <w:lang w:eastAsia="zh-CN"/>
              </w:rPr>
              <w:t>吹瓶</w:t>
            </w:r>
            <w:r>
              <w:rPr>
                <w:rFonts w:hint="default" w:ascii="Times New Roman" w:hAnsi="Times New Roman" w:cs="Times New Roman"/>
                <w:color w:val="auto"/>
                <w:sz w:val="24"/>
                <w:highlight w:val="none"/>
              </w:rPr>
              <w:t>产生的非甲烷总烃经两级活性炭吸附治理后通过一根1</w:t>
            </w:r>
            <w:r>
              <w:rPr>
                <w:rFonts w:hint="eastAsia" w:cs="Times New Roman"/>
                <w:color w:val="auto"/>
                <w:sz w:val="24"/>
                <w:highlight w:val="none"/>
                <w:lang w:val="en-US" w:eastAsia="zh-CN"/>
              </w:rPr>
              <w:t>5</w:t>
            </w:r>
            <w:r>
              <w:rPr>
                <w:rFonts w:hint="default" w:ascii="Times New Roman" w:hAnsi="Times New Roman" w:cs="Times New Roman"/>
                <w:color w:val="auto"/>
                <w:sz w:val="24"/>
                <w:highlight w:val="none"/>
              </w:rPr>
              <w:t>m排气筒DA001排放，非甲烷总烃浓度为</w:t>
            </w:r>
            <w:r>
              <w:rPr>
                <w:rFonts w:hint="eastAsia" w:cs="Times New Roman"/>
                <w:color w:val="auto"/>
                <w:sz w:val="24"/>
                <w:highlight w:val="none"/>
                <w:lang w:val="en-US" w:eastAsia="zh-CN"/>
              </w:rPr>
              <w:t>16</w:t>
            </w:r>
            <w:r>
              <w:rPr>
                <w:rFonts w:hint="default" w:ascii="Times New Roman" w:hAnsi="Times New Roman" w:cs="Times New Roman"/>
                <w:color w:val="auto"/>
                <w:sz w:val="24"/>
                <w:highlight w:val="none"/>
              </w:rPr>
              <w:t>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，能够满足</w:t>
            </w:r>
            <w:r>
              <w:rPr>
                <w:rFonts w:hint="eastAsia" w:ascii="宋体" w:hAnsi="宋体" w:eastAsia="宋体" w:cs="宋体"/>
                <w:color w:val="auto"/>
                <w:kern w:val="0"/>
                <w:sz w:val="24"/>
                <w:szCs w:val="24"/>
                <w:highlight w:val="none"/>
                <w:lang w:val="en-US" w:eastAsia="zh-CN" w:bidi="ar"/>
              </w:rPr>
              <w:t>《合成树脂工业污染物排放标准》</w:t>
            </w:r>
            <w:r>
              <w:rPr>
                <w:rFonts w:hint="default" w:ascii="Times New Roman" w:hAnsi="Times New Roman" w:eastAsia="宋体" w:cs="Times New Roman"/>
                <w:color w:val="auto"/>
                <w:kern w:val="0"/>
                <w:sz w:val="24"/>
                <w:szCs w:val="24"/>
                <w:highlight w:val="none"/>
                <w:lang w:val="en-US" w:eastAsia="zh-CN" w:bidi="ar"/>
              </w:rPr>
              <w:t>（GB31572-2015</w:t>
            </w:r>
            <w:r>
              <w:rPr>
                <w:rFonts w:hint="eastAsia" w:ascii="Times New Roman" w:hAnsi="Times New Roman" w:cs="Times New Roman"/>
                <w:color w:val="auto"/>
                <w:sz w:val="24"/>
                <w:szCs w:val="32"/>
                <w:highlight w:val="none"/>
                <w:lang w:eastAsia="zh-CN"/>
              </w:rPr>
              <w:t>，含</w:t>
            </w:r>
            <w:r>
              <w:rPr>
                <w:rFonts w:hint="eastAsia" w:ascii="Times New Roman" w:hAnsi="Times New Roman" w:cs="Times New Roman"/>
                <w:color w:val="auto"/>
                <w:sz w:val="24"/>
                <w:szCs w:val="32"/>
                <w:highlight w:val="none"/>
                <w:lang w:val="en-US" w:eastAsia="zh-CN"/>
              </w:rPr>
              <w:t>2024年修改单</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表</w:t>
            </w:r>
            <w:r>
              <w:rPr>
                <w:rFonts w:hint="default" w:ascii="Times New Roman" w:hAnsi="Times New Roman" w:eastAsia="宋体" w:cs="Times New Roman"/>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大气污染物特别排放限值</w:t>
            </w:r>
            <w:r>
              <w:rPr>
                <w:rFonts w:hint="eastAsia" w:ascii="宋体" w:hAnsi="宋体" w:cs="宋体"/>
                <w:color w:val="auto"/>
                <w:kern w:val="0"/>
                <w:sz w:val="24"/>
                <w:szCs w:val="24"/>
                <w:highlight w:val="none"/>
                <w:lang w:val="en-US" w:eastAsia="zh-CN" w:bidi="ar"/>
              </w:rPr>
              <w:t>与</w:t>
            </w:r>
            <w:r>
              <w:rPr>
                <w:rFonts w:hint="eastAsia"/>
                <w:color w:val="auto"/>
                <w:sz w:val="24"/>
                <w:szCs w:val="24"/>
                <w:highlight w:val="none"/>
                <w:lang w:val="en-US" w:eastAsia="zh-CN"/>
              </w:rPr>
              <w:t>安徽省《固定源挥发性有机物综合排放标准第6部分：其他行业》（DB34/4812.6-2024）塑料制品工业中的严值</w:t>
            </w:r>
            <w:r>
              <w:rPr>
                <w:rFonts w:hint="default" w:ascii="Times New Roman" w:hAnsi="Times New Roman" w:cs="Times New Roman"/>
                <w:color w:val="auto"/>
                <w:sz w:val="24"/>
                <w:highlight w:val="none"/>
              </w:rPr>
              <w:t>（非甲烷总烃≤</w:t>
            </w:r>
            <w:r>
              <w:rPr>
                <w:rFonts w:hint="eastAsia" w:cs="Times New Roman"/>
                <w:color w:val="auto"/>
                <w:sz w:val="24"/>
                <w:highlight w:val="none"/>
                <w:lang w:val="en-US" w:eastAsia="zh-CN"/>
              </w:rPr>
              <w:t>4</w:t>
            </w:r>
            <w:r>
              <w:rPr>
                <w:rFonts w:hint="default" w:ascii="Times New Roman" w:hAnsi="Times New Roman" w:cs="Times New Roman"/>
                <w:color w:val="auto"/>
                <w:sz w:val="24"/>
                <w:highlight w:val="none"/>
              </w:rPr>
              <w:t>0mg/m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p>
          <w:p w14:paraId="27A432A8">
            <w:pPr>
              <w:ind w:firstLine="482" w:firstLineChars="200"/>
              <w:jc w:val="center"/>
              <w:rPr>
                <w:rFonts w:hint="default" w:ascii="Times New Roman" w:hAnsi="Times New Roman" w:cs="Times New Roman"/>
                <w:b/>
                <w:bCs/>
                <w:color w:val="auto"/>
                <w:kern w:val="0"/>
                <w:sz w:val="24"/>
                <w:highlight w:val="none"/>
                <w:lang w:bidi="ar"/>
              </w:rPr>
            </w:pPr>
            <w:r>
              <w:rPr>
                <w:rFonts w:hint="default" w:ascii="Times New Roman" w:hAnsi="Times New Roman" w:cs="Times New Roman"/>
                <w:b/>
                <w:bCs/>
                <w:color w:val="auto"/>
                <w:kern w:val="0"/>
                <w:sz w:val="24"/>
                <w:highlight w:val="none"/>
                <w:lang w:bidi="ar"/>
              </w:rPr>
              <w:t>表4-</w:t>
            </w:r>
            <w:r>
              <w:rPr>
                <w:rFonts w:hint="eastAsia" w:cs="Times New Roman"/>
                <w:b/>
                <w:bCs/>
                <w:color w:val="auto"/>
                <w:kern w:val="0"/>
                <w:sz w:val="24"/>
                <w:highlight w:val="none"/>
                <w:lang w:val="en-US" w:eastAsia="zh-CN" w:bidi="ar"/>
              </w:rPr>
              <w:t>3</w:t>
            </w:r>
            <w:r>
              <w:rPr>
                <w:rFonts w:hint="default" w:ascii="Times New Roman" w:hAnsi="Times New Roman" w:cs="Times New Roman"/>
                <w:b/>
                <w:bCs/>
                <w:color w:val="auto"/>
                <w:kern w:val="0"/>
                <w:sz w:val="24"/>
                <w:highlight w:val="none"/>
                <w:lang w:bidi="ar"/>
              </w:rPr>
              <w:t xml:space="preserve">  建设项目废气排放口基本情况表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426"/>
              <w:gridCol w:w="1010"/>
              <w:gridCol w:w="1227"/>
              <w:gridCol w:w="1010"/>
              <w:gridCol w:w="1227"/>
              <w:gridCol w:w="551"/>
              <w:gridCol w:w="971"/>
              <w:gridCol w:w="807"/>
              <w:gridCol w:w="1091"/>
            </w:tblGrid>
            <w:tr w14:paraId="2073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4" w:type="pct"/>
                  <w:vMerge w:val="restart"/>
                  <w:vAlign w:val="center"/>
                </w:tcPr>
                <w:p w14:paraId="114D71B2">
                  <w:pPr>
                    <w:bidi w:val="0"/>
                    <w:jc w:val="center"/>
                    <w:rPr>
                      <w:rFonts w:hint="default"/>
                      <w:color w:val="auto"/>
                      <w:highlight w:val="none"/>
                    </w:rPr>
                  </w:pPr>
                  <w:r>
                    <w:rPr>
                      <w:rFonts w:hint="default"/>
                      <w:color w:val="auto"/>
                      <w:highlight w:val="none"/>
                    </w:rPr>
                    <w:t>排放口编号</w:t>
                  </w:r>
                </w:p>
              </w:tc>
              <w:tc>
                <w:tcPr>
                  <w:tcW w:w="232" w:type="pct"/>
                  <w:vMerge w:val="restart"/>
                  <w:vAlign w:val="center"/>
                </w:tcPr>
                <w:p w14:paraId="23CEA180">
                  <w:pPr>
                    <w:bidi w:val="0"/>
                    <w:jc w:val="center"/>
                    <w:rPr>
                      <w:rFonts w:hint="default"/>
                      <w:color w:val="auto"/>
                      <w:highlight w:val="none"/>
                    </w:rPr>
                  </w:pPr>
                  <w:r>
                    <w:rPr>
                      <w:rFonts w:hint="default"/>
                      <w:color w:val="auto"/>
                      <w:highlight w:val="none"/>
                    </w:rPr>
                    <w:t>污染物种类</w:t>
                  </w:r>
                </w:p>
              </w:tc>
              <w:tc>
                <w:tcPr>
                  <w:tcW w:w="1221" w:type="pct"/>
                  <w:gridSpan w:val="2"/>
                  <w:vAlign w:val="center"/>
                </w:tcPr>
                <w:p w14:paraId="0D809F92">
                  <w:pPr>
                    <w:bidi w:val="0"/>
                    <w:jc w:val="center"/>
                    <w:rPr>
                      <w:rFonts w:hint="default"/>
                      <w:color w:val="auto"/>
                      <w:highlight w:val="none"/>
                    </w:rPr>
                  </w:pPr>
                  <w:r>
                    <w:rPr>
                      <w:rFonts w:hint="default"/>
                      <w:color w:val="auto"/>
                      <w:highlight w:val="none"/>
                    </w:rPr>
                    <w:t>排放情况</w:t>
                  </w:r>
                </w:p>
              </w:tc>
              <w:tc>
                <w:tcPr>
                  <w:tcW w:w="1221" w:type="pct"/>
                  <w:gridSpan w:val="2"/>
                  <w:vAlign w:val="center"/>
                </w:tcPr>
                <w:p w14:paraId="09221D9E">
                  <w:pPr>
                    <w:bidi w:val="0"/>
                    <w:jc w:val="center"/>
                    <w:rPr>
                      <w:rFonts w:hint="default"/>
                      <w:color w:val="auto"/>
                      <w:highlight w:val="none"/>
                    </w:rPr>
                  </w:pPr>
                  <w:r>
                    <w:rPr>
                      <w:rFonts w:hint="default"/>
                      <w:color w:val="auto"/>
                      <w:highlight w:val="none"/>
                    </w:rPr>
                    <w:t>排放标准</w:t>
                  </w:r>
                </w:p>
              </w:tc>
              <w:tc>
                <w:tcPr>
                  <w:tcW w:w="302" w:type="pct"/>
                  <w:vMerge w:val="restart"/>
                  <w:vAlign w:val="center"/>
                </w:tcPr>
                <w:p w14:paraId="410B432C">
                  <w:pPr>
                    <w:bidi w:val="0"/>
                    <w:jc w:val="center"/>
                    <w:rPr>
                      <w:rFonts w:hint="default"/>
                      <w:color w:val="auto"/>
                      <w:highlight w:val="none"/>
                    </w:rPr>
                  </w:pPr>
                  <w:r>
                    <w:rPr>
                      <w:rFonts w:hint="default"/>
                      <w:color w:val="auto"/>
                      <w:highlight w:val="none"/>
                    </w:rPr>
                    <w:t>排放口类型</w:t>
                  </w:r>
                </w:p>
              </w:tc>
              <w:tc>
                <w:tcPr>
                  <w:tcW w:w="1568" w:type="pct"/>
                  <w:gridSpan w:val="3"/>
                  <w:vAlign w:val="center"/>
                </w:tcPr>
                <w:p w14:paraId="64259635">
                  <w:pPr>
                    <w:bidi w:val="0"/>
                    <w:jc w:val="center"/>
                    <w:rPr>
                      <w:rFonts w:hint="default"/>
                      <w:color w:val="auto"/>
                      <w:highlight w:val="none"/>
                    </w:rPr>
                  </w:pPr>
                  <w:r>
                    <w:rPr>
                      <w:rFonts w:hint="default"/>
                      <w:color w:val="auto"/>
                      <w:highlight w:val="none"/>
                    </w:rPr>
                    <w:t>排放口参数</w:t>
                  </w:r>
                </w:p>
              </w:tc>
            </w:tr>
            <w:tr w14:paraId="59B5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pct"/>
                  <w:vMerge w:val="continue"/>
                  <w:vAlign w:val="center"/>
                </w:tcPr>
                <w:p w14:paraId="6A6D5FCA">
                  <w:pPr>
                    <w:bidi w:val="0"/>
                    <w:jc w:val="center"/>
                    <w:rPr>
                      <w:rFonts w:hint="default"/>
                      <w:color w:val="auto"/>
                      <w:highlight w:val="none"/>
                    </w:rPr>
                  </w:pPr>
                </w:p>
              </w:tc>
              <w:tc>
                <w:tcPr>
                  <w:tcW w:w="232" w:type="pct"/>
                  <w:vMerge w:val="continue"/>
                  <w:vAlign w:val="center"/>
                </w:tcPr>
                <w:p w14:paraId="62428C8F">
                  <w:pPr>
                    <w:bidi w:val="0"/>
                    <w:jc w:val="center"/>
                    <w:rPr>
                      <w:rFonts w:hint="default"/>
                      <w:color w:val="auto"/>
                      <w:highlight w:val="none"/>
                    </w:rPr>
                  </w:pPr>
                </w:p>
              </w:tc>
              <w:tc>
                <w:tcPr>
                  <w:tcW w:w="550" w:type="pct"/>
                  <w:vAlign w:val="center"/>
                </w:tcPr>
                <w:p w14:paraId="2763CC76">
                  <w:pPr>
                    <w:bidi w:val="0"/>
                    <w:jc w:val="center"/>
                    <w:rPr>
                      <w:rFonts w:hint="default"/>
                      <w:color w:val="auto"/>
                      <w:highlight w:val="none"/>
                    </w:rPr>
                  </w:pPr>
                  <w:r>
                    <w:rPr>
                      <w:rFonts w:hint="default"/>
                      <w:color w:val="auto"/>
                      <w:highlight w:val="none"/>
                    </w:rPr>
                    <w:t>速率（kg/h）</w:t>
                  </w:r>
                </w:p>
              </w:tc>
              <w:tc>
                <w:tcPr>
                  <w:tcW w:w="671" w:type="pct"/>
                  <w:vAlign w:val="center"/>
                </w:tcPr>
                <w:p w14:paraId="255B9CA0">
                  <w:pPr>
                    <w:bidi w:val="0"/>
                    <w:jc w:val="center"/>
                    <w:rPr>
                      <w:rFonts w:hint="default"/>
                      <w:color w:val="auto"/>
                      <w:highlight w:val="none"/>
                    </w:rPr>
                  </w:pPr>
                  <w:r>
                    <w:rPr>
                      <w:rFonts w:hint="default"/>
                      <w:color w:val="auto"/>
                      <w:highlight w:val="none"/>
                    </w:rPr>
                    <w:t>浓度（mg/m</w:t>
                  </w:r>
                  <w:r>
                    <w:rPr>
                      <w:rFonts w:hint="default" w:ascii="Times New Roman" w:hAnsi="Times New Roman" w:eastAsia="宋体" w:cs="Times New Roman"/>
                      <w:color w:val="auto"/>
                      <w:highlight w:val="none"/>
                      <w:vertAlign w:val="superscript"/>
                    </w:rPr>
                    <w:t>3</w:t>
                  </w:r>
                  <w:r>
                    <w:rPr>
                      <w:rFonts w:hint="default"/>
                      <w:color w:val="auto"/>
                      <w:highlight w:val="none"/>
                    </w:rPr>
                    <w:t>）</w:t>
                  </w:r>
                </w:p>
              </w:tc>
              <w:tc>
                <w:tcPr>
                  <w:tcW w:w="550" w:type="pct"/>
                  <w:vAlign w:val="center"/>
                </w:tcPr>
                <w:p w14:paraId="6F99204E">
                  <w:pPr>
                    <w:bidi w:val="0"/>
                    <w:jc w:val="center"/>
                    <w:rPr>
                      <w:rFonts w:hint="default"/>
                      <w:color w:val="auto"/>
                      <w:highlight w:val="none"/>
                    </w:rPr>
                  </w:pPr>
                  <w:r>
                    <w:rPr>
                      <w:rFonts w:hint="default"/>
                      <w:color w:val="auto"/>
                      <w:highlight w:val="none"/>
                    </w:rPr>
                    <w:t>速率（kg/h）</w:t>
                  </w:r>
                </w:p>
              </w:tc>
              <w:tc>
                <w:tcPr>
                  <w:tcW w:w="671" w:type="pct"/>
                  <w:vAlign w:val="center"/>
                </w:tcPr>
                <w:p w14:paraId="612DD972">
                  <w:pPr>
                    <w:bidi w:val="0"/>
                    <w:jc w:val="center"/>
                    <w:rPr>
                      <w:rFonts w:hint="default"/>
                      <w:color w:val="auto"/>
                      <w:highlight w:val="none"/>
                    </w:rPr>
                  </w:pPr>
                  <w:r>
                    <w:rPr>
                      <w:rFonts w:hint="default"/>
                      <w:color w:val="auto"/>
                      <w:highlight w:val="none"/>
                    </w:rPr>
                    <w:t>浓度（mg/m</w:t>
                  </w:r>
                  <w:r>
                    <w:rPr>
                      <w:rFonts w:hint="default"/>
                      <w:color w:val="auto"/>
                      <w:highlight w:val="none"/>
                      <w:vertAlign w:val="superscript"/>
                    </w:rPr>
                    <w:t>3</w:t>
                  </w:r>
                  <w:r>
                    <w:rPr>
                      <w:rFonts w:hint="default"/>
                      <w:color w:val="auto"/>
                      <w:highlight w:val="none"/>
                    </w:rPr>
                    <w:t>）</w:t>
                  </w:r>
                </w:p>
              </w:tc>
              <w:tc>
                <w:tcPr>
                  <w:tcW w:w="302" w:type="pct"/>
                  <w:vMerge w:val="continue"/>
                  <w:vAlign w:val="center"/>
                </w:tcPr>
                <w:p w14:paraId="46D51DB7">
                  <w:pPr>
                    <w:bidi w:val="0"/>
                    <w:jc w:val="center"/>
                    <w:rPr>
                      <w:rFonts w:hint="default"/>
                      <w:color w:val="auto"/>
                      <w:highlight w:val="none"/>
                    </w:rPr>
                  </w:pPr>
                </w:p>
              </w:tc>
              <w:tc>
                <w:tcPr>
                  <w:tcW w:w="531" w:type="pct"/>
                  <w:vAlign w:val="center"/>
                </w:tcPr>
                <w:p w14:paraId="0DD9011E">
                  <w:pPr>
                    <w:bidi w:val="0"/>
                    <w:jc w:val="center"/>
                    <w:rPr>
                      <w:rFonts w:hint="default"/>
                      <w:color w:val="auto"/>
                      <w:highlight w:val="none"/>
                    </w:rPr>
                  </w:pPr>
                  <w:r>
                    <w:rPr>
                      <w:rFonts w:hint="default"/>
                      <w:color w:val="auto"/>
                      <w:highlight w:val="none"/>
                    </w:rPr>
                    <w:t>高度（m）</w:t>
                  </w:r>
                </w:p>
              </w:tc>
              <w:tc>
                <w:tcPr>
                  <w:tcW w:w="441" w:type="pct"/>
                  <w:vAlign w:val="center"/>
                </w:tcPr>
                <w:p w14:paraId="799C857C">
                  <w:pPr>
                    <w:bidi w:val="0"/>
                    <w:jc w:val="center"/>
                    <w:rPr>
                      <w:rFonts w:hint="default"/>
                      <w:color w:val="auto"/>
                      <w:highlight w:val="none"/>
                    </w:rPr>
                  </w:pPr>
                  <w:r>
                    <w:rPr>
                      <w:rFonts w:hint="default"/>
                      <w:color w:val="auto"/>
                      <w:highlight w:val="none"/>
                    </w:rPr>
                    <w:t>内径（m）</w:t>
                  </w:r>
                </w:p>
              </w:tc>
              <w:tc>
                <w:tcPr>
                  <w:tcW w:w="595" w:type="pct"/>
                  <w:vAlign w:val="center"/>
                </w:tcPr>
                <w:p w14:paraId="5573BB22">
                  <w:pPr>
                    <w:bidi w:val="0"/>
                    <w:jc w:val="center"/>
                    <w:rPr>
                      <w:rFonts w:hint="default"/>
                      <w:color w:val="auto"/>
                      <w:highlight w:val="none"/>
                    </w:rPr>
                  </w:pPr>
                  <w:r>
                    <w:rPr>
                      <w:rFonts w:hint="default"/>
                      <w:color w:val="auto"/>
                      <w:highlight w:val="none"/>
                    </w:rPr>
                    <w:t>温度（℃）</w:t>
                  </w:r>
                </w:p>
              </w:tc>
            </w:tr>
            <w:tr w14:paraId="308E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54" w:type="pct"/>
                  <w:vAlign w:val="center"/>
                </w:tcPr>
                <w:p w14:paraId="64C41754">
                  <w:pPr>
                    <w:bidi w:val="0"/>
                    <w:jc w:val="center"/>
                    <w:rPr>
                      <w:rFonts w:hint="default"/>
                      <w:color w:val="auto"/>
                      <w:highlight w:val="none"/>
                    </w:rPr>
                  </w:pPr>
                  <w:r>
                    <w:rPr>
                      <w:rFonts w:hint="default"/>
                      <w:color w:val="auto"/>
                      <w:highlight w:val="none"/>
                    </w:rPr>
                    <w:t>DA001</w:t>
                  </w:r>
                </w:p>
              </w:tc>
              <w:tc>
                <w:tcPr>
                  <w:tcW w:w="232" w:type="pct"/>
                  <w:vAlign w:val="center"/>
                </w:tcPr>
                <w:p w14:paraId="4AC0F38E">
                  <w:pPr>
                    <w:bidi w:val="0"/>
                    <w:jc w:val="center"/>
                    <w:rPr>
                      <w:rFonts w:hint="default"/>
                      <w:color w:val="auto"/>
                      <w:highlight w:val="none"/>
                    </w:rPr>
                  </w:pPr>
                  <w:r>
                    <w:rPr>
                      <w:rFonts w:hint="default"/>
                      <w:color w:val="auto"/>
                      <w:highlight w:val="none"/>
                    </w:rPr>
                    <w:t>非甲烷总烃</w:t>
                  </w:r>
                </w:p>
              </w:tc>
              <w:tc>
                <w:tcPr>
                  <w:tcW w:w="1010" w:type="dxa"/>
                  <w:vAlign w:val="center"/>
                </w:tcPr>
                <w:p w14:paraId="6E0594D6">
                  <w:pPr>
                    <w:jc w:val="center"/>
                    <w:rPr>
                      <w:rFonts w:hint="default"/>
                      <w:color w:val="auto"/>
                      <w:highlight w:val="none"/>
                    </w:rPr>
                  </w:pPr>
                  <w:r>
                    <w:rPr>
                      <w:rFonts w:hint="eastAsia" w:cs="Times New Roman"/>
                      <w:color w:val="auto"/>
                      <w:sz w:val="21"/>
                      <w:szCs w:val="21"/>
                      <w:highlight w:val="none"/>
                      <w:vertAlign w:val="baseline"/>
                      <w:lang w:val="en-US" w:eastAsia="zh-CN"/>
                    </w:rPr>
                    <w:t>0.024</w:t>
                  </w:r>
                </w:p>
              </w:tc>
              <w:tc>
                <w:tcPr>
                  <w:tcW w:w="1232" w:type="dxa"/>
                  <w:vAlign w:val="center"/>
                </w:tcPr>
                <w:p w14:paraId="708F32CB">
                  <w:pPr>
                    <w:jc w:val="center"/>
                    <w:rPr>
                      <w:rFonts w:hint="default"/>
                      <w:color w:val="auto"/>
                      <w:highlight w:val="none"/>
                      <w:lang w:eastAsia="zh-CN"/>
                    </w:rPr>
                  </w:pPr>
                  <w:r>
                    <w:rPr>
                      <w:rFonts w:hint="eastAsia" w:cs="Times New Roman"/>
                      <w:color w:val="auto"/>
                      <w:sz w:val="21"/>
                      <w:szCs w:val="21"/>
                      <w:highlight w:val="none"/>
                      <w:vertAlign w:val="baseline"/>
                      <w:lang w:val="en-US" w:eastAsia="zh-CN"/>
                    </w:rPr>
                    <w:t>16</w:t>
                  </w:r>
                </w:p>
              </w:tc>
              <w:tc>
                <w:tcPr>
                  <w:tcW w:w="550" w:type="pct"/>
                  <w:vAlign w:val="center"/>
                </w:tcPr>
                <w:p w14:paraId="690CBD92">
                  <w:pPr>
                    <w:bidi w:val="0"/>
                    <w:jc w:val="center"/>
                    <w:rPr>
                      <w:rFonts w:hint="default"/>
                      <w:color w:val="auto"/>
                      <w:highlight w:val="none"/>
                    </w:rPr>
                  </w:pPr>
                  <w:r>
                    <w:rPr>
                      <w:rFonts w:hint="default"/>
                      <w:color w:val="auto"/>
                      <w:highlight w:val="none"/>
                    </w:rPr>
                    <w:t>/</w:t>
                  </w:r>
                </w:p>
              </w:tc>
              <w:tc>
                <w:tcPr>
                  <w:tcW w:w="671" w:type="pct"/>
                  <w:vAlign w:val="center"/>
                </w:tcPr>
                <w:p w14:paraId="2D5BCE82">
                  <w:pPr>
                    <w:bidi w:val="0"/>
                    <w:jc w:val="center"/>
                    <w:rPr>
                      <w:rFonts w:hint="default" w:eastAsia="宋体"/>
                      <w:color w:val="auto"/>
                      <w:highlight w:val="none"/>
                      <w:lang w:val="en-US" w:eastAsia="zh-CN"/>
                    </w:rPr>
                  </w:pPr>
                  <w:r>
                    <w:rPr>
                      <w:rFonts w:hint="eastAsia"/>
                      <w:color w:val="auto"/>
                      <w:highlight w:val="none"/>
                      <w:lang w:val="en-US" w:eastAsia="zh-CN"/>
                    </w:rPr>
                    <w:t>40</w:t>
                  </w:r>
                </w:p>
              </w:tc>
              <w:tc>
                <w:tcPr>
                  <w:tcW w:w="302" w:type="pct"/>
                  <w:vAlign w:val="center"/>
                </w:tcPr>
                <w:p w14:paraId="685BDD8B">
                  <w:pPr>
                    <w:bidi w:val="0"/>
                    <w:jc w:val="center"/>
                    <w:rPr>
                      <w:rFonts w:hint="default"/>
                      <w:color w:val="auto"/>
                      <w:highlight w:val="none"/>
                    </w:rPr>
                  </w:pPr>
                  <w:r>
                    <w:rPr>
                      <w:rFonts w:hint="default"/>
                      <w:color w:val="auto"/>
                      <w:highlight w:val="none"/>
                    </w:rPr>
                    <w:t>一般</w:t>
                  </w:r>
                </w:p>
              </w:tc>
              <w:tc>
                <w:tcPr>
                  <w:tcW w:w="531" w:type="pct"/>
                  <w:vAlign w:val="center"/>
                </w:tcPr>
                <w:p w14:paraId="5E9C08A5">
                  <w:pPr>
                    <w:bidi w:val="0"/>
                    <w:jc w:val="center"/>
                    <w:rPr>
                      <w:rFonts w:hint="eastAsia" w:eastAsia="宋体"/>
                      <w:color w:val="auto"/>
                      <w:highlight w:val="none"/>
                      <w:lang w:eastAsia="zh-CN"/>
                    </w:rPr>
                  </w:pPr>
                  <w:r>
                    <w:rPr>
                      <w:rFonts w:hint="default"/>
                      <w:color w:val="auto"/>
                      <w:highlight w:val="none"/>
                    </w:rPr>
                    <w:t>1</w:t>
                  </w:r>
                  <w:r>
                    <w:rPr>
                      <w:rFonts w:hint="eastAsia"/>
                      <w:color w:val="auto"/>
                      <w:highlight w:val="none"/>
                      <w:lang w:val="en-US" w:eastAsia="zh-CN"/>
                    </w:rPr>
                    <w:t>5</w:t>
                  </w:r>
                </w:p>
              </w:tc>
              <w:tc>
                <w:tcPr>
                  <w:tcW w:w="441" w:type="pct"/>
                  <w:vAlign w:val="center"/>
                </w:tcPr>
                <w:p w14:paraId="197DEA54">
                  <w:pPr>
                    <w:bidi w:val="0"/>
                    <w:jc w:val="center"/>
                    <w:rPr>
                      <w:rFonts w:hint="default"/>
                      <w:color w:val="auto"/>
                      <w:highlight w:val="none"/>
                    </w:rPr>
                  </w:pPr>
                  <w:r>
                    <w:rPr>
                      <w:rFonts w:hint="default"/>
                      <w:color w:val="auto"/>
                      <w:highlight w:val="none"/>
                    </w:rPr>
                    <w:t>0.4</w:t>
                  </w:r>
                </w:p>
              </w:tc>
              <w:tc>
                <w:tcPr>
                  <w:tcW w:w="595" w:type="pct"/>
                  <w:vAlign w:val="center"/>
                </w:tcPr>
                <w:p w14:paraId="73BA8298">
                  <w:pPr>
                    <w:bidi w:val="0"/>
                    <w:jc w:val="center"/>
                    <w:rPr>
                      <w:rFonts w:hint="default"/>
                      <w:color w:val="auto"/>
                      <w:highlight w:val="none"/>
                    </w:rPr>
                  </w:pPr>
                  <w:r>
                    <w:rPr>
                      <w:rFonts w:hint="default"/>
                      <w:color w:val="auto"/>
                      <w:highlight w:val="none"/>
                    </w:rPr>
                    <w:t>25</w:t>
                  </w:r>
                </w:p>
              </w:tc>
            </w:tr>
          </w:tbl>
          <w:p w14:paraId="48558542">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根据《排污单位自行监测技术指南 总则》（HJ 819-2017）</w:t>
            </w:r>
            <w:r>
              <w:rPr>
                <w:rFonts w:hint="default" w:ascii="Times New Roman" w:hAnsi="Times New Roman" w:cs="Times New Roman"/>
                <w:bCs/>
                <w:color w:val="auto"/>
                <w:sz w:val="24"/>
                <w:highlight w:val="none"/>
                <w:lang w:eastAsia="zh-CN"/>
              </w:rPr>
              <w:t>、《</w:t>
            </w:r>
            <w:r>
              <w:rPr>
                <w:rFonts w:hint="default" w:ascii="Times New Roman" w:hAnsi="Times New Roman" w:eastAsia="宋体" w:cs="Times New Roman"/>
                <w:bCs/>
                <w:color w:val="auto"/>
                <w:sz w:val="24"/>
                <w:highlight w:val="none"/>
              </w:rPr>
              <w:t>排污许可证申请与核发技术规范 橡胶和塑料制品工业</w:t>
            </w:r>
            <w:r>
              <w:rPr>
                <w:rFonts w:hint="default" w:ascii="Times New Roman" w:hAnsi="Times New Roman" w:cs="Times New Roman"/>
                <w:bCs/>
                <w:color w:val="auto"/>
                <w:sz w:val="24"/>
                <w:highlight w:val="none"/>
                <w:lang w:eastAsia="zh-CN"/>
              </w:rPr>
              <w:t>》</w:t>
            </w:r>
            <w:r>
              <w:rPr>
                <w:rFonts w:hint="default" w:ascii="Times New Roman" w:hAnsi="Times New Roman" w:eastAsia="宋体" w:cs="Times New Roman"/>
                <w:color w:val="auto"/>
                <w:sz w:val="24"/>
                <w:szCs w:val="24"/>
                <w:highlight w:val="none"/>
              </w:rPr>
              <w:t xml:space="preserve">（HJ1122—2020） </w:t>
            </w:r>
            <w:r>
              <w:rPr>
                <w:rFonts w:hint="default" w:ascii="Times New Roman" w:hAnsi="Times New Roman" w:cs="Times New Roman"/>
                <w:bCs/>
                <w:color w:val="auto"/>
                <w:sz w:val="24"/>
                <w:highlight w:val="none"/>
              </w:rPr>
              <w:t>本项目建成后厂区废气监测计划如下：</w:t>
            </w:r>
          </w:p>
          <w:p w14:paraId="2BC2EDE3">
            <w:pPr>
              <w:adjustRightInd w:val="0"/>
              <w:snapToGrid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表4-</w:t>
            </w:r>
            <w:r>
              <w:rPr>
                <w:rFonts w:hint="eastAsia" w:cs="Times New Roman"/>
                <w:b/>
                <w:color w:val="auto"/>
                <w:sz w:val="24"/>
                <w:highlight w:val="none"/>
                <w:lang w:val="en-US" w:eastAsia="zh-CN"/>
              </w:rPr>
              <w:t>4</w:t>
            </w:r>
            <w:r>
              <w:rPr>
                <w:rFonts w:hint="default" w:ascii="Times New Roman" w:hAnsi="Times New Roman" w:cs="Times New Roman"/>
                <w:b/>
                <w:color w:val="auto"/>
                <w:sz w:val="24"/>
                <w:highlight w:val="none"/>
              </w:rPr>
              <w:t xml:space="preserve"> 废气自行监测及记录信息表</w:t>
            </w:r>
          </w:p>
          <w:tbl>
            <w:tblPr>
              <w:tblStyle w:val="39"/>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3"/>
              <w:gridCol w:w="1845"/>
              <w:gridCol w:w="1394"/>
              <w:gridCol w:w="1425"/>
              <w:gridCol w:w="2394"/>
              <w:gridCol w:w="1368"/>
            </w:tblGrid>
            <w:tr w14:paraId="7D922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0" w:hRule="atLeast"/>
                <w:tblHeader/>
                <w:jc w:val="center"/>
              </w:trPr>
              <w:tc>
                <w:tcPr>
                  <w:tcW w:w="390" w:type="pct"/>
                  <w:vAlign w:val="center"/>
                </w:tcPr>
                <w:p w14:paraId="52B751CF">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009" w:type="pct"/>
                  <w:vAlign w:val="center"/>
                </w:tcPr>
                <w:p w14:paraId="63EC938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污染源类别</w:t>
                  </w:r>
                </w:p>
              </w:tc>
              <w:tc>
                <w:tcPr>
                  <w:tcW w:w="762" w:type="pct"/>
                  <w:vAlign w:val="center"/>
                </w:tcPr>
                <w:p w14:paraId="22B5F118">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排放口编号</w:t>
                  </w:r>
                </w:p>
              </w:tc>
              <w:tc>
                <w:tcPr>
                  <w:tcW w:w="779" w:type="pct"/>
                  <w:vAlign w:val="center"/>
                </w:tcPr>
                <w:p w14:paraId="768CC42A">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监测点位</w:t>
                  </w:r>
                </w:p>
              </w:tc>
              <w:tc>
                <w:tcPr>
                  <w:tcW w:w="1309" w:type="pct"/>
                  <w:vAlign w:val="center"/>
                </w:tcPr>
                <w:p w14:paraId="3125BA59">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监测因子</w:t>
                  </w:r>
                </w:p>
              </w:tc>
              <w:tc>
                <w:tcPr>
                  <w:tcW w:w="748" w:type="pct"/>
                  <w:vAlign w:val="center"/>
                </w:tcPr>
                <w:p w14:paraId="215F720F">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监测频次</w:t>
                  </w:r>
                </w:p>
              </w:tc>
            </w:tr>
            <w:tr w14:paraId="4CB15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5" w:hRule="atLeast"/>
                <w:tblHeader/>
                <w:jc w:val="center"/>
              </w:trPr>
              <w:tc>
                <w:tcPr>
                  <w:tcW w:w="390" w:type="pct"/>
                  <w:vAlign w:val="center"/>
                </w:tcPr>
                <w:p w14:paraId="270747FA">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009" w:type="pct"/>
                  <w:vAlign w:val="center"/>
                </w:tcPr>
                <w:p w14:paraId="28B7CE77">
                  <w:pPr>
                    <w:adjustRightInd w:val="0"/>
                    <w:snapToGrid w:val="0"/>
                    <w:jc w:val="center"/>
                    <w:rPr>
                      <w:rFonts w:hint="default" w:ascii="Times New Roman" w:hAnsi="Times New Roman" w:cs="Times New Roman"/>
                      <w:b/>
                      <w:color w:val="auto"/>
                      <w:kern w:val="44"/>
                      <w:szCs w:val="21"/>
                      <w:highlight w:val="none"/>
                    </w:rPr>
                  </w:pPr>
                  <w:r>
                    <w:rPr>
                      <w:rFonts w:hint="eastAsia" w:ascii="Times New Roman" w:hAnsi="Times New Roman" w:cs="Times New Roman"/>
                      <w:color w:val="auto"/>
                      <w:szCs w:val="21"/>
                      <w:highlight w:val="none"/>
                      <w:lang w:eastAsia="zh-CN"/>
                    </w:rPr>
                    <w:t>吹瓶</w:t>
                  </w:r>
                </w:p>
              </w:tc>
              <w:tc>
                <w:tcPr>
                  <w:tcW w:w="762" w:type="pct"/>
                  <w:vAlign w:val="center"/>
                </w:tcPr>
                <w:p w14:paraId="65B21A8E">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DA001</w:t>
                  </w:r>
                </w:p>
              </w:tc>
              <w:tc>
                <w:tcPr>
                  <w:tcW w:w="779" w:type="pct"/>
                  <w:vAlign w:val="center"/>
                </w:tcPr>
                <w:p w14:paraId="2B8D3D82">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排气筒</w:t>
                  </w:r>
                </w:p>
              </w:tc>
              <w:tc>
                <w:tcPr>
                  <w:tcW w:w="1309" w:type="pct"/>
                  <w:vAlign w:val="center"/>
                </w:tcPr>
                <w:p w14:paraId="36FF505E">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非甲烷总烃</w:t>
                  </w:r>
                </w:p>
              </w:tc>
              <w:tc>
                <w:tcPr>
                  <w:tcW w:w="748" w:type="pct"/>
                  <w:vAlign w:val="center"/>
                </w:tcPr>
                <w:p w14:paraId="2B72854F">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1次/</w:t>
                  </w:r>
                  <w:r>
                    <w:rPr>
                      <w:rFonts w:hint="eastAsia" w:ascii="Times New Roman" w:hAnsi="Times New Roman" w:cs="Times New Roman"/>
                      <w:color w:val="auto"/>
                      <w:szCs w:val="21"/>
                      <w:highlight w:val="none"/>
                      <w:lang w:eastAsia="zh-CN"/>
                    </w:rPr>
                    <w:t>半</w:t>
                  </w:r>
                  <w:r>
                    <w:rPr>
                      <w:rFonts w:hint="default" w:ascii="Times New Roman" w:hAnsi="Times New Roman" w:cs="Times New Roman"/>
                      <w:color w:val="auto"/>
                      <w:szCs w:val="21"/>
                      <w:highlight w:val="none"/>
                    </w:rPr>
                    <w:t>年</w:t>
                  </w:r>
                </w:p>
              </w:tc>
            </w:tr>
            <w:tr w14:paraId="4CC45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0" w:hRule="atLeast"/>
                <w:tblHeader/>
                <w:jc w:val="center"/>
              </w:trPr>
              <w:tc>
                <w:tcPr>
                  <w:tcW w:w="390" w:type="pct"/>
                  <w:vAlign w:val="center"/>
                </w:tcPr>
                <w:p w14:paraId="0BFF0C80">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009" w:type="pct"/>
                  <w:vAlign w:val="center"/>
                </w:tcPr>
                <w:p w14:paraId="5D6D6F32">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无组织</w:t>
                  </w:r>
                </w:p>
              </w:tc>
              <w:tc>
                <w:tcPr>
                  <w:tcW w:w="762" w:type="pct"/>
                  <w:vAlign w:val="center"/>
                </w:tcPr>
                <w:p w14:paraId="7A9C1195">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厂界</w:t>
                  </w:r>
                </w:p>
              </w:tc>
              <w:tc>
                <w:tcPr>
                  <w:tcW w:w="779" w:type="pct"/>
                  <w:vAlign w:val="center"/>
                </w:tcPr>
                <w:p w14:paraId="3C649B38">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四周厂界</w:t>
                  </w:r>
                </w:p>
              </w:tc>
              <w:tc>
                <w:tcPr>
                  <w:tcW w:w="1309" w:type="pct"/>
                  <w:vAlign w:val="center"/>
                </w:tcPr>
                <w:p w14:paraId="657D5808">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非甲烷总烃</w:t>
                  </w:r>
                </w:p>
              </w:tc>
              <w:tc>
                <w:tcPr>
                  <w:tcW w:w="748" w:type="pct"/>
                  <w:vAlign w:val="center"/>
                </w:tcPr>
                <w:p w14:paraId="388DD48E">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1次/</w:t>
                  </w:r>
                  <w:r>
                    <w:rPr>
                      <w:rFonts w:hint="eastAsia" w:ascii="Times New Roman" w:hAnsi="Times New Roman" w:cs="Times New Roman"/>
                      <w:color w:val="auto"/>
                      <w:szCs w:val="21"/>
                      <w:highlight w:val="none"/>
                      <w:lang w:eastAsia="zh-CN"/>
                    </w:rPr>
                    <w:t>半</w:t>
                  </w:r>
                  <w:r>
                    <w:rPr>
                      <w:rFonts w:hint="default" w:ascii="Times New Roman" w:hAnsi="Times New Roman" w:cs="Times New Roman"/>
                      <w:color w:val="auto"/>
                      <w:szCs w:val="21"/>
                      <w:highlight w:val="none"/>
                    </w:rPr>
                    <w:t>年</w:t>
                  </w:r>
                </w:p>
              </w:tc>
            </w:tr>
          </w:tbl>
          <w:p w14:paraId="16C93599">
            <w:pPr>
              <w:pStyle w:val="277"/>
              <w:widowControl w:val="0"/>
              <w:ind w:firstLine="482"/>
              <w:jc w:val="both"/>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废气处理可行性分析：</w:t>
            </w:r>
          </w:p>
          <w:p w14:paraId="577B96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sz w:val="24"/>
                <w:szCs w:val="24"/>
                <w:highlight w:val="none"/>
              </w:rPr>
              <w:t>本项目</w:t>
            </w:r>
            <w:r>
              <w:rPr>
                <w:rFonts w:hint="eastAsia" w:ascii="Times New Roman" w:hAnsi="Times New Roman" w:eastAsia="宋体" w:cs="Times New Roman"/>
                <w:color w:val="auto"/>
                <w:sz w:val="24"/>
                <w:szCs w:val="24"/>
                <w:highlight w:val="none"/>
                <w:lang w:eastAsia="zh-CN"/>
              </w:rPr>
              <w:t>吹瓶</w:t>
            </w:r>
            <w:r>
              <w:rPr>
                <w:rFonts w:hint="default" w:ascii="Times New Roman" w:hAnsi="Times New Roman" w:eastAsia="宋体" w:cs="Times New Roman"/>
                <w:color w:val="auto"/>
                <w:sz w:val="24"/>
                <w:szCs w:val="24"/>
                <w:highlight w:val="none"/>
              </w:rPr>
              <w:t>产生的有机废气经集气罩收集后，经两级活性炭处理后经过1</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m排气</w:t>
            </w:r>
            <w:r>
              <w:rPr>
                <w:rFonts w:hint="default" w:ascii="Times New Roman" w:hAnsi="Times New Roman" w:eastAsia="宋体" w:cs="Times New Roman"/>
                <w:color w:val="auto"/>
                <w:sz w:val="24"/>
                <w:szCs w:val="24"/>
                <w:highlight w:val="none"/>
                <w:lang w:eastAsia="zh-CN"/>
              </w:rPr>
              <w:t>筒（</w:t>
            </w:r>
            <w:r>
              <w:rPr>
                <w:rFonts w:hint="default" w:ascii="Times New Roman" w:hAnsi="Times New Roman" w:eastAsia="宋体" w:cs="Times New Roman"/>
                <w:color w:val="auto"/>
                <w:sz w:val="24"/>
                <w:szCs w:val="24"/>
                <w:highlight w:val="none"/>
              </w:rPr>
              <w:t>DA001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排放。根据计算，非甲烷总烃排放浓度</w:t>
            </w:r>
            <w:r>
              <w:rPr>
                <w:rFonts w:hint="eastAsia"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能够满足</w:t>
            </w:r>
            <w:r>
              <w:rPr>
                <w:rFonts w:hint="eastAsia" w:ascii="宋体" w:hAnsi="宋体" w:eastAsia="宋体" w:cs="宋体"/>
                <w:color w:val="auto"/>
                <w:kern w:val="0"/>
                <w:sz w:val="24"/>
                <w:szCs w:val="24"/>
                <w:highlight w:val="none"/>
                <w:lang w:val="en-US" w:eastAsia="zh-CN" w:bidi="ar"/>
              </w:rPr>
              <w:t>《合成树脂工业污染物排放标准》</w:t>
            </w:r>
            <w:r>
              <w:rPr>
                <w:rFonts w:hint="default" w:ascii="Times New Roman" w:hAnsi="Times New Roman" w:eastAsia="宋体" w:cs="Times New Roman"/>
                <w:color w:val="auto"/>
                <w:kern w:val="0"/>
                <w:sz w:val="24"/>
                <w:szCs w:val="24"/>
                <w:highlight w:val="none"/>
                <w:lang w:val="en-US" w:eastAsia="zh-CN" w:bidi="ar"/>
              </w:rPr>
              <w:t>（GB31572-2015</w:t>
            </w:r>
            <w:r>
              <w:rPr>
                <w:rFonts w:hint="eastAsia" w:ascii="Times New Roman" w:hAnsi="Times New Roman" w:cs="Times New Roman"/>
                <w:color w:val="auto"/>
                <w:sz w:val="24"/>
                <w:szCs w:val="32"/>
                <w:highlight w:val="none"/>
                <w:lang w:eastAsia="zh-CN"/>
              </w:rPr>
              <w:t>，含</w:t>
            </w:r>
            <w:r>
              <w:rPr>
                <w:rFonts w:hint="eastAsia" w:ascii="Times New Roman" w:hAnsi="Times New Roman" w:cs="Times New Roman"/>
                <w:color w:val="auto"/>
                <w:sz w:val="24"/>
                <w:szCs w:val="32"/>
                <w:highlight w:val="none"/>
                <w:lang w:val="en-US" w:eastAsia="zh-CN"/>
              </w:rPr>
              <w:t>2024年修改单</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表</w:t>
            </w:r>
            <w:r>
              <w:rPr>
                <w:rFonts w:hint="default" w:ascii="Times New Roman" w:hAnsi="Times New Roman" w:eastAsia="宋体" w:cs="Times New Roman"/>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大气污染物特别排放限值</w:t>
            </w:r>
            <w:r>
              <w:rPr>
                <w:rFonts w:hint="eastAsia" w:ascii="宋体" w:hAnsi="宋体" w:cs="宋体"/>
                <w:color w:val="auto"/>
                <w:kern w:val="0"/>
                <w:sz w:val="24"/>
                <w:szCs w:val="24"/>
                <w:highlight w:val="none"/>
                <w:lang w:val="en-US" w:eastAsia="zh-CN" w:bidi="ar"/>
              </w:rPr>
              <w:t>与</w:t>
            </w:r>
            <w:r>
              <w:rPr>
                <w:rFonts w:hint="eastAsia"/>
                <w:color w:val="auto"/>
                <w:sz w:val="24"/>
                <w:szCs w:val="24"/>
                <w:highlight w:val="none"/>
                <w:lang w:val="en-US" w:eastAsia="zh-CN"/>
              </w:rPr>
              <w:t>安徽省《固定源挥发性有机物综合排放标准第6部分：其他行业》（DB34/4812.6-2024）塑料制品工业中严值</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bidi="ar"/>
              </w:rPr>
              <w:t>本项目有机废气处理工艺为二级活性炭吸附装置，</w:t>
            </w:r>
            <w:r>
              <w:rPr>
                <w:rFonts w:hint="default" w:ascii="Times New Roman" w:hAnsi="Times New Roman" w:eastAsia="宋体" w:cs="Times New Roman"/>
                <w:color w:val="auto"/>
                <w:sz w:val="24"/>
                <w:szCs w:val="24"/>
                <w:highlight w:val="none"/>
              </w:rPr>
              <w:t>根据《排污许可证申请与核发技术规范 总则》</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HJ942-2018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bCs/>
                <w:color w:val="auto"/>
                <w:sz w:val="24"/>
                <w:highlight w:val="none"/>
                <w:lang w:eastAsia="zh-CN"/>
              </w:rPr>
              <w:t>、《</w:t>
            </w:r>
            <w:r>
              <w:rPr>
                <w:rFonts w:hint="default" w:ascii="Times New Roman" w:hAnsi="Times New Roman" w:eastAsia="宋体" w:cs="Times New Roman"/>
                <w:bCs/>
                <w:color w:val="auto"/>
                <w:sz w:val="24"/>
                <w:highlight w:val="none"/>
              </w:rPr>
              <w:t>排污许可证申请与核发技术规范 橡胶和塑料制品工业</w:t>
            </w:r>
            <w:r>
              <w:rPr>
                <w:rFonts w:hint="default" w:ascii="Times New Roman" w:hAnsi="Times New Roman" w:cs="Times New Roman"/>
                <w:bCs/>
                <w:color w:val="auto"/>
                <w:sz w:val="24"/>
                <w:highlight w:val="none"/>
                <w:lang w:eastAsia="zh-CN"/>
              </w:rPr>
              <w:t>》</w:t>
            </w:r>
            <w:r>
              <w:rPr>
                <w:rFonts w:hint="default" w:ascii="Times New Roman" w:hAnsi="Times New Roman" w:eastAsia="宋体" w:cs="Times New Roman"/>
                <w:color w:val="auto"/>
                <w:sz w:val="24"/>
                <w:szCs w:val="24"/>
                <w:highlight w:val="none"/>
              </w:rPr>
              <w:t>（HJ1122—2020）</w:t>
            </w:r>
            <w:r>
              <w:rPr>
                <w:rFonts w:hint="default" w:ascii="Times New Roman" w:hAnsi="Times New Roman" w:eastAsia="宋体" w:cs="Times New Roman"/>
                <w:color w:val="auto"/>
                <w:kern w:val="0"/>
                <w:sz w:val="24"/>
                <w:szCs w:val="24"/>
                <w:highlight w:val="none"/>
                <w:lang w:val="en-US" w:eastAsia="zh-CN" w:bidi="ar"/>
              </w:rPr>
              <w:t>废气处理可行技术相符，属于可行技术。</w:t>
            </w:r>
          </w:p>
          <w:p w14:paraId="6F9C510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活性炭吸附技术一般适合于低浓度有机废气处理。活性炭是一种主要由含碳材料制成的外观呈黑色，内部空隙结构发达、比表面积大、吸附能力强的一类微晶质碳素颗粒材料。活性炭材料中有大量肉眼看不到的微孔，1g活性炭材料中微孔将其展开后表面积可达500~1000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高度发达的空隙结构，使活性炭具有优良的吸附性能，尤其对挥发性有机物具有很强的吸附能力。根据《上海市工业固定源挥发性有机物治理技术指引》（上海市环境保护局、上海市环境科学研究院，2013.07），完善的活性炭吸附装置可以长期保持VOC</w:t>
            </w:r>
            <w:r>
              <w:rPr>
                <w:rFonts w:hint="eastAsia" w:cs="Times New Roman"/>
                <w:color w:val="auto"/>
                <w:sz w:val="24"/>
                <w:szCs w:val="24"/>
                <w:highlight w:val="none"/>
                <w:vertAlign w:val="subscript"/>
                <w:lang w:val="en-US" w:eastAsia="zh-CN"/>
              </w:rPr>
              <w:t>S</w:t>
            </w:r>
            <w:r>
              <w:rPr>
                <w:rFonts w:hint="default" w:ascii="Times New Roman" w:hAnsi="Times New Roman" w:eastAsia="宋体" w:cs="Times New Roman"/>
                <w:color w:val="auto"/>
                <w:sz w:val="24"/>
                <w:szCs w:val="24"/>
                <w:highlight w:val="none"/>
                <w:lang w:val="en-US" w:eastAsia="zh-CN"/>
              </w:rPr>
              <w:t>去除率不低于90%。</w:t>
            </w:r>
          </w:p>
          <w:p w14:paraId="70AC42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项目周边</w:t>
            </w:r>
            <w:r>
              <w:rPr>
                <w:rFonts w:hint="default" w:ascii="Times New Roman" w:hAnsi="Times New Roman" w:eastAsia="宋体" w:cs="Times New Roman"/>
                <w:color w:val="auto"/>
                <w:kern w:val="0"/>
                <w:sz w:val="24"/>
                <w:szCs w:val="24"/>
                <w:highlight w:val="none"/>
                <w:lang w:val="en-US" w:eastAsia="zh-CN" w:bidi="ar"/>
              </w:rPr>
              <w:t>500</w:t>
            </w:r>
            <w:r>
              <w:rPr>
                <w:rFonts w:hint="eastAsia" w:ascii="宋体" w:hAnsi="宋体" w:eastAsia="宋体" w:cs="宋体"/>
                <w:color w:val="auto"/>
                <w:kern w:val="0"/>
                <w:sz w:val="24"/>
                <w:szCs w:val="24"/>
                <w:highlight w:val="none"/>
                <w:lang w:val="en-US" w:eastAsia="zh-CN" w:bidi="ar"/>
              </w:rPr>
              <w:t>米范围内有</w:t>
            </w:r>
            <w:r>
              <w:rPr>
                <w:rFonts w:hint="eastAsia" w:cs="Times New Roman"/>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个敏感点，离项目最近敏感点为</w:t>
            </w:r>
            <w:r>
              <w:rPr>
                <w:rFonts w:hint="eastAsia" w:ascii="宋体" w:hAnsi="宋体" w:cs="宋体"/>
                <w:color w:val="auto"/>
                <w:kern w:val="0"/>
                <w:sz w:val="24"/>
                <w:szCs w:val="24"/>
                <w:highlight w:val="none"/>
                <w:lang w:val="en-US" w:eastAsia="zh-CN" w:bidi="ar"/>
              </w:rPr>
              <w:t>西侧和南</w:t>
            </w:r>
            <w:r>
              <w:rPr>
                <w:rFonts w:hint="eastAsia" w:ascii="宋体" w:hAnsi="宋体" w:eastAsia="宋体" w:cs="宋体"/>
                <w:color w:val="auto"/>
                <w:kern w:val="0"/>
                <w:sz w:val="24"/>
                <w:szCs w:val="24"/>
                <w:highlight w:val="none"/>
                <w:lang w:val="en-US" w:eastAsia="zh-CN" w:bidi="ar"/>
              </w:rPr>
              <w:t>侧</w:t>
            </w:r>
            <w:r>
              <w:rPr>
                <w:rFonts w:hint="eastAsia" w:cs="Times New Roman"/>
                <w:color w:val="auto"/>
                <w:kern w:val="0"/>
                <w:sz w:val="24"/>
                <w:szCs w:val="24"/>
                <w:highlight w:val="none"/>
                <w:lang w:val="en-US" w:eastAsia="zh-CN" w:bidi="ar"/>
              </w:rPr>
              <w:t>15</w:t>
            </w:r>
            <w:r>
              <w:rPr>
                <w:rFonts w:hint="default" w:ascii="Times New Roman" w:hAnsi="Times New Roman" w:eastAsia="宋体" w:cs="Times New Roman"/>
                <w:color w:val="auto"/>
                <w:kern w:val="0"/>
                <w:sz w:val="24"/>
                <w:szCs w:val="24"/>
                <w:highlight w:val="none"/>
                <w:lang w:val="en-US" w:eastAsia="zh-CN" w:bidi="ar"/>
              </w:rPr>
              <w:t>m</w:t>
            </w:r>
            <w:r>
              <w:rPr>
                <w:rFonts w:hint="eastAsia" w:ascii="宋体" w:hAnsi="宋体" w:eastAsia="宋体" w:cs="宋体"/>
                <w:color w:val="auto"/>
                <w:kern w:val="0"/>
                <w:sz w:val="24"/>
                <w:szCs w:val="24"/>
                <w:highlight w:val="none"/>
                <w:lang w:val="en-US" w:eastAsia="zh-CN" w:bidi="ar"/>
              </w:rPr>
              <w:t>的居民点</w:t>
            </w:r>
            <w:r>
              <w:rPr>
                <w:rFonts w:hint="eastAsia"/>
                <w:color w:val="auto"/>
                <w:sz w:val="24"/>
                <w:szCs w:val="32"/>
                <w:highlight w:val="none"/>
                <w:lang w:val="en-US" w:eastAsia="zh-CN"/>
              </w:rPr>
              <w:t>1</w:t>
            </w:r>
            <w:r>
              <w:rPr>
                <w:rFonts w:hint="eastAsia" w:ascii="宋体" w:hAnsi="宋体" w:eastAsia="宋体" w:cs="宋体"/>
                <w:color w:val="auto"/>
                <w:kern w:val="0"/>
                <w:sz w:val="24"/>
                <w:szCs w:val="24"/>
                <w:highlight w:val="none"/>
                <w:lang w:val="en-US" w:eastAsia="zh-CN" w:bidi="ar"/>
              </w:rPr>
              <w:t>。为了降低对周边环境的影响，项目通过合理规划厂区布局，将产污设备设置距离敏感点远侧，生产车间做好车间废气环保措施，同时加强废气收集效率，将废气收集后引入废气处理装置处理后经排气筒排放。</w:t>
            </w:r>
          </w:p>
          <w:p w14:paraId="313C7135">
            <w:pPr>
              <w:pStyle w:val="277"/>
              <w:widowControl w:val="0"/>
              <w:ind w:firstLine="48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综上，拟建项目的各项废气污染治理措施均可行，则本项目废气对周边环境影响较小，不会改变项目区的大气环境功能。</w:t>
            </w:r>
          </w:p>
          <w:p w14:paraId="33A65E4A">
            <w:pPr>
              <w:pStyle w:val="277"/>
              <w:widowControl w:val="0"/>
              <w:ind w:firstLine="482"/>
              <w:jc w:val="both"/>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3、非正常工况</w:t>
            </w:r>
          </w:p>
          <w:p w14:paraId="3974C4C9">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本项目非正常情况最大概率为废气处理系统异常，废气处理设施处理效率为50%，非正常情况分析表见下表：</w:t>
            </w:r>
          </w:p>
          <w:p w14:paraId="3DCC57B5">
            <w:pPr>
              <w:adjustRightInd w:val="0"/>
              <w:snapToGrid w:val="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 w:val="24"/>
                <w:highlight w:val="none"/>
              </w:rPr>
              <w:t>表4-</w:t>
            </w:r>
            <w:r>
              <w:rPr>
                <w:rFonts w:hint="eastAsia" w:cs="Times New Roman"/>
                <w:b/>
                <w:color w:val="auto"/>
                <w:sz w:val="24"/>
                <w:highlight w:val="none"/>
                <w:lang w:val="en-US" w:eastAsia="zh-CN"/>
              </w:rPr>
              <w:t>5</w:t>
            </w:r>
            <w:r>
              <w:rPr>
                <w:rFonts w:hint="default" w:ascii="Times New Roman" w:hAnsi="Times New Roman" w:cs="Times New Roman"/>
                <w:b/>
                <w:color w:val="auto"/>
                <w:sz w:val="24"/>
                <w:highlight w:val="none"/>
              </w:rPr>
              <w:t xml:space="preserve"> 非正常情况分析一览表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033"/>
              <w:gridCol w:w="641"/>
              <w:gridCol w:w="670"/>
              <w:gridCol w:w="771"/>
              <w:gridCol w:w="1035"/>
              <w:gridCol w:w="612"/>
              <w:gridCol w:w="1023"/>
              <w:gridCol w:w="2725"/>
            </w:tblGrid>
            <w:tr w14:paraId="0365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66" w:type="pct"/>
                  <w:vAlign w:val="center"/>
                </w:tcPr>
                <w:p w14:paraId="7FB3A6A5">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工序</w:t>
                  </w:r>
                </w:p>
              </w:tc>
              <w:tc>
                <w:tcPr>
                  <w:tcW w:w="578" w:type="pct"/>
                  <w:vAlign w:val="center"/>
                </w:tcPr>
                <w:p w14:paraId="399AD979">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治理措施</w:t>
                  </w:r>
                </w:p>
              </w:tc>
              <w:tc>
                <w:tcPr>
                  <w:tcW w:w="364" w:type="pct"/>
                  <w:vAlign w:val="center"/>
                </w:tcPr>
                <w:p w14:paraId="595A4456">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非正常情况</w:t>
                  </w:r>
                </w:p>
              </w:tc>
              <w:tc>
                <w:tcPr>
                  <w:tcW w:w="380" w:type="pct"/>
                  <w:vAlign w:val="center"/>
                </w:tcPr>
                <w:p w14:paraId="1626719D">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频次</w:t>
                  </w:r>
                </w:p>
              </w:tc>
              <w:tc>
                <w:tcPr>
                  <w:tcW w:w="435" w:type="pct"/>
                  <w:vAlign w:val="center"/>
                </w:tcPr>
                <w:p w14:paraId="39F7AA12">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污染物</w:t>
                  </w:r>
                </w:p>
              </w:tc>
              <w:tc>
                <w:tcPr>
                  <w:tcW w:w="539" w:type="pct"/>
                  <w:vAlign w:val="center"/>
                </w:tcPr>
                <w:p w14:paraId="2B513AE1">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排放速率（kg/h）</w:t>
                  </w:r>
                </w:p>
              </w:tc>
              <w:tc>
                <w:tcPr>
                  <w:tcW w:w="348" w:type="pct"/>
                  <w:vAlign w:val="center"/>
                </w:tcPr>
                <w:p w14:paraId="677F0381">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持续时间</w:t>
                  </w:r>
                </w:p>
              </w:tc>
              <w:tc>
                <w:tcPr>
                  <w:tcW w:w="485" w:type="pct"/>
                  <w:vAlign w:val="center"/>
                </w:tcPr>
                <w:p w14:paraId="41B14EEB">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排放量（</w:t>
                  </w:r>
                  <w:r>
                    <w:rPr>
                      <w:rFonts w:hint="default" w:ascii="Times New Roman" w:hAnsi="Times New Roman" w:cs="Times New Roman"/>
                      <w:b/>
                      <w:bCs/>
                      <w:color w:val="auto"/>
                      <w:kern w:val="0"/>
                      <w:szCs w:val="21"/>
                      <w:highlight w:val="none"/>
                      <w:lang w:bidi="ar"/>
                    </w:rPr>
                    <w:t>kg/a</w:t>
                  </w:r>
                  <w:r>
                    <w:rPr>
                      <w:rFonts w:hint="default" w:ascii="Times New Roman" w:hAnsi="Times New Roman" w:cs="Times New Roman"/>
                      <w:b/>
                      <w:bCs/>
                      <w:color w:val="auto"/>
                      <w:szCs w:val="21"/>
                      <w:highlight w:val="none"/>
                    </w:rPr>
                    <w:t>）</w:t>
                  </w:r>
                </w:p>
              </w:tc>
              <w:tc>
                <w:tcPr>
                  <w:tcW w:w="1501" w:type="pct"/>
                  <w:vAlign w:val="center"/>
                </w:tcPr>
                <w:p w14:paraId="404DE9F3">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措施</w:t>
                  </w:r>
                </w:p>
              </w:tc>
            </w:tr>
            <w:tr w14:paraId="3C41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66" w:type="pct"/>
                  <w:vAlign w:val="center"/>
                </w:tcPr>
                <w:p w14:paraId="5B11AB24">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吹瓶</w:t>
                  </w:r>
                </w:p>
              </w:tc>
              <w:tc>
                <w:tcPr>
                  <w:tcW w:w="578" w:type="pct"/>
                  <w:vAlign w:val="center"/>
                </w:tcPr>
                <w:p w14:paraId="0EA1AFD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两级活性炭</w:t>
                  </w:r>
                </w:p>
              </w:tc>
              <w:tc>
                <w:tcPr>
                  <w:tcW w:w="364" w:type="pct"/>
                  <w:vAlign w:val="center"/>
                </w:tcPr>
                <w:p w14:paraId="3CCBE4FE">
                  <w:pPr>
                    <w:pStyle w:val="367"/>
                    <w:adjustRightInd w:val="0"/>
                    <w:snapToGrid w:val="0"/>
                    <w:spacing w:line="240" w:lineRule="auto"/>
                    <w:jc w:val="center"/>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废气处理</w:t>
                  </w:r>
                </w:p>
                <w:p w14:paraId="4C744D94">
                  <w:pPr>
                    <w:jc w:val="center"/>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系统异常</w:t>
                  </w:r>
                </w:p>
              </w:tc>
              <w:tc>
                <w:tcPr>
                  <w:tcW w:w="380" w:type="pct"/>
                  <w:vAlign w:val="center"/>
                </w:tcPr>
                <w:p w14:paraId="308437F3">
                  <w:pPr>
                    <w:jc w:val="center"/>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2次/年</w:t>
                  </w:r>
                </w:p>
              </w:tc>
              <w:tc>
                <w:tcPr>
                  <w:tcW w:w="435" w:type="pct"/>
                  <w:vAlign w:val="center"/>
                </w:tcPr>
                <w:p w14:paraId="0D931520">
                  <w:pPr>
                    <w:pStyle w:val="17"/>
                    <w:tabs>
                      <w:tab w:val="left" w:pos="420"/>
                      <w:tab w:val="left" w:pos="870"/>
                      <w:tab w:val="left" w:pos="3150"/>
                    </w:tabs>
                    <w:spacing w:after="0"/>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539" w:type="pct"/>
                  <w:vAlign w:val="center"/>
                </w:tcPr>
                <w:p w14:paraId="04347244">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.120</w:t>
                  </w:r>
                </w:p>
              </w:tc>
              <w:tc>
                <w:tcPr>
                  <w:tcW w:w="348" w:type="pct"/>
                  <w:vAlign w:val="center"/>
                </w:tcPr>
                <w:p w14:paraId="2EF9142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2h</w:t>
                  </w:r>
                </w:p>
              </w:tc>
              <w:tc>
                <w:tcPr>
                  <w:tcW w:w="485" w:type="pct"/>
                  <w:vAlign w:val="center"/>
                </w:tcPr>
                <w:p w14:paraId="5440F24A">
                  <w:pPr>
                    <w:pStyle w:val="367"/>
                    <w:adjustRightInd w:val="0"/>
                    <w:snapToGrid w:val="0"/>
                    <w:spacing w:line="240" w:lineRule="auto"/>
                    <w:jc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cs="Times New Roman"/>
                      <w:b w:val="0"/>
                      <w:color w:val="auto"/>
                      <w:sz w:val="21"/>
                      <w:szCs w:val="21"/>
                      <w:highlight w:val="none"/>
                    </w:rPr>
                    <w:t>0.</w:t>
                  </w:r>
                  <w:r>
                    <w:rPr>
                      <w:rFonts w:hint="eastAsia" w:cs="Times New Roman"/>
                      <w:b w:val="0"/>
                      <w:color w:val="auto"/>
                      <w:sz w:val="21"/>
                      <w:szCs w:val="21"/>
                      <w:highlight w:val="none"/>
                      <w:lang w:val="en-US" w:eastAsia="zh-CN"/>
                    </w:rPr>
                    <w:t>240</w:t>
                  </w:r>
                </w:p>
              </w:tc>
              <w:tc>
                <w:tcPr>
                  <w:tcW w:w="1501" w:type="pct"/>
                  <w:vAlign w:val="center"/>
                </w:tcPr>
                <w:p w14:paraId="603761E2">
                  <w:pPr>
                    <w:pStyle w:val="367"/>
                    <w:adjustRightInd w:val="0"/>
                    <w:snapToGrid w:val="0"/>
                    <w:spacing w:line="240" w:lineRule="auto"/>
                    <w:jc w:val="center"/>
                    <w:rPr>
                      <w:rFonts w:hint="default" w:ascii="Times New Roman" w:hAnsi="Times New Roman" w:cs="Times New Roman"/>
                      <w:b w:val="0"/>
                      <w:color w:val="auto"/>
                      <w:sz w:val="21"/>
                      <w:szCs w:val="21"/>
                      <w:highlight w:val="none"/>
                    </w:rPr>
                  </w:pPr>
                  <w:r>
                    <w:rPr>
                      <w:rFonts w:hint="default" w:ascii="Times New Roman" w:hAnsi="Times New Roman" w:cs="Times New Roman"/>
                      <w:b w:val="0"/>
                      <w:bCs/>
                      <w:color w:val="auto"/>
                      <w:sz w:val="21"/>
                      <w:szCs w:val="21"/>
                      <w:highlight w:val="none"/>
                    </w:rPr>
                    <w:t>定期对设备进行维修和保养，确保废气处理系统在正常工况下运行；为避免非正常工况的发生，要在非生产时间段对相关设施进行彻底检修，力争将非正常工况污染物排放量降低到最低限度，从而把非正常工况污染物对环境产生的影响控制到最小。</w:t>
                  </w:r>
                </w:p>
              </w:tc>
            </w:tr>
          </w:tbl>
          <w:p w14:paraId="1E514369">
            <w:pPr>
              <w:autoSpaceDE w:val="0"/>
              <w:autoSpaceDN w:val="0"/>
              <w:adjustRightInd w:val="0"/>
              <w:spacing w:line="360" w:lineRule="auto"/>
              <w:rPr>
                <w:rFonts w:hint="eastAsia"/>
                <w:b/>
                <w:bCs/>
                <w:color w:val="auto"/>
                <w:spacing w:val="-10"/>
                <w:sz w:val="24"/>
                <w:highlight w:val="none"/>
                <w:lang w:val="en-US" w:eastAsia="zh-CN"/>
              </w:rPr>
            </w:pPr>
            <w:r>
              <w:rPr>
                <w:rFonts w:hint="eastAsia"/>
                <w:color w:val="auto"/>
                <w:sz w:val="24"/>
                <w:highlight w:val="none"/>
                <w:lang w:eastAsia="zh-CN"/>
              </w:rPr>
              <w:t>二、</w:t>
            </w:r>
            <w:r>
              <w:rPr>
                <w:rFonts w:hint="eastAsia"/>
                <w:b/>
                <w:bCs/>
                <w:color w:val="auto"/>
                <w:spacing w:val="-10"/>
                <w:sz w:val="24"/>
                <w:highlight w:val="none"/>
                <w:lang w:val="en-US" w:eastAsia="zh-CN"/>
              </w:rPr>
              <w:t>废水</w:t>
            </w:r>
          </w:p>
          <w:p w14:paraId="3D5CEBC4">
            <w:pPr>
              <w:pStyle w:val="365"/>
              <w:rPr>
                <w:rFonts w:hint="default" w:ascii="Times New Roman" w:hAnsi="Times New Roman" w:cs="Times New Roman"/>
                <w:bCs/>
                <w:color w:val="auto"/>
                <w:highlight w:val="none"/>
              </w:rPr>
            </w:pPr>
            <w:r>
              <w:rPr>
                <w:rFonts w:hint="default" w:ascii="Times New Roman" w:hAnsi="Times New Roman" w:cs="Times New Roman"/>
                <w:color w:val="auto"/>
                <w:highlight w:val="none"/>
              </w:rPr>
              <w:t>1、废水污染物</w:t>
            </w:r>
          </w:p>
          <w:p w14:paraId="16995DA8">
            <w:pPr>
              <w:pStyle w:val="49"/>
              <w:spacing w:line="360" w:lineRule="auto"/>
              <w:ind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（1）本项目废水污染物</w:t>
            </w:r>
          </w:p>
          <w:p w14:paraId="1D996706">
            <w:pPr>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bCs/>
                <w:color w:val="auto"/>
                <w:sz w:val="24"/>
                <w:highlight w:val="none"/>
              </w:rPr>
              <w:t>本项目废水污染物主要来源于劳动定员的生活污水</w:t>
            </w:r>
            <w:r>
              <w:rPr>
                <w:rFonts w:hint="eastAsia" w:cs="Times New Roman"/>
                <w:bCs/>
                <w:color w:val="auto"/>
                <w:sz w:val="24"/>
                <w:highlight w:val="none"/>
                <w:lang w:eastAsia="zh-CN"/>
              </w:rPr>
              <w:t>、保洁废水、</w:t>
            </w:r>
            <w:r>
              <w:rPr>
                <w:rFonts w:hint="eastAsia" w:ascii="Times New Roman" w:hAnsi="Times New Roman" w:eastAsia="宋体" w:cs="Times New Roman"/>
                <w:b w:val="0"/>
                <w:bCs w:val="0"/>
                <w:color w:val="auto"/>
                <w:kern w:val="0"/>
                <w:sz w:val="24"/>
                <w:szCs w:val="24"/>
                <w:highlight w:val="none"/>
                <w:lang w:val="en-US" w:eastAsia="zh-CN" w:bidi="ar"/>
              </w:rPr>
              <w:t>实验室废水、</w:t>
            </w:r>
            <w:r>
              <w:rPr>
                <w:rFonts w:hint="eastAsia" w:cs="Times New Roman"/>
                <w:b w:val="0"/>
                <w:bCs w:val="0"/>
                <w:color w:val="auto"/>
                <w:kern w:val="0"/>
                <w:sz w:val="24"/>
                <w:szCs w:val="24"/>
                <w:highlight w:val="none"/>
                <w:lang w:val="en-US" w:eastAsia="zh-CN" w:bidi="ar"/>
              </w:rPr>
              <w:t>瓶/桶/盖</w:t>
            </w:r>
            <w:r>
              <w:rPr>
                <w:rFonts w:hint="eastAsia" w:cs="Times New Roman"/>
                <w:color w:val="auto"/>
                <w:sz w:val="24"/>
                <w:szCs w:val="32"/>
                <w:highlight w:val="none"/>
                <w:lang w:eastAsia="zh-CN"/>
              </w:rPr>
              <w:t>清洗</w:t>
            </w:r>
            <w:r>
              <w:rPr>
                <w:rFonts w:hint="eastAsia" w:ascii="Times New Roman" w:hAnsi="Times New Roman" w:cs="Times New Roman"/>
                <w:color w:val="auto"/>
                <w:sz w:val="24"/>
                <w:szCs w:val="32"/>
                <w:highlight w:val="none"/>
                <w:lang w:eastAsia="zh-CN"/>
              </w:rPr>
              <w:t>废</w:t>
            </w:r>
            <w:r>
              <w:rPr>
                <w:rFonts w:hint="default" w:ascii="Times New Roman" w:hAnsi="Times New Roman" w:cs="Times New Roman"/>
                <w:color w:val="auto"/>
                <w:sz w:val="24"/>
                <w:szCs w:val="32"/>
                <w:highlight w:val="none"/>
              </w:rPr>
              <w:t>水</w:t>
            </w:r>
            <w:r>
              <w:rPr>
                <w:rFonts w:hint="eastAsia" w:cs="Times New Roman"/>
                <w:color w:val="auto"/>
                <w:sz w:val="24"/>
                <w:szCs w:val="32"/>
                <w:highlight w:val="none"/>
                <w:lang w:eastAsia="zh-CN"/>
              </w:rPr>
              <w:t>、反冲洗废水和纯净水制备浓水</w:t>
            </w:r>
            <w:r>
              <w:rPr>
                <w:rFonts w:hint="default" w:ascii="Times New Roman" w:hAnsi="Times New Roman" w:cs="Times New Roman"/>
                <w:bCs/>
                <w:color w:val="auto"/>
                <w:sz w:val="24"/>
                <w:highlight w:val="none"/>
              </w:rPr>
              <w:t>。</w:t>
            </w:r>
            <w:r>
              <w:rPr>
                <w:rFonts w:hint="default" w:ascii="Times New Roman" w:hAnsi="Times New Roman" w:cs="Times New Roman"/>
                <w:color w:val="auto"/>
                <w:sz w:val="24"/>
                <w:highlight w:val="none"/>
              </w:rPr>
              <w:t>本项目的废水产生情况见下表</w:t>
            </w:r>
            <w:r>
              <w:rPr>
                <w:rFonts w:hint="default" w:ascii="Times New Roman" w:hAnsi="Times New Roman" w:cs="Times New Roman"/>
                <w:color w:val="auto"/>
                <w:szCs w:val="21"/>
                <w:highlight w:val="none"/>
              </w:rPr>
              <w:t>：</w:t>
            </w:r>
          </w:p>
          <w:p w14:paraId="1C665F64">
            <w:pPr>
              <w:tabs>
                <w:tab w:val="left" w:pos="6435"/>
              </w:tabs>
              <w:jc w:val="center"/>
              <w:rPr>
                <w:rFonts w:hint="default" w:ascii="Times New Roman" w:hAnsi="Times New Roman" w:cs="Times New Roman"/>
                <w:color w:val="auto"/>
                <w:szCs w:val="21"/>
                <w:highlight w:val="none"/>
              </w:rPr>
            </w:pPr>
            <w:r>
              <w:rPr>
                <w:rFonts w:hint="default" w:ascii="Times New Roman" w:hAnsi="Times New Roman" w:cs="Times New Roman"/>
                <w:b/>
                <w:bCs/>
                <w:color w:val="auto"/>
                <w:sz w:val="24"/>
                <w:highlight w:val="none"/>
              </w:rPr>
              <w:t>表4-</w:t>
            </w:r>
            <w:r>
              <w:rPr>
                <w:rFonts w:hint="eastAsia" w:cs="Times New Roman"/>
                <w:b/>
                <w:bCs/>
                <w:color w:val="auto"/>
                <w:sz w:val="24"/>
                <w:highlight w:val="none"/>
                <w:lang w:val="en-US" w:eastAsia="zh-CN"/>
              </w:rPr>
              <w:t>6</w:t>
            </w:r>
            <w:r>
              <w:rPr>
                <w:rFonts w:hint="default" w:ascii="Times New Roman" w:hAnsi="Times New Roman" w:cs="Times New Roman"/>
                <w:b/>
                <w:bCs/>
                <w:color w:val="auto"/>
                <w:sz w:val="24"/>
                <w:highlight w:val="none"/>
              </w:rPr>
              <w:t xml:space="preserve">  项目污水产生情况一览表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109"/>
              <w:gridCol w:w="1249"/>
              <w:gridCol w:w="936"/>
              <w:gridCol w:w="1053"/>
              <w:gridCol w:w="1585"/>
              <w:gridCol w:w="1138"/>
              <w:gridCol w:w="1139"/>
            </w:tblGrid>
            <w:tr w14:paraId="6657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18" w:type="pct"/>
                  <w:vMerge w:val="restart"/>
                  <w:tcBorders>
                    <w:top w:val="single" w:color="auto" w:sz="4" w:space="0"/>
                    <w:left w:val="single" w:color="auto" w:sz="4" w:space="0"/>
                    <w:bottom w:val="single" w:color="auto" w:sz="4" w:space="0"/>
                    <w:right w:val="single" w:color="auto" w:sz="4" w:space="0"/>
                  </w:tcBorders>
                  <w:vAlign w:val="center"/>
                </w:tcPr>
                <w:p w14:paraId="0D15CD69">
                  <w:pPr>
                    <w:tabs>
                      <w:tab w:val="left" w:pos="860"/>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污染源名称</w:t>
                  </w:r>
                </w:p>
              </w:tc>
              <w:tc>
                <w:tcPr>
                  <w:tcW w:w="597" w:type="pct"/>
                  <w:vMerge w:val="restart"/>
                  <w:tcBorders>
                    <w:top w:val="single" w:color="auto" w:sz="4" w:space="0"/>
                    <w:left w:val="single" w:color="auto" w:sz="4" w:space="0"/>
                    <w:bottom w:val="single" w:color="auto" w:sz="4" w:space="0"/>
                    <w:right w:val="single" w:color="auto" w:sz="4" w:space="0"/>
                  </w:tcBorders>
                  <w:vAlign w:val="center"/>
                </w:tcPr>
                <w:p w14:paraId="063BFFC1">
                  <w:pPr>
                    <w:tabs>
                      <w:tab w:val="left" w:pos="860"/>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废水量m</w:t>
                  </w:r>
                  <w:r>
                    <w:rPr>
                      <w:rFonts w:hint="default" w:ascii="Times New Roman" w:hAnsi="Times New Roman" w:cs="Times New Roman"/>
                      <w:color w:val="auto"/>
                      <w:szCs w:val="21"/>
                      <w:highlight w:val="none"/>
                      <w:vertAlign w:val="superscript"/>
                    </w:rPr>
                    <w:t>3</w:t>
                  </w:r>
                  <w:r>
                    <w:rPr>
                      <w:rFonts w:hint="default" w:ascii="Times New Roman" w:hAnsi="Times New Roman" w:cs="Times New Roman"/>
                      <w:color w:val="auto"/>
                      <w:szCs w:val="21"/>
                      <w:highlight w:val="none"/>
                    </w:rPr>
                    <w:t>/a</w:t>
                  </w:r>
                </w:p>
              </w:tc>
              <w:tc>
                <w:tcPr>
                  <w:tcW w:w="683" w:type="pct"/>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6EC97EC">
                  <w:pPr>
                    <w:tabs>
                      <w:tab w:val="left" w:pos="860"/>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污染物</w:t>
                  </w:r>
                </w:p>
                <w:p w14:paraId="20BF9F5C">
                  <w:pPr>
                    <w:tabs>
                      <w:tab w:val="left" w:pos="860"/>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名称</w:t>
                  </w:r>
                </w:p>
              </w:tc>
              <w:tc>
                <w:tcPr>
                  <w:tcW w:w="1088" w:type="pct"/>
                  <w:gridSpan w:val="2"/>
                  <w:tcBorders>
                    <w:top w:val="single" w:color="auto" w:sz="4" w:space="0"/>
                    <w:left w:val="single" w:color="auto" w:sz="4" w:space="0"/>
                    <w:bottom w:val="single" w:color="auto" w:sz="4" w:space="0"/>
                    <w:right w:val="single" w:color="auto" w:sz="4" w:space="0"/>
                  </w:tcBorders>
                  <w:vAlign w:val="center"/>
                </w:tcPr>
                <w:p w14:paraId="31C9AE06">
                  <w:pPr>
                    <w:tabs>
                      <w:tab w:val="left" w:pos="860"/>
                    </w:tabs>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产生情况</w:t>
                  </w:r>
                </w:p>
              </w:tc>
              <w:tc>
                <w:tcPr>
                  <w:tcW w:w="866" w:type="pct"/>
                  <w:vMerge w:val="restart"/>
                  <w:tcBorders>
                    <w:top w:val="single" w:color="auto" w:sz="4" w:space="0"/>
                    <w:left w:val="single" w:color="auto" w:sz="4" w:space="0"/>
                    <w:bottom w:val="single" w:color="auto" w:sz="4" w:space="0"/>
                    <w:right w:val="single" w:color="auto" w:sz="4" w:space="0"/>
                  </w:tcBorders>
                  <w:vAlign w:val="center"/>
                </w:tcPr>
                <w:p w14:paraId="08DB27CC">
                  <w:pPr>
                    <w:tabs>
                      <w:tab w:val="left" w:pos="860"/>
                    </w:tabs>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拟采取的处理方式</w:t>
                  </w:r>
                </w:p>
              </w:tc>
              <w:tc>
                <w:tcPr>
                  <w:tcW w:w="1245" w:type="pct"/>
                  <w:gridSpan w:val="2"/>
                  <w:tcBorders>
                    <w:top w:val="single" w:color="auto" w:sz="4" w:space="0"/>
                    <w:left w:val="single" w:color="auto" w:sz="4" w:space="0"/>
                    <w:bottom w:val="single" w:color="auto" w:sz="4" w:space="0"/>
                    <w:right w:val="single" w:color="auto" w:sz="4" w:space="0"/>
                  </w:tcBorders>
                  <w:vAlign w:val="center"/>
                </w:tcPr>
                <w:p w14:paraId="4D0CDEBB">
                  <w:pPr>
                    <w:tabs>
                      <w:tab w:val="left" w:pos="860"/>
                    </w:tabs>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排放情况</w:t>
                  </w:r>
                </w:p>
              </w:tc>
            </w:tr>
            <w:tr w14:paraId="476D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518" w:type="pct"/>
                  <w:vMerge w:val="continue"/>
                  <w:tcBorders>
                    <w:top w:val="single" w:color="auto" w:sz="4" w:space="0"/>
                    <w:left w:val="single" w:color="auto" w:sz="4" w:space="0"/>
                    <w:bottom w:val="single" w:color="auto" w:sz="4" w:space="0"/>
                    <w:right w:val="single" w:color="auto" w:sz="4" w:space="0"/>
                  </w:tcBorders>
                  <w:vAlign w:val="center"/>
                </w:tcPr>
                <w:p w14:paraId="37A33916">
                  <w:pPr>
                    <w:jc w:val="center"/>
                    <w:rPr>
                      <w:rFonts w:hint="default" w:ascii="Times New Roman" w:hAnsi="Times New Roman" w:cs="Times New Roman"/>
                      <w:color w:val="auto"/>
                      <w:szCs w:val="21"/>
                      <w:highlight w:val="none"/>
                    </w:rPr>
                  </w:pPr>
                </w:p>
              </w:tc>
              <w:tc>
                <w:tcPr>
                  <w:tcW w:w="597" w:type="pct"/>
                  <w:vMerge w:val="continue"/>
                  <w:tcBorders>
                    <w:top w:val="single" w:color="auto" w:sz="4" w:space="0"/>
                    <w:left w:val="single" w:color="auto" w:sz="4" w:space="0"/>
                    <w:bottom w:val="single" w:color="auto" w:sz="4" w:space="0"/>
                    <w:right w:val="single" w:color="auto" w:sz="4" w:space="0"/>
                  </w:tcBorders>
                  <w:vAlign w:val="center"/>
                </w:tcPr>
                <w:p w14:paraId="75F50D55">
                  <w:pPr>
                    <w:jc w:val="center"/>
                    <w:rPr>
                      <w:rFonts w:hint="default" w:ascii="Times New Roman" w:hAnsi="Times New Roman" w:cs="Times New Roman"/>
                      <w:color w:val="auto"/>
                      <w:szCs w:val="21"/>
                      <w:highlight w:val="none"/>
                    </w:rPr>
                  </w:pPr>
                </w:p>
              </w:tc>
              <w:tc>
                <w:tcPr>
                  <w:tcW w:w="683" w:type="pct"/>
                  <w:vMerge w:val="continue"/>
                  <w:tcBorders>
                    <w:top w:val="single" w:color="auto" w:sz="4" w:space="0"/>
                    <w:left w:val="single" w:color="auto" w:sz="4" w:space="0"/>
                    <w:bottom w:val="single" w:color="auto" w:sz="4" w:space="0"/>
                    <w:right w:val="single" w:color="auto" w:sz="4" w:space="0"/>
                  </w:tcBorders>
                  <w:vAlign w:val="center"/>
                </w:tcPr>
                <w:p w14:paraId="3C155853">
                  <w:pPr>
                    <w:jc w:val="center"/>
                    <w:rPr>
                      <w:rFonts w:hint="default" w:ascii="Times New Roman" w:hAnsi="Times New Roman" w:cs="Times New Roman"/>
                      <w:color w:val="auto"/>
                      <w:szCs w:val="21"/>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14:paraId="20EC5569">
                  <w:pPr>
                    <w:tabs>
                      <w:tab w:val="left" w:pos="860"/>
                    </w:tabs>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mg/l</w:t>
                  </w:r>
                </w:p>
              </w:tc>
              <w:tc>
                <w:tcPr>
                  <w:tcW w:w="576" w:type="pct"/>
                  <w:tcBorders>
                    <w:top w:val="single" w:color="auto" w:sz="4" w:space="0"/>
                    <w:left w:val="single" w:color="auto" w:sz="4" w:space="0"/>
                    <w:bottom w:val="single" w:color="auto" w:sz="4" w:space="0"/>
                    <w:right w:val="single" w:color="auto" w:sz="4" w:space="0"/>
                  </w:tcBorders>
                  <w:vAlign w:val="center"/>
                </w:tcPr>
                <w:p w14:paraId="13832A9B">
                  <w:pPr>
                    <w:tabs>
                      <w:tab w:val="left" w:pos="860"/>
                    </w:tabs>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t/a</w:t>
                  </w:r>
                </w:p>
              </w:tc>
              <w:tc>
                <w:tcPr>
                  <w:tcW w:w="866" w:type="pct"/>
                  <w:vMerge w:val="continue"/>
                  <w:tcBorders>
                    <w:top w:val="single" w:color="auto" w:sz="4" w:space="0"/>
                    <w:left w:val="single" w:color="auto" w:sz="4" w:space="0"/>
                    <w:bottom w:val="single" w:color="auto" w:sz="4" w:space="0"/>
                    <w:right w:val="single" w:color="auto" w:sz="4" w:space="0"/>
                  </w:tcBorders>
                  <w:vAlign w:val="center"/>
                </w:tcPr>
                <w:p w14:paraId="0E44C28E">
                  <w:pPr>
                    <w:jc w:val="center"/>
                    <w:rPr>
                      <w:rFonts w:hint="default" w:ascii="Times New Roman" w:hAnsi="Times New Roman" w:cs="Times New Roman"/>
                      <w:color w:val="auto"/>
                      <w:szCs w:val="21"/>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06DE4EAE">
                  <w:pPr>
                    <w:tabs>
                      <w:tab w:val="left" w:pos="860"/>
                    </w:tabs>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mg/l</w:t>
                  </w:r>
                </w:p>
              </w:tc>
              <w:tc>
                <w:tcPr>
                  <w:tcW w:w="623" w:type="pct"/>
                  <w:tcBorders>
                    <w:top w:val="single" w:color="auto" w:sz="4" w:space="0"/>
                    <w:left w:val="single" w:color="auto" w:sz="4" w:space="0"/>
                    <w:bottom w:val="single" w:color="auto" w:sz="4" w:space="0"/>
                    <w:right w:val="single" w:color="auto" w:sz="4" w:space="0"/>
                  </w:tcBorders>
                  <w:vAlign w:val="center"/>
                </w:tcPr>
                <w:p w14:paraId="2745E39F">
                  <w:pPr>
                    <w:tabs>
                      <w:tab w:val="left" w:pos="860"/>
                    </w:tabs>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t/a</w:t>
                  </w:r>
                </w:p>
              </w:tc>
            </w:tr>
            <w:tr w14:paraId="44D6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restart"/>
                  <w:tcBorders>
                    <w:top w:val="single" w:color="auto" w:sz="4" w:space="0"/>
                    <w:left w:val="single" w:color="auto" w:sz="4" w:space="0"/>
                    <w:right w:val="single" w:color="auto" w:sz="4" w:space="0"/>
                  </w:tcBorders>
                  <w:vAlign w:val="center"/>
                </w:tcPr>
                <w:p w14:paraId="47931D48">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生活污水</w:t>
                  </w:r>
                </w:p>
              </w:tc>
              <w:tc>
                <w:tcPr>
                  <w:tcW w:w="597" w:type="pct"/>
                  <w:vMerge w:val="restart"/>
                  <w:tcBorders>
                    <w:top w:val="single" w:color="auto" w:sz="4" w:space="0"/>
                    <w:left w:val="single" w:color="auto" w:sz="4" w:space="0"/>
                    <w:right w:val="single" w:color="auto" w:sz="4" w:space="0"/>
                  </w:tcBorders>
                  <w:vAlign w:val="center"/>
                </w:tcPr>
                <w:p w14:paraId="7FEE3D3F">
                  <w:pPr>
                    <w:widowControl/>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144</w:t>
                  </w:r>
                </w:p>
              </w:tc>
              <w:tc>
                <w:tcPr>
                  <w:tcW w:w="683" w:type="pct"/>
                  <w:tcBorders>
                    <w:top w:val="single" w:color="auto" w:sz="4" w:space="0"/>
                    <w:left w:val="single" w:color="auto" w:sz="4" w:space="0"/>
                    <w:bottom w:val="single" w:color="auto" w:sz="4" w:space="0"/>
                    <w:right w:val="single" w:color="auto" w:sz="4" w:space="0"/>
                  </w:tcBorders>
                  <w:vAlign w:val="center"/>
                </w:tcPr>
                <w:p w14:paraId="40A28800">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pH</w:t>
                  </w:r>
                </w:p>
              </w:tc>
              <w:tc>
                <w:tcPr>
                  <w:tcW w:w="512" w:type="pct"/>
                  <w:tcBorders>
                    <w:top w:val="single" w:color="auto" w:sz="4" w:space="0"/>
                    <w:left w:val="single" w:color="auto" w:sz="4" w:space="0"/>
                    <w:bottom w:val="single" w:color="auto" w:sz="4" w:space="0"/>
                    <w:right w:val="single" w:color="auto" w:sz="4" w:space="0"/>
                  </w:tcBorders>
                  <w:vAlign w:val="center"/>
                </w:tcPr>
                <w:p w14:paraId="355F5AB3">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576" w:type="pct"/>
                  <w:tcBorders>
                    <w:top w:val="single" w:color="auto" w:sz="4" w:space="0"/>
                    <w:left w:val="single" w:color="auto" w:sz="4" w:space="0"/>
                    <w:bottom w:val="single" w:color="auto" w:sz="4" w:space="0"/>
                    <w:right w:val="single" w:color="auto" w:sz="4" w:space="0"/>
                  </w:tcBorders>
                  <w:vAlign w:val="center"/>
                </w:tcPr>
                <w:p w14:paraId="212C0CB5">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66" w:type="pct"/>
                  <w:vMerge w:val="restart"/>
                  <w:tcBorders>
                    <w:top w:val="single" w:color="auto" w:sz="4" w:space="0"/>
                    <w:left w:val="single" w:color="auto" w:sz="4" w:space="0"/>
                    <w:right w:val="single" w:color="auto" w:sz="4" w:space="0"/>
                  </w:tcBorders>
                  <w:vAlign w:val="center"/>
                </w:tcPr>
                <w:p w14:paraId="3902C71F">
                  <w:pPr>
                    <w:keepNext w:val="0"/>
                    <w:keepLines w:val="0"/>
                    <w:widowControl/>
                    <w:suppressLineNumbers w:val="0"/>
                    <w:jc w:val="center"/>
                    <w:textAlignment w:val="center"/>
                    <w:rPr>
                      <w:rFonts w:hint="eastAsia" w:ascii="Times New Roman" w:hAnsi="Times New Roman" w:eastAsia="宋体" w:cs="Times New Roman"/>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化粪池</w:t>
                  </w:r>
                </w:p>
              </w:tc>
              <w:tc>
                <w:tcPr>
                  <w:tcW w:w="622" w:type="pct"/>
                  <w:tcBorders>
                    <w:top w:val="single" w:color="auto" w:sz="4" w:space="0"/>
                    <w:left w:val="single" w:color="auto" w:sz="4" w:space="0"/>
                    <w:right w:val="single" w:color="auto" w:sz="4" w:space="0"/>
                  </w:tcBorders>
                  <w:vAlign w:val="center"/>
                </w:tcPr>
                <w:p w14:paraId="0D3F7BFE">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623" w:type="pct"/>
                  <w:tcBorders>
                    <w:top w:val="single" w:color="auto" w:sz="4" w:space="0"/>
                    <w:left w:val="single" w:color="auto" w:sz="4" w:space="0"/>
                    <w:right w:val="single" w:color="auto" w:sz="4" w:space="0"/>
                  </w:tcBorders>
                  <w:vAlign w:val="center"/>
                </w:tcPr>
                <w:p w14:paraId="66425E1B">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260A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72C9BFE1">
                  <w:pPr>
                    <w:widowControl/>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1B175111">
                  <w:pPr>
                    <w:widowControl/>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1643513A">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COD</w:t>
                  </w:r>
                </w:p>
              </w:tc>
              <w:tc>
                <w:tcPr>
                  <w:tcW w:w="512" w:type="pct"/>
                  <w:tcBorders>
                    <w:top w:val="single" w:color="auto" w:sz="4" w:space="0"/>
                    <w:left w:val="single" w:color="auto" w:sz="4" w:space="0"/>
                    <w:bottom w:val="single" w:color="auto" w:sz="4" w:space="0"/>
                    <w:right w:val="single" w:color="auto" w:sz="4" w:space="0"/>
                  </w:tcBorders>
                  <w:vAlign w:val="center"/>
                </w:tcPr>
                <w:p w14:paraId="6E03FD71">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250</w:t>
                  </w:r>
                </w:p>
              </w:tc>
              <w:tc>
                <w:tcPr>
                  <w:tcW w:w="576" w:type="pct"/>
                  <w:tcBorders>
                    <w:top w:val="single" w:color="auto" w:sz="4" w:space="0"/>
                    <w:left w:val="single" w:color="auto" w:sz="4" w:space="0"/>
                    <w:bottom w:val="single" w:color="auto" w:sz="4" w:space="0"/>
                    <w:right w:val="single" w:color="auto" w:sz="4" w:space="0"/>
                  </w:tcBorders>
                  <w:vAlign w:val="center"/>
                </w:tcPr>
                <w:p w14:paraId="77AF629D">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0.0360 </w:t>
                  </w:r>
                </w:p>
              </w:tc>
              <w:tc>
                <w:tcPr>
                  <w:tcW w:w="866" w:type="pct"/>
                  <w:vMerge w:val="continue"/>
                  <w:tcBorders>
                    <w:left w:val="single" w:color="auto" w:sz="4" w:space="0"/>
                    <w:right w:val="single" w:color="auto" w:sz="4" w:space="0"/>
                  </w:tcBorders>
                  <w:vAlign w:val="center"/>
                </w:tcPr>
                <w:p w14:paraId="29537370">
                  <w:pPr>
                    <w:jc w:val="center"/>
                    <w:rPr>
                      <w:rFonts w:hint="default" w:ascii="Times New Roman" w:hAnsi="Times New Roman" w:cs="Times New Roman"/>
                      <w:color w:val="auto"/>
                      <w:szCs w:val="21"/>
                      <w:highlight w:val="none"/>
                    </w:rPr>
                  </w:pPr>
                </w:p>
              </w:tc>
              <w:tc>
                <w:tcPr>
                  <w:tcW w:w="622" w:type="pct"/>
                  <w:tcBorders>
                    <w:top w:val="single" w:color="auto" w:sz="4" w:space="0"/>
                    <w:left w:val="single" w:color="auto" w:sz="4" w:space="0"/>
                    <w:right w:val="single" w:color="auto" w:sz="4" w:space="0"/>
                  </w:tcBorders>
                  <w:vAlign w:val="center"/>
                </w:tcPr>
                <w:p w14:paraId="440F4777">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250</w:t>
                  </w:r>
                </w:p>
              </w:tc>
              <w:tc>
                <w:tcPr>
                  <w:tcW w:w="623" w:type="pct"/>
                  <w:tcBorders>
                    <w:top w:val="single" w:color="auto" w:sz="4" w:space="0"/>
                    <w:left w:val="single" w:color="auto" w:sz="4" w:space="0"/>
                    <w:right w:val="single" w:color="auto" w:sz="4" w:space="0"/>
                  </w:tcBorders>
                  <w:vAlign w:val="center"/>
                </w:tcPr>
                <w:p w14:paraId="1FA28344">
                  <w:pPr>
                    <w:keepNext w:val="0"/>
                    <w:keepLines w:val="0"/>
                    <w:widowControl/>
                    <w:suppressLineNumbers w:val="0"/>
                    <w:jc w:val="center"/>
                    <w:textAlignment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0.0360 </w:t>
                  </w:r>
                </w:p>
              </w:tc>
            </w:tr>
            <w:tr w14:paraId="527E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74991C2F">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75791F48">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7A7B7648">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BOD</w:t>
                  </w:r>
                  <w:r>
                    <w:rPr>
                      <w:rFonts w:hint="default" w:ascii="Times New Roman" w:hAnsi="Times New Roman" w:cs="Times New Roman"/>
                      <w:color w:val="auto"/>
                      <w:szCs w:val="21"/>
                      <w:highlight w:val="none"/>
                      <w:vertAlign w:val="subscript"/>
                    </w:rPr>
                    <w:t>5</w:t>
                  </w:r>
                </w:p>
              </w:tc>
              <w:tc>
                <w:tcPr>
                  <w:tcW w:w="512" w:type="pct"/>
                  <w:tcBorders>
                    <w:top w:val="single" w:color="auto" w:sz="4" w:space="0"/>
                    <w:left w:val="single" w:color="auto" w:sz="4" w:space="0"/>
                    <w:bottom w:val="single" w:color="auto" w:sz="4" w:space="0"/>
                    <w:right w:val="single" w:color="auto" w:sz="4" w:space="0"/>
                  </w:tcBorders>
                  <w:vAlign w:val="center"/>
                </w:tcPr>
                <w:p w14:paraId="44A18B25">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130</w:t>
                  </w:r>
                </w:p>
              </w:tc>
              <w:tc>
                <w:tcPr>
                  <w:tcW w:w="576" w:type="pct"/>
                  <w:tcBorders>
                    <w:top w:val="single" w:color="auto" w:sz="4" w:space="0"/>
                    <w:left w:val="single" w:color="auto" w:sz="4" w:space="0"/>
                    <w:bottom w:val="single" w:color="auto" w:sz="4" w:space="0"/>
                    <w:right w:val="single" w:color="auto" w:sz="4" w:space="0"/>
                  </w:tcBorders>
                  <w:vAlign w:val="center"/>
                </w:tcPr>
                <w:p w14:paraId="2B7FB51C">
                  <w:pPr>
                    <w:keepNext w:val="0"/>
                    <w:keepLines w:val="0"/>
                    <w:widowControl/>
                    <w:suppressLineNumbers w:val="0"/>
                    <w:jc w:val="center"/>
                    <w:textAlignment w:val="center"/>
                    <w:rPr>
                      <w:rFonts w:hint="default" w:ascii="Times New Roman" w:hAnsi="Times New Roman" w:cs="Times New Roman"/>
                      <w:color w:val="auto"/>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0.0187 </w:t>
                  </w:r>
                </w:p>
              </w:tc>
              <w:tc>
                <w:tcPr>
                  <w:tcW w:w="866" w:type="pct"/>
                  <w:vMerge w:val="continue"/>
                  <w:tcBorders>
                    <w:left w:val="single" w:color="auto" w:sz="4" w:space="0"/>
                    <w:right w:val="single" w:color="auto" w:sz="4" w:space="0"/>
                  </w:tcBorders>
                  <w:vAlign w:val="center"/>
                </w:tcPr>
                <w:p w14:paraId="4F06D1BF">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vAlign w:val="center"/>
                </w:tcPr>
                <w:p w14:paraId="3F950ED4">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130</w:t>
                  </w:r>
                </w:p>
              </w:tc>
              <w:tc>
                <w:tcPr>
                  <w:tcW w:w="623" w:type="pct"/>
                  <w:tcBorders>
                    <w:left w:val="single" w:color="auto" w:sz="4" w:space="0"/>
                    <w:right w:val="single" w:color="auto" w:sz="4" w:space="0"/>
                  </w:tcBorders>
                  <w:vAlign w:val="center"/>
                </w:tcPr>
                <w:p w14:paraId="1A6A7262">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0.0187 </w:t>
                  </w:r>
                </w:p>
              </w:tc>
            </w:tr>
            <w:tr w14:paraId="2B13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2244A6C6">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3A94612F">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6E6BA035">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w:t>
                  </w:r>
                </w:p>
              </w:tc>
              <w:tc>
                <w:tcPr>
                  <w:tcW w:w="512" w:type="pct"/>
                  <w:tcBorders>
                    <w:top w:val="single" w:color="auto" w:sz="4" w:space="0"/>
                    <w:left w:val="single" w:color="auto" w:sz="4" w:space="0"/>
                    <w:bottom w:val="single" w:color="auto" w:sz="4" w:space="0"/>
                    <w:right w:val="single" w:color="auto" w:sz="4" w:space="0"/>
                  </w:tcBorders>
                  <w:vAlign w:val="center"/>
                </w:tcPr>
                <w:p w14:paraId="5DE34022">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576" w:type="pct"/>
                  <w:tcBorders>
                    <w:top w:val="single" w:color="auto" w:sz="4" w:space="0"/>
                    <w:left w:val="single" w:color="auto" w:sz="4" w:space="0"/>
                    <w:bottom w:val="single" w:color="auto" w:sz="4" w:space="0"/>
                    <w:right w:val="single" w:color="auto" w:sz="4" w:space="0"/>
                  </w:tcBorders>
                  <w:vAlign w:val="center"/>
                </w:tcPr>
                <w:p w14:paraId="600D79F4">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0.0029 </w:t>
                  </w:r>
                </w:p>
              </w:tc>
              <w:tc>
                <w:tcPr>
                  <w:tcW w:w="866" w:type="pct"/>
                  <w:vMerge w:val="continue"/>
                  <w:tcBorders>
                    <w:left w:val="single" w:color="auto" w:sz="4" w:space="0"/>
                    <w:right w:val="single" w:color="auto" w:sz="4" w:space="0"/>
                  </w:tcBorders>
                  <w:vAlign w:val="center"/>
                </w:tcPr>
                <w:p w14:paraId="316E4A11">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vAlign w:val="center"/>
                </w:tcPr>
                <w:p w14:paraId="00BC03AF">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623" w:type="pct"/>
                  <w:tcBorders>
                    <w:left w:val="single" w:color="auto" w:sz="4" w:space="0"/>
                    <w:right w:val="single" w:color="auto" w:sz="4" w:space="0"/>
                  </w:tcBorders>
                  <w:vAlign w:val="center"/>
                </w:tcPr>
                <w:p w14:paraId="35D1FD16">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0.0029 </w:t>
                  </w:r>
                </w:p>
              </w:tc>
            </w:tr>
            <w:tr w14:paraId="0CE6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4E35C78C">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045244AD">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0D910746">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SS</w:t>
                  </w:r>
                </w:p>
              </w:tc>
              <w:tc>
                <w:tcPr>
                  <w:tcW w:w="512" w:type="pct"/>
                  <w:tcBorders>
                    <w:top w:val="single" w:color="auto" w:sz="4" w:space="0"/>
                    <w:left w:val="single" w:color="auto" w:sz="4" w:space="0"/>
                    <w:bottom w:val="single" w:color="auto" w:sz="4" w:space="0"/>
                    <w:right w:val="single" w:color="auto" w:sz="4" w:space="0"/>
                  </w:tcBorders>
                  <w:vAlign w:val="center"/>
                </w:tcPr>
                <w:p w14:paraId="4597825D">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576" w:type="pct"/>
                  <w:tcBorders>
                    <w:top w:val="single" w:color="auto" w:sz="4" w:space="0"/>
                    <w:left w:val="single" w:color="auto" w:sz="4" w:space="0"/>
                    <w:bottom w:val="single" w:color="auto" w:sz="4" w:space="0"/>
                    <w:right w:val="single" w:color="auto" w:sz="4" w:space="0"/>
                  </w:tcBorders>
                  <w:vAlign w:val="center"/>
                </w:tcPr>
                <w:p w14:paraId="0EEB4963">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0.0144 </w:t>
                  </w:r>
                </w:p>
              </w:tc>
              <w:tc>
                <w:tcPr>
                  <w:tcW w:w="866" w:type="pct"/>
                  <w:vMerge w:val="continue"/>
                  <w:tcBorders>
                    <w:left w:val="single" w:color="auto" w:sz="4" w:space="0"/>
                    <w:right w:val="single" w:color="auto" w:sz="4" w:space="0"/>
                  </w:tcBorders>
                  <w:vAlign w:val="center"/>
                </w:tcPr>
                <w:p w14:paraId="58A82888">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vAlign w:val="center"/>
                </w:tcPr>
                <w:p w14:paraId="19A5FC1A">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623" w:type="pct"/>
                  <w:tcBorders>
                    <w:left w:val="single" w:color="auto" w:sz="4" w:space="0"/>
                    <w:right w:val="single" w:color="auto" w:sz="4" w:space="0"/>
                  </w:tcBorders>
                  <w:vAlign w:val="center"/>
                </w:tcPr>
                <w:p w14:paraId="78EEA10D">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0.0130 </w:t>
                  </w:r>
                </w:p>
              </w:tc>
            </w:tr>
            <w:tr w14:paraId="5248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restart"/>
                  <w:tcBorders>
                    <w:left w:val="single" w:color="auto" w:sz="4" w:space="0"/>
                    <w:right w:val="single" w:color="auto" w:sz="4" w:space="0"/>
                  </w:tcBorders>
                  <w:vAlign w:val="center"/>
                </w:tcPr>
                <w:p w14:paraId="6B293817">
                  <w:pPr>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保洁废水</w:t>
                  </w:r>
                </w:p>
              </w:tc>
              <w:tc>
                <w:tcPr>
                  <w:tcW w:w="597" w:type="pct"/>
                  <w:vMerge w:val="restart"/>
                  <w:tcBorders>
                    <w:left w:val="single" w:color="auto" w:sz="4" w:space="0"/>
                    <w:right w:val="single" w:color="auto" w:sz="4" w:space="0"/>
                  </w:tcBorders>
                  <w:vAlign w:val="center"/>
                </w:tcPr>
                <w:p w14:paraId="42BEBE8F">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42.12</w:t>
                  </w: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33C0DDF9">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pH</w:t>
                  </w:r>
                </w:p>
              </w:tc>
              <w:tc>
                <w:tcPr>
                  <w:tcW w:w="512" w:type="pct"/>
                  <w:tcBorders>
                    <w:top w:val="single" w:color="auto" w:sz="4" w:space="0"/>
                    <w:left w:val="single" w:color="auto" w:sz="4" w:space="0"/>
                    <w:bottom w:val="single" w:color="auto" w:sz="4" w:space="0"/>
                    <w:right w:val="single" w:color="auto" w:sz="4" w:space="0"/>
                  </w:tcBorders>
                  <w:vAlign w:val="center"/>
                </w:tcPr>
                <w:p w14:paraId="5E8AA61C">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576" w:type="pct"/>
                  <w:tcBorders>
                    <w:top w:val="single" w:color="auto" w:sz="4" w:space="0"/>
                    <w:left w:val="single" w:color="auto" w:sz="4" w:space="0"/>
                    <w:bottom w:val="single" w:color="auto" w:sz="4" w:space="0"/>
                    <w:right w:val="single" w:color="auto" w:sz="4" w:space="0"/>
                  </w:tcBorders>
                  <w:vAlign w:val="center"/>
                </w:tcPr>
                <w:p w14:paraId="22AE90BD">
                  <w:pPr>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w:t>
                  </w:r>
                </w:p>
              </w:tc>
              <w:tc>
                <w:tcPr>
                  <w:tcW w:w="866" w:type="pct"/>
                  <w:vMerge w:val="continue"/>
                  <w:tcBorders>
                    <w:left w:val="single" w:color="auto" w:sz="4" w:space="0"/>
                    <w:right w:val="single" w:color="auto" w:sz="4" w:space="0"/>
                  </w:tcBorders>
                  <w:vAlign w:val="center"/>
                </w:tcPr>
                <w:p w14:paraId="0B94B3EA">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vAlign w:val="center"/>
                </w:tcPr>
                <w:p w14:paraId="091062AF">
                  <w:pPr>
                    <w:jc w:val="center"/>
                    <w:rPr>
                      <w:rFonts w:hint="default" w:ascii="Times New Roman" w:hAnsi="Times New Roman" w:cs="Times New Roman"/>
                      <w:b/>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623" w:type="pct"/>
                  <w:tcBorders>
                    <w:left w:val="single" w:color="auto" w:sz="4" w:space="0"/>
                    <w:right w:val="single" w:color="auto" w:sz="4" w:space="0"/>
                  </w:tcBorders>
                  <w:vAlign w:val="center"/>
                </w:tcPr>
                <w:p w14:paraId="6D65E9F9">
                  <w:pPr>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w:t>
                  </w:r>
                </w:p>
              </w:tc>
            </w:tr>
            <w:tr w14:paraId="51D8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21663E36">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3A41298D">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5C3ABE06">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COD</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3FD4E00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160</w:t>
                  </w:r>
                </w:p>
              </w:tc>
              <w:tc>
                <w:tcPr>
                  <w:tcW w:w="576" w:type="pct"/>
                  <w:tcBorders>
                    <w:top w:val="single" w:color="auto" w:sz="4" w:space="0"/>
                    <w:left w:val="single" w:color="auto" w:sz="4" w:space="0"/>
                    <w:bottom w:val="single" w:color="auto" w:sz="4" w:space="0"/>
                    <w:right w:val="single" w:color="auto" w:sz="4" w:space="0"/>
                  </w:tcBorders>
                  <w:vAlign w:val="center"/>
                </w:tcPr>
                <w:p w14:paraId="3782C88A">
                  <w:pPr>
                    <w:keepNext w:val="0"/>
                    <w:keepLines w:val="0"/>
                    <w:widowControl/>
                    <w:suppressLineNumbers w:val="0"/>
                    <w:jc w:val="center"/>
                    <w:textAlignment w:val="center"/>
                    <w:rPr>
                      <w:rFonts w:hint="eastAsia"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0.0067 </w:t>
                  </w:r>
                </w:p>
              </w:tc>
              <w:tc>
                <w:tcPr>
                  <w:tcW w:w="866" w:type="pct"/>
                  <w:vMerge w:val="continue"/>
                  <w:tcBorders>
                    <w:left w:val="single" w:color="auto" w:sz="4" w:space="0"/>
                    <w:right w:val="single" w:color="auto" w:sz="4" w:space="0"/>
                  </w:tcBorders>
                  <w:vAlign w:val="center"/>
                </w:tcPr>
                <w:p w14:paraId="4ACFED64">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0CA29649">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160</w:t>
                  </w:r>
                </w:p>
              </w:tc>
              <w:tc>
                <w:tcPr>
                  <w:tcW w:w="623" w:type="pct"/>
                  <w:tcBorders>
                    <w:left w:val="single" w:color="auto" w:sz="4" w:space="0"/>
                    <w:right w:val="single" w:color="auto" w:sz="4" w:space="0"/>
                  </w:tcBorders>
                  <w:vAlign w:val="center"/>
                </w:tcPr>
                <w:p w14:paraId="360C1D6B">
                  <w:pPr>
                    <w:keepNext w:val="0"/>
                    <w:keepLines w:val="0"/>
                    <w:widowControl/>
                    <w:suppressLineNumbers w:val="0"/>
                    <w:jc w:val="center"/>
                    <w:textAlignment w:val="center"/>
                    <w:rPr>
                      <w:rFonts w:hint="eastAsia"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0.0067 </w:t>
                  </w:r>
                </w:p>
              </w:tc>
            </w:tr>
            <w:tr w14:paraId="7FDF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1C46F27E">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659990B6">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4873F48A">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BOD</w:t>
                  </w:r>
                  <w:r>
                    <w:rPr>
                      <w:rFonts w:hint="default" w:ascii="Times New Roman" w:hAnsi="Times New Roman" w:cs="Times New Roman"/>
                      <w:color w:val="auto"/>
                      <w:szCs w:val="21"/>
                      <w:highlight w:val="none"/>
                      <w:vertAlign w:val="subscript"/>
                    </w:rPr>
                    <w:t>5</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043E61F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576" w:type="pct"/>
                  <w:tcBorders>
                    <w:top w:val="single" w:color="auto" w:sz="4" w:space="0"/>
                    <w:left w:val="single" w:color="auto" w:sz="4" w:space="0"/>
                    <w:bottom w:val="single" w:color="auto" w:sz="4" w:space="0"/>
                    <w:right w:val="single" w:color="auto" w:sz="4" w:space="0"/>
                  </w:tcBorders>
                  <w:vAlign w:val="center"/>
                </w:tcPr>
                <w:p w14:paraId="37506EC0">
                  <w:pPr>
                    <w:keepNext w:val="0"/>
                    <w:keepLines w:val="0"/>
                    <w:widowControl/>
                    <w:suppressLineNumbers w:val="0"/>
                    <w:jc w:val="center"/>
                    <w:textAlignment w:val="center"/>
                    <w:rPr>
                      <w:rFonts w:hint="eastAsia"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0.0042 </w:t>
                  </w:r>
                </w:p>
              </w:tc>
              <w:tc>
                <w:tcPr>
                  <w:tcW w:w="866" w:type="pct"/>
                  <w:vMerge w:val="continue"/>
                  <w:tcBorders>
                    <w:left w:val="single" w:color="auto" w:sz="4" w:space="0"/>
                    <w:right w:val="single" w:color="auto" w:sz="4" w:space="0"/>
                  </w:tcBorders>
                  <w:vAlign w:val="center"/>
                </w:tcPr>
                <w:p w14:paraId="474CA01E">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469BC90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623" w:type="pct"/>
                  <w:tcBorders>
                    <w:left w:val="single" w:color="auto" w:sz="4" w:space="0"/>
                    <w:right w:val="single" w:color="auto" w:sz="4" w:space="0"/>
                  </w:tcBorders>
                  <w:vAlign w:val="center"/>
                </w:tcPr>
                <w:p w14:paraId="7D6D11BD">
                  <w:pPr>
                    <w:keepNext w:val="0"/>
                    <w:keepLines w:val="0"/>
                    <w:widowControl/>
                    <w:suppressLineNumbers w:val="0"/>
                    <w:jc w:val="center"/>
                    <w:textAlignment w:val="center"/>
                    <w:rPr>
                      <w:rFonts w:hint="eastAsia"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0.0042 </w:t>
                  </w:r>
                </w:p>
              </w:tc>
            </w:tr>
            <w:tr w14:paraId="6D12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6FE30F6C">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788D9ACB">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6B085BB6">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4C672C4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576" w:type="pct"/>
                  <w:tcBorders>
                    <w:top w:val="single" w:color="auto" w:sz="4" w:space="0"/>
                    <w:left w:val="single" w:color="auto" w:sz="4" w:space="0"/>
                    <w:bottom w:val="single" w:color="auto" w:sz="4" w:space="0"/>
                    <w:right w:val="single" w:color="auto" w:sz="4" w:space="0"/>
                  </w:tcBorders>
                  <w:vAlign w:val="center"/>
                </w:tcPr>
                <w:p w14:paraId="755F245E">
                  <w:pPr>
                    <w:keepNext w:val="0"/>
                    <w:keepLines w:val="0"/>
                    <w:widowControl/>
                    <w:suppressLineNumbers w:val="0"/>
                    <w:jc w:val="center"/>
                    <w:textAlignment w:val="center"/>
                    <w:rPr>
                      <w:rFonts w:hint="eastAsia"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0.0004 </w:t>
                  </w:r>
                </w:p>
              </w:tc>
              <w:tc>
                <w:tcPr>
                  <w:tcW w:w="866" w:type="pct"/>
                  <w:vMerge w:val="continue"/>
                  <w:tcBorders>
                    <w:left w:val="single" w:color="auto" w:sz="4" w:space="0"/>
                    <w:right w:val="single" w:color="auto" w:sz="4" w:space="0"/>
                  </w:tcBorders>
                  <w:vAlign w:val="center"/>
                </w:tcPr>
                <w:p w14:paraId="7AF5DFE4">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738A230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23" w:type="pct"/>
                  <w:tcBorders>
                    <w:left w:val="single" w:color="auto" w:sz="4" w:space="0"/>
                    <w:right w:val="single" w:color="auto" w:sz="4" w:space="0"/>
                  </w:tcBorders>
                  <w:vAlign w:val="center"/>
                </w:tcPr>
                <w:p w14:paraId="4E435FEB">
                  <w:pPr>
                    <w:keepNext w:val="0"/>
                    <w:keepLines w:val="0"/>
                    <w:widowControl/>
                    <w:suppressLineNumbers w:val="0"/>
                    <w:jc w:val="center"/>
                    <w:textAlignment w:val="center"/>
                    <w:rPr>
                      <w:rFonts w:hint="eastAsia"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0.0004 </w:t>
                  </w:r>
                </w:p>
              </w:tc>
            </w:tr>
            <w:tr w14:paraId="0E58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7A61E843">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372637A4">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11E892F8">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SS</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72DE02F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576" w:type="pct"/>
                  <w:tcBorders>
                    <w:top w:val="single" w:color="auto" w:sz="4" w:space="0"/>
                    <w:left w:val="single" w:color="auto" w:sz="4" w:space="0"/>
                    <w:bottom w:val="single" w:color="auto" w:sz="4" w:space="0"/>
                    <w:right w:val="single" w:color="auto" w:sz="4" w:space="0"/>
                  </w:tcBorders>
                  <w:vAlign w:val="center"/>
                </w:tcPr>
                <w:p w14:paraId="25E9EFAF">
                  <w:pPr>
                    <w:keepNext w:val="0"/>
                    <w:keepLines w:val="0"/>
                    <w:widowControl/>
                    <w:suppressLineNumbers w:val="0"/>
                    <w:jc w:val="center"/>
                    <w:textAlignment w:val="center"/>
                    <w:rPr>
                      <w:rFonts w:hint="eastAsia"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0.0084 </w:t>
                  </w:r>
                </w:p>
              </w:tc>
              <w:tc>
                <w:tcPr>
                  <w:tcW w:w="866" w:type="pct"/>
                  <w:vMerge w:val="continue"/>
                  <w:tcBorders>
                    <w:left w:val="single" w:color="auto" w:sz="4" w:space="0"/>
                    <w:right w:val="single" w:color="auto" w:sz="4" w:space="0"/>
                  </w:tcBorders>
                  <w:vAlign w:val="center"/>
                </w:tcPr>
                <w:p w14:paraId="5CB66F58">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vAlign w:val="center"/>
                </w:tcPr>
                <w:p w14:paraId="40C89F88">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623" w:type="pct"/>
                  <w:tcBorders>
                    <w:left w:val="single" w:color="auto" w:sz="4" w:space="0"/>
                    <w:right w:val="single" w:color="auto" w:sz="4" w:space="0"/>
                  </w:tcBorders>
                  <w:vAlign w:val="center"/>
                </w:tcPr>
                <w:p w14:paraId="5AA6CFCF">
                  <w:pPr>
                    <w:keepNext w:val="0"/>
                    <w:keepLines w:val="0"/>
                    <w:widowControl/>
                    <w:suppressLineNumbers w:val="0"/>
                    <w:jc w:val="center"/>
                    <w:textAlignment w:val="center"/>
                    <w:rPr>
                      <w:rFonts w:hint="eastAsia"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0.0076 </w:t>
                  </w:r>
                </w:p>
              </w:tc>
            </w:tr>
            <w:tr w14:paraId="0A5B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restart"/>
                  <w:tcBorders>
                    <w:left w:val="single" w:color="auto" w:sz="4" w:space="0"/>
                    <w:right w:val="single" w:color="auto" w:sz="4" w:space="0"/>
                  </w:tcBorders>
                  <w:vAlign w:val="center"/>
                </w:tcPr>
                <w:p w14:paraId="3061E8ED">
                  <w:pPr>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实验室质检</w:t>
                  </w:r>
                </w:p>
              </w:tc>
              <w:tc>
                <w:tcPr>
                  <w:tcW w:w="597" w:type="pct"/>
                  <w:vMerge w:val="restart"/>
                  <w:tcBorders>
                    <w:left w:val="single" w:color="auto" w:sz="4" w:space="0"/>
                    <w:right w:val="single" w:color="auto" w:sz="4" w:space="0"/>
                  </w:tcBorders>
                  <w:vAlign w:val="center"/>
                </w:tcPr>
                <w:p w14:paraId="210542D6">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14.175</w:t>
                  </w: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5C6B79C0">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pH</w:t>
                  </w:r>
                </w:p>
              </w:tc>
              <w:tc>
                <w:tcPr>
                  <w:tcW w:w="512" w:type="pct"/>
                  <w:tcBorders>
                    <w:top w:val="single" w:color="auto" w:sz="4" w:space="0"/>
                    <w:left w:val="single" w:color="auto" w:sz="4" w:space="0"/>
                    <w:bottom w:val="single" w:color="auto" w:sz="4" w:space="0"/>
                    <w:right w:val="single" w:color="auto" w:sz="4" w:space="0"/>
                  </w:tcBorders>
                  <w:vAlign w:val="center"/>
                </w:tcPr>
                <w:p w14:paraId="731F7A94">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576" w:type="pct"/>
                  <w:tcBorders>
                    <w:top w:val="single" w:color="auto" w:sz="4" w:space="0"/>
                    <w:left w:val="single" w:color="auto" w:sz="4" w:space="0"/>
                    <w:bottom w:val="single" w:color="auto" w:sz="4" w:space="0"/>
                    <w:right w:val="single" w:color="auto" w:sz="4" w:space="0"/>
                  </w:tcBorders>
                  <w:vAlign w:val="center"/>
                </w:tcPr>
                <w:p w14:paraId="43B652B8">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66" w:type="pct"/>
                  <w:vMerge w:val="restart"/>
                  <w:tcBorders>
                    <w:left w:val="single" w:color="auto" w:sz="4" w:space="0"/>
                    <w:right w:val="single" w:color="auto" w:sz="4" w:space="0"/>
                  </w:tcBorders>
                  <w:vAlign w:val="center"/>
                </w:tcPr>
                <w:p w14:paraId="48A17E88">
                  <w:pPr>
                    <w:keepNext w:val="0"/>
                    <w:keepLines w:val="0"/>
                    <w:widowControl/>
                    <w:suppressLineNumbers w:val="0"/>
                    <w:jc w:val="center"/>
                    <w:textAlignment w:val="center"/>
                    <w:rPr>
                      <w:rFonts w:hint="eastAsia" w:ascii="Times New Roman" w:hAnsi="Times New Roman" w:eastAsia="宋体" w:cs="Times New Roman"/>
                      <w:color w:val="auto"/>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w:t>
                  </w:r>
                </w:p>
              </w:tc>
              <w:tc>
                <w:tcPr>
                  <w:tcW w:w="622" w:type="pct"/>
                  <w:tcBorders>
                    <w:left w:val="single" w:color="auto" w:sz="4" w:space="0"/>
                    <w:right w:val="single" w:color="auto" w:sz="4" w:space="0"/>
                  </w:tcBorders>
                  <w:vAlign w:val="center"/>
                </w:tcPr>
                <w:p w14:paraId="583BE2FB">
                  <w:pPr>
                    <w:keepNext w:val="0"/>
                    <w:keepLines w:val="0"/>
                    <w:widowControl/>
                    <w:suppressLineNumbers w:val="0"/>
                    <w:jc w:val="center"/>
                    <w:textAlignment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623" w:type="pct"/>
                  <w:tcBorders>
                    <w:left w:val="single" w:color="auto" w:sz="4" w:space="0"/>
                    <w:right w:val="single" w:color="auto" w:sz="4" w:space="0"/>
                  </w:tcBorders>
                  <w:vAlign w:val="center"/>
                </w:tcPr>
                <w:p w14:paraId="6CDB4F1F">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1BB9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5CF2A79A">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6ED32738">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79011EC1">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COD</w:t>
                  </w:r>
                </w:p>
              </w:tc>
              <w:tc>
                <w:tcPr>
                  <w:tcW w:w="512" w:type="pct"/>
                  <w:tcBorders>
                    <w:top w:val="single" w:color="auto" w:sz="4" w:space="0"/>
                    <w:left w:val="single" w:color="auto" w:sz="4" w:space="0"/>
                    <w:bottom w:val="single" w:color="auto" w:sz="4" w:space="0"/>
                    <w:right w:val="single" w:color="auto" w:sz="4" w:space="0"/>
                  </w:tcBorders>
                  <w:vAlign w:val="center"/>
                </w:tcPr>
                <w:p w14:paraId="34AB6A1E">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576" w:type="pct"/>
                  <w:tcBorders>
                    <w:top w:val="single" w:color="auto" w:sz="4" w:space="0"/>
                    <w:left w:val="single" w:color="auto" w:sz="4" w:space="0"/>
                    <w:bottom w:val="single" w:color="auto" w:sz="4" w:space="0"/>
                    <w:right w:val="single" w:color="auto" w:sz="4" w:space="0"/>
                  </w:tcBorders>
                  <w:vAlign w:val="center"/>
                </w:tcPr>
                <w:p w14:paraId="5E78096B">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0.0007 </w:t>
                  </w:r>
                </w:p>
              </w:tc>
              <w:tc>
                <w:tcPr>
                  <w:tcW w:w="866" w:type="pct"/>
                  <w:vMerge w:val="continue"/>
                  <w:tcBorders>
                    <w:left w:val="single" w:color="auto" w:sz="4" w:space="0"/>
                    <w:right w:val="single" w:color="auto" w:sz="4" w:space="0"/>
                  </w:tcBorders>
                  <w:vAlign w:val="center"/>
                </w:tcPr>
                <w:p w14:paraId="3BAFC9D1">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421CB38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623" w:type="pct"/>
                  <w:tcBorders>
                    <w:left w:val="single" w:color="auto" w:sz="4" w:space="0"/>
                    <w:right w:val="single" w:color="auto" w:sz="4" w:space="0"/>
                  </w:tcBorders>
                  <w:shd w:val="clear" w:color="auto" w:fill="auto"/>
                  <w:vAlign w:val="center"/>
                </w:tcPr>
                <w:p w14:paraId="757014E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0.0007 </w:t>
                  </w:r>
                </w:p>
              </w:tc>
            </w:tr>
            <w:tr w14:paraId="7A9C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41F2C1A2">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5F93D137">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5AEDC91A">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BOD</w:t>
                  </w:r>
                  <w:r>
                    <w:rPr>
                      <w:rFonts w:hint="default" w:ascii="Times New Roman" w:hAnsi="Times New Roman" w:cs="Times New Roman"/>
                      <w:color w:val="auto"/>
                      <w:szCs w:val="21"/>
                      <w:highlight w:val="none"/>
                      <w:vertAlign w:val="subscript"/>
                    </w:rPr>
                    <w:t>5</w:t>
                  </w:r>
                </w:p>
              </w:tc>
              <w:tc>
                <w:tcPr>
                  <w:tcW w:w="512" w:type="pct"/>
                  <w:tcBorders>
                    <w:top w:val="single" w:color="auto" w:sz="4" w:space="0"/>
                    <w:left w:val="single" w:color="auto" w:sz="4" w:space="0"/>
                    <w:bottom w:val="single" w:color="auto" w:sz="4" w:space="0"/>
                    <w:right w:val="single" w:color="auto" w:sz="4" w:space="0"/>
                  </w:tcBorders>
                  <w:vAlign w:val="center"/>
                </w:tcPr>
                <w:p w14:paraId="31FEFF64">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45</w:t>
                  </w:r>
                </w:p>
              </w:tc>
              <w:tc>
                <w:tcPr>
                  <w:tcW w:w="576" w:type="pct"/>
                  <w:tcBorders>
                    <w:top w:val="single" w:color="auto" w:sz="4" w:space="0"/>
                    <w:left w:val="single" w:color="auto" w:sz="4" w:space="0"/>
                    <w:bottom w:val="single" w:color="auto" w:sz="4" w:space="0"/>
                    <w:right w:val="single" w:color="auto" w:sz="4" w:space="0"/>
                  </w:tcBorders>
                  <w:vAlign w:val="center"/>
                </w:tcPr>
                <w:p w14:paraId="0664A346">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0.0006 </w:t>
                  </w:r>
                </w:p>
              </w:tc>
              <w:tc>
                <w:tcPr>
                  <w:tcW w:w="866" w:type="pct"/>
                  <w:vMerge w:val="continue"/>
                  <w:tcBorders>
                    <w:left w:val="single" w:color="auto" w:sz="4" w:space="0"/>
                    <w:right w:val="single" w:color="auto" w:sz="4" w:space="0"/>
                  </w:tcBorders>
                  <w:vAlign w:val="center"/>
                </w:tcPr>
                <w:p w14:paraId="38B7B647">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793A9DA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45</w:t>
                  </w:r>
                </w:p>
              </w:tc>
              <w:tc>
                <w:tcPr>
                  <w:tcW w:w="623" w:type="pct"/>
                  <w:tcBorders>
                    <w:left w:val="single" w:color="auto" w:sz="4" w:space="0"/>
                    <w:right w:val="single" w:color="auto" w:sz="4" w:space="0"/>
                  </w:tcBorders>
                  <w:shd w:val="clear" w:color="auto" w:fill="auto"/>
                  <w:vAlign w:val="center"/>
                </w:tcPr>
                <w:p w14:paraId="6BE465F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0.0006 </w:t>
                  </w:r>
                </w:p>
              </w:tc>
            </w:tr>
            <w:tr w14:paraId="4E5F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3801A724">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71CADB7F">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682D2B86">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w:t>
                  </w:r>
                </w:p>
              </w:tc>
              <w:tc>
                <w:tcPr>
                  <w:tcW w:w="512" w:type="pct"/>
                  <w:tcBorders>
                    <w:top w:val="single" w:color="auto" w:sz="4" w:space="0"/>
                    <w:left w:val="single" w:color="auto" w:sz="4" w:space="0"/>
                    <w:bottom w:val="single" w:color="auto" w:sz="4" w:space="0"/>
                    <w:right w:val="single" w:color="auto" w:sz="4" w:space="0"/>
                  </w:tcBorders>
                  <w:vAlign w:val="center"/>
                </w:tcPr>
                <w:p w14:paraId="5D7E3605">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576" w:type="pct"/>
                  <w:tcBorders>
                    <w:top w:val="single" w:color="auto" w:sz="4" w:space="0"/>
                    <w:left w:val="single" w:color="auto" w:sz="4" w:space="0"/>
                    <w:bottom w:val="single" w:color="auto" w:sz="4" w:space="0"/>
                    <w:right w:val="single" w:color="auto" w:sz="4" w:space="0"/>
                  </w:tcBorders>
                  <w:vAlign w:val="center"/>
                </w:tcPr>
                <w:p w14:paraId="4C16AD0D">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0.0001 </w:t>
                  </w:r>
                </w:p>
              </w:tc>
              <w:tc>
                <w:tcPr>
                  <w:tcW w:w="866" w:type="pct"/>
                  <w:vMerge w:val="continue"/>
                  <w:tcBorders>
                    <w:left w:val="single" w:color="auto" w:sz="4" w:space="0"/>
                    <w:right w:val="single" w:color="auto" w:sz="4" w:space="0"/>
                  </w:tcBorders>
                  <w:vAlign w:val="center"/>
                </w:tcPr>
                <w:p w14:paraId="3B391E29">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735928D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23" w:type="pct"/>
                  <w:tcBorders>
                    <w:left w:val="single" w:color="auto" w:sz="4" w:space="0"/>
                    <w:right w:val="single" w:color="auto" w:sz="4" w:space="0"/>
                  </w:tcBorders>
                  <w:shd w:val="clear" w:color="auto" w:fill="auto"/>
                  <w:vAlign w:val="center"/>
                </w:tcPr>
                <w:p w14:paraId="290485C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0.0001 </w:t>
                  </w:r>
                </w:p>
              </w:tc>
            </w:tr>
            <w:tr w14:paraId="3C0F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39B8C82A">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07683F16">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2B51E8D7">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SS</w:t>
                  </w:r>
                </w:p>
              </w:tc>
              <w:tc>
                <w:tcPr>
                  <w:tcW w:w="512" w:type="pct"/>
                  <w:tcBorders>
                    <w:top w:val="single" w:color="auto" w:sz="4" w:space="0"/>
                    <w:left w:val="single" w:color="auto" w:sz="4" w:space="0"/>
                    <w:bottom w:val="single" w:color="auto" w:sz="4" w:space="0"/>
                    <w:right w:val="single" w:color="auto" w:sz="4" w:space="0"/>
                  </w:tcBorders>
                  <w:vAlign w:val="center"/>
                </w:tcPr>
                <w:p w14:paraId="57C046E3">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576" w:type="pct"/>
                  <w:tcBorders>
                    <w:top w:val="single" w:color="auto" w:sz="4" w:space="0"/>
                    <w:left w:val="single" w:color="auto" w:sz="4" w:space="0"/>
                    <w:bottom w:val="single" w:color="auto" w:sz="4" w:space="0"/>
                    <w:right w:val="single" w:color="auto" w:sz="4" w:space="0"/>
                  </w:tcBorders>
                  <w:vAlign w:val="center"/>
                </w:tcPr>
                <w:p w14:paraId="11E970AF">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0.0004 </w:t>
                  </w:r>
                </w:p>
              </w:tc>
              <w:tc>
                <w:tcPr>
                  <w:tcW w:w="866" w:type="pct"/>
                  <w:vMerge w:val="continue"/>
                  <w:tcBorders>
                    <w:left w:val="single" w:color="auto" w:sz="4" w:space="0"/>
                    <w:right w:val="single" w:color="auto" w:sz="4" w:space="0"/>
                  </w:tcBorders>
                  <w:vAlign w:val="center"/>
                </w:tcPr>
                <w:p w14:paraId="76780EE7">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00C70BC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623" w:type="pct"/>
                  <w:tcBorders>
                    <w:left w:val="single" w:color="auto" w:sz="4" w:space="0"/>
                    <w:right w:val="single" w:color="auto" w:sz="4" w:space="0"/>
                  </w:tcBorders>
                  <w:shd w:val="clear" w:color="auto" w:fill="auto"/>
                  <w:vAlign w:val="center"/>
                </w:tcPr>
                <w:p w14:paraId="1C46195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0.0003 </w:t>
                  </w:r>
                </w:p>
              </w:tc>
            </w:tr>
            <w:tr w14:paraId="3ED0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restart"/>
                  <w:tcBorders>
                    <w:left w:val="single" w:color="auto" w:sz="4" w:space="0"/>
                    <w:right w:val="single" w:color="auto" w:sz="4" w:space="0"/>
                  </w:tcBorders>
                  <w:vAlign w:val="center"/>
                </w:tcPr>
                <w:p w14:paraId="50C7549F">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eastAsia="zh-CN"/>
                    </w:rPr>
                    <w:t>瓶</w:t>
                  </w:r>
                  <w:r>
                    <w:rPr>
                      <w:rFonts w:hint="eastAsia" w:cs="Times New Roman"/>
                      <w:color w:val="auto"/>
                      <w:szCs w:val="21"/>
                      <w:highlight w:val="none"/>
                      <w:lang w:val="en-US" w:eastAsia="zh-CN"/>
                    </w:rPr>
                    <w:t>/桶/盖清洗</w:t>
                  </w:r>
                </w:p>
              </w:tc>
              <w:tc>
                <w:tcPr>
                  <w:tcW w:w="597" w:type="pct"/>
                  <w:vMerge w:val="restart"/>
                  <w:tcBorders>
                    <w:left w:val="single" w:color="auto" w:sz="4" w:space="0"/>
                    <w:right w:val="single" w:color="auto" w:sz="4" w:space="0"/>
                  </w:tcBorders>
                  <w:vAlign w:val="center"/>
                </w:tcPr>
                <w:p w14:paraId="0C08BABF">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180</w:t>
                  </w: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5C4FA26C">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pH</w:t>
                  </w:r>
                </w:p>
              </w:tc>
              <w:tc>
                <w:tcPr>
                  <w:tcW w:w="512" w:type="pct"/>
                  <w:tcBorders>
                    <w:top w:val="single" w:color="auto" w:sz="4" w:space="0"/>
                    <w:left w:val="single" w:color="auto" w:sz="4" w:space="0"/>
                    <w:bottom w:val="single" w:color="auto" w:sz="4" w:space="0"/>
                    <w:right w:val="single" w:color="auto" w:sz="4" w:space="0"/>
                  </w:tcBorders>
                  <w:vAlign w:val="center"/>
                </w:tcPr>
                <w:p w14:paraId="59A96E1D">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053" w:type="dxa"/>
                  <w:tcBorders>
                    <w:top w:val="single" w:color="auto" w:sz="4" w:space="0"/>
                    <w:left w:val="single" w:color="auto" w:sz="4" w:space="0"/>
                    <w:bottom w:val="single" w:color="auto" w:sz="4" w:space="0"/>
                    <w:right w:val="single" w:color="auto" w:sz="4" w:space="0"/>
                  </w:tcBorders>
                  <w:vAlign w:val="center"/>
                </w:tcPr>
                <w:p w14:paraId="75032F69">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866" w:type="pct"/>
                  <w:vMerge w:val="continue"/>
                  <w:tcBorders>
                    <w:left w:val="single" w:color="auto" w:sz="4" w:space="0"/>
                    <w:right w:val="single" w:color="auto" w:sz="4" w:space="0"/>
                  </w:tcBorders>
                  <w:vAlign w:val="center"/>
                </w:tcPr>
                <w:p w14:paraId="53C8B6B0">
                  <w:pPr>
                    <w:jc w:val="center"/>
                    <w:rPr>
                      <w:rFonts w:hint="eastAsia" w:ascii="Times New Roman" w:hAnsi="Times New Roman" w:eastAsia="宋体" w:cs="Times New Roman"/>
                      <w:color w:val="auto"/>
                      <w:szCs w:val="21"/>
                      <w:highlight w:val="none"/>
                      <w:lang w:val="en-US" w:eastAsia="zh-CN"/>
                    </w:rPr>
                  </w:pPr>
                </w:p>
              </w:tc>
              <w:tc>
                <w:tcPr>
                  <w:tcW w:w="622" w:type="pct"/>
                  <w:tcBorders>
                    <w:left w:val="single" w:color="auto" w:sz="4" w:space="0"/>
                    <w:right w:val="single" w:color="auto" w:sz="4" w:space="0"/>
                  </w:tcBorders>
                  <w:vAlign w:val="center"/>
                </w:tcPr>
                <w:p w14:paraId="0C6327DE">
                  <w:pPr>
                    <w:keepNext w:val="0"/>
                    <w:keepLines w:val="0"/>
                    <w:widowControl/>
                    <w:suppressLineNumbers w:val="0"/>
                    <w:jc w:val="center"/>
                    <w:textAlignment w:val="center"/>
                    <w:rPr>
                      <w:rFonts w:hint="eastAsia"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139" w:type="dxa"/>
                  <w:tcBorders>
                    <w:left w:val="single" w:color="auto" w:sz="4" w:space="0"/>
                    <w:right w:val="single" w:color="auto" w:sz="4" w:space="0"/>
                  </w:tcBorders>
                  <w:vAlign w:val="center"/>
                </w:tcPr>
                <w:p w14:paraId="578B21CA">
                  <w:pPr>
                    <w:keepNext w:val="0"/>
                    <w:keepLines w:val="0"/>
                    <w:widowControl/>
                    <w:suppressLineNumbers w:val="0"/>
                    <w:jc w:val="center"/>
                    <w:textAlignment w:val="center"/>
                    <w:rPr>
                      <w:rFonts w:hint="eastAsia" w:ascii="Times New Roman" w:hAnsi="Times New Roman" w:eastAsia="宋体" w:cs="Times New Roman"/>
                      <w:b/>
                      <w:bCs/>
                      <w:color w:val="auto"/>
                      <w:szCs w:val="21"/>
                      <w:highlight w:val="none"/>
                      <w:lang w:val="en-US" w:eastAsia="zh-CN"/>
                    </w:rPr>
                  </w:pPr>
                  <w:r>
                    <w:rPr>
                      <w:rFonts w:hint="eastAsia" w:cs="Times New Roman"/>
                      <w:b/>
                      <w:bCs/>
                      <w:color w:val="auto"/>
                      <w:szCs w:val="21"/>
                      <w:highlight w:val="none"/>
                      <w:lang w:val="en-US" w:eastAsia="zh-CN"/>
                    </w:rPr>
                    <w:t>/</w:t>
                  </w:r>
                </w:p>
              </w:tc>
            </w:tr>
            <w:tr w14:paraId="0215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6BB0F255">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25594D64">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2635413F">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COD</w:t>
                  </w:r>
                </w:p>
              </w:tc>
              <w:tc>
                <w:tcPr>
                  <w:tcW w:w="512" w:type="pct"/>
                  <w:tcBorders>
                    <w:top w:val="single" w:color="auto" w:sz="4" w:space="0"/>
                    <w:left w:val="single" w:color="auto" w:sz="4" w:space="0"/>
                    <w:bottom w:val="single" w:color="auto" w:sz="4" w:space="0"/>
                    <w:right w:val="single" w:color="auto" w:sz="4" w:space="0"/>
                  </w:tcBorders>
                  <w:vAlign w:val="center"/>
                </w:tcPr>
                <w:p w14:paraId="42BB4B4F">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i w:val="0"/>
                      <w:iCs w:val="0"/>
                      <w:color w:val="auto"/>
                      <w:kern w:val="0"/>
                      <w:sz w:val="21"/>
                      <w:szCs w:val="21"/>
                      <w:highlight w:val="none"/>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vAlign w:val="center"/>
                </w:tcPr>
                <w:p w14:paraId="2B3AA14E">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0.0090 </w:t>
                  </w:r>
                </w:p>
              </w:tc>
              <w:tc>
                <w:tcPr>
                  <w:tcW w:w="866" w:type="pct"/>
                  <w:vMerge w:val="continue"/>
                  <w:tcBorders>
                    <w:left w:val="single" w:color="auto" w:sz="4" w:space="0"/>
                    <w:right w:val="single" w:color="auto" w:sz="4" w:space="0"/>
                  </w:tcBorders>
                  <w:vAlign w:val="center"/>
                </w:tcPr>
                <w:p w14:paraId="202221E2">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7BFC6DA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139" w:type="dxa"/>
                  <w:tcBorders>
                    <w:left w:val="single" w:color="auto" w:sz="4" w:space="0"/>
                    <w:right w:val="single" w:color="auto" w:sz="4" w:space="0"/>
                  </w:tcBorders>
                  <w:vAlign w:val="center"/>
                </w:tcPr>
                <w:p w14:paraId="3D6D6D33">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0.0090 </w:t>
                  </w:r>
                </w:p>
              </w:tc>
            </w:tr>
            <w:tr w14:paraId="02C4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095EAFC0">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50514D51">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05A8E0B1">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BOD</w:t>
                  </w:r>
                  <w:r>
                    <w:rPr>
                      <w:rFonts w:hint="default" w:ascii="Times New Roman" w:hAnsi="Times New Roman" w:cs="Times New Roman"/>
                      <w:color w:val="auto"/>
                      <w:szCs w:val="21"/>
                      <w:highlight w:val="none"/>
                      <w:vertAlign w:val="subscript"/>
                    </w:rPr>
                    <w:t>5</w:t>
                  </w:r>
                </w:p>
              </w:tc>
              <w:tc>
                <w:tcPr>
                  <w:tcW w:w="512" w:type="pct"/>
                  <w:tcBorders>
                    <w:top w:val="single" w:color="auto" w:sz="4" w:space="0"/>
                    <w:left w:val="single" w:color="auto" w:sz="4" w:space="0"/>
                    <w:bottom w:val="single" w:color="auto" w:sz="4" w:space="0"/>
                    <w:right w:val="single" w:color="auto" w:sz="4" w:space="0"/>
                  </w:tcBorders>
                  <w:vAlign w:val="center"/>
                </w:tcPr>
                <w:p w14:paraId="009078BE">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053" w:type="dxa"/>
                  <w:tcBorders>
                    <w:top w:val="single" w:color="auto" w:sz="4" w:space="0"/>
                    <w:left w:val="single" w:color="auto" w:sz="4" w:space="0"/>
                    <w:bottom w:val="single" w:color="auto" w:sz="4" w:space="0"/>
                    <w:right w:val="single" w:color="auto" w:sz="4" w:space="0"/>
                  </w:tcBorders>
                  <w:vAlign w:val="center"/>
                </w:tcPr>
                <w:p w14:paraId="334D6678">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0.0108 </w:t>
                  </w:r>
                </w:p>
              </w:tc>
              <w:tc>
                <w:tcPr>
                  <w:tcW w:w="866" w:type="pct"/>
                  <w:vMerge w:val="continue"/>
                  <w:tcBorders>
                    <w:left w:val="single" w:color="auto" w:sz="4" w:space="0"/>
                    <w:right w:val="single" w:color="auto" w:sz="4" w:space="0"/>
                  </w:tcBorders>
                  <w:vAlign w:val="center"/>
                </w:tcPr>
                <w:p w14:paraId="6E6A6376">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456D0DD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139" w:type="dxa"/>
                  <w:tcBorders>
                    <w:left w:val="single" w:color="auto" w:sz="4" w:space="0"/>
                    <w:right w:val="single" w:color="auto" w:sz="4" w:space="0"/>
                  </w:tcBorders>
                  <w:vAlign w:val="center"/>
                </w:tcPr>
                <w:p w14:paraId="7B8BD498">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0.0108 </w:t>
                  </w:r>
                </w:p>
              </w:tc>
            </w:tr>
            <w:tr w14:paraId="1E63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19068EB2">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30F61026">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218AFA3C">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w:t>
                  </w:r>
                </w:p>
              </w:tc>
              <w:tc>
                <w:tcPr>
                  <w:tcW w:w="512" w:type="pct"/>
                  <w:tcBorders>
                    <w:top w:val="single" w:color="auto" w:sz="4" w:space="0"/>
                    <w:left w:val="single" w:color="auto" w:sz="4" w:space="0"/>
                    <w:bottom w:val="single" w:color="auto" w:sz="4" w:space="0"/>
                    <w:right w:val="single" w:color="auto" w:sz="4" w:space="0"/>
                  </w:tcBorders>
                  <w:vAlign w:val="center"/>
                </w:tcPr>
                <w:p w14:paraId="075C8D74">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35</w:t>
                  </w:r>
                </w:p>
              </w:tc>
              <w:tc>
                <w:tcPr>
                  <w:tcW w:w="1053" w:type="dxa"/>
                  <w:tcBorders>
                    <w:top w:val="single" w:color="auto" w:sz="4" w:space="0"/>
                    <w:left w:val="single" w:color="auto" w:sz="4" w:space="0"/>
                    <w:bottom w:val="single" w:color="auto" w:sz="4" w:space="0"/>
                    <w:right w:val="single" w:color="auto" w:sz="4" w:space="0"/>
                  </w:tcBorders>
                  <w:vAlign w:val="center"/>
                </w:tcPr>
                <w:p w14:paraId="0CD0CB70">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0.0063 </w:t>
                  </w:r>
                </w:p>
              </w:tc>
              <w:tc>
                <w:tcPr>
                  <w:tcW w:w="866" w:type="pct"/>
                  <w:vMerge w:val="continue"/>
                  <w:tcBorders>
                    <w:left w:val="single" w:color="auto" w:sz="4" w:space="0"/>
                    <w:right w:val="single" w:color="auto" w:sz="4" w:space="0"/>
                  </w:tcBorders>
                  <w:vAlign w:val="center"/>
                </w:tcPr>
                <w:p w14:paraId="3155B574">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190BFCD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35</w:t>
                  </w:r>
                </w:p>
              </w:tc>
              <w:tc>
                <w:tcPr>
                  <w:tcW w:w="1139" w:type="dxa"/>
                  <w:tcBorders>
                    <w:left w:val="single" w:color="auto" w:sz="4" w:space="0"/>
                    <w:right w:val="single" w:color="auto" w:sz="4" w:space="0"/>
                  </w:tcBorders>
                  <w:vAlign w:val="center"/>
                </w:tcPr>
                <w:p w14:paraId="723F1F35">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0.0063 </w:t>
                  </w:r>
                </w:p>
              </w:tc>
            </w:tr>
            <w:tr w14:paraId="4B43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76BF1C67">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410CE2B2">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5B078687">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SS</w:t>
                  </w:r>
                </w:p>
              </w:tc>
              <w:tc>
                <w:tcPr>
                  <w:tcW w:w="512" w:type="pct"/>
                  <w:tcBorders>
                    <w:top w:val="single" w:color="auto" w:sz="4" w:space="0"/>
                    <w:left w:val="single" w:color="auto" w:sz="4" w:space="0"/>
                    <w:bottom w:val="single" w:color="auto" w:sz="4" w:space="0"/>
                    <w:right w:val="single" w:color="auto" w:sz="4" w:space="0"/>
                  </w:tcBorders>
                  <w:vAlign w:val="center"/>
                </w:tcPr>
                <w:p w14:paraId="0F864FD1">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vAlign w:val="center"/>
                </w:tcPr>
                <w:p w14:paraId="59828E87">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0.0090 </w:t>
                  </w:r>
                </w:p>
              </w:tc>
              <w:tc>
                <w:tcPr>
                  <w:tcW w:w="866" w:type="pct"/>
                  <w:vMerge w:val="continue"/>
                  <w:tcBorders>
                    <w:left w:val="single" w:color="auto" w:sz="4" w:space="0"/>
                    <w:right w:val="single" w:color="auto" w:sz="4" w:space="0"/>
                  </w:tcBorders>
                  <w:vAlign w:val="center"/>
                </w:tcPr>
                <w:p w14:paraId="37C4964C">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6ED7F7C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highlight w:val="none"/>
                      <w:u w:val="none"/>
                      <w:lang w:val="en-US" w:eastAsia="zh-CN" w:bidi="ar"/>
                    </w:rPr>
                    <w:t>50</w:t>
                  </w:r>
                </w:p>
              </w:tc>
              <w:tc>
                <w:tcPr>
                  <w:tcW w:w="1139" w:type="dxa"/>
                  <w:tcBorders>
                    <w:left w:val="single" w:color="auto" w:sz="4" w:space="0"/>
                    <w:right w:val="single" w:color="auto" w:sz="4" w:space="0"/>
                  </w:tcBorders>
                  <w:vAlign w:val="center"/>
                </w:tcPr>
                <w:p w14:paraId="3ECD34AD">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0.0090 </w:t>
                  </w:r>
                </w:p>
              </w:tc>
            </w:tr>
            <w:tr w14:paraId="23BD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restart"/>
                  <w:tcBorders>
                    <w:left w:val="single" w:color="auto" w:sz="4" w:space="0"/>
                    <w:right w:val="single" w:color="auto" w:sz="4" w:space="0"/>
                  </w:tcBorders>
                  <w:vAlign w:val="center"/>
                </w:tcPr>
                <w:p w14:paraId="1401CFCA">
                  <w:pPr>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反冲洗废水</w:t>
                  </w:r>
                </w:p>
              </w:tc>
              <w:tc>
                <w:tcPr>
                  <w:tcW w:w="597" w:type="pct"/>
                  <w:vMerge w:val="restart"/>
                  <w:tcBorders>
                    <w:left w:val="single" w:color="auto" w:sz="4" w:space="0"/>
                    <w:right w:val="single" w:color="auto" w:sz="4" w:space="0"/>
                  </w:tcBorders>
                  <w:vAlign w:val="center"/>
                </w:tcPr>
                <w:p w14:paraId="2EB840C5">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150</w:t>
                  </w: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00D47C6F">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pH</w:t>
                  </w:r>
                </w:p>
              </w:tc>
              <w:tc>
                <w:tcPr>
                  <w:tcW w:w="512" w:type="pct"/>
                  <w:tcBorders>
                    <w:top w:val="single" w:color="auto" w:sz="4" w:space="0"/>
                    <w:left w:val="single" w:color="auto" w:sz="4" w:space="0"/>
                    <w:bottom w:val="single" w:color="auto" w:sz="4" w:space="0"/>
                    <w:right w:val="single" w:color="auto" w:sz="4" w:space="0"/>
                  </w:tcBorders>
                  <w:vAlign w:val="center"/>
                </w:tcPr>
                <w:p w14:paraId="2D9D042F">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053" w:type="dxa"/>
                  <w:tcBorders>
                    <w:top w:val="single" w:color="auto" w:sz="4" w:space="0"/>
                    <w:left w:val="single" w:color="auto" w:sz="4" w:space="0"/>
                    <w:bottom w:val="single" w:color="auto" w:sz="4" w:space="0"/>
                    <w:right w:val="single" w:color="auto" w:sz="4" w:space="0"/>
                  </w:tcBorders>
                  <w:vAlign w:val="center"/>
                </w:tcPr>
                <w:p w14:paraId="5E0742FE">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866" w:type="pct"/>
                  <w:vMerge w:val="continue"/>
                  <w:tcBorders>
                    <w:left w:val="single" w:color="auto" w:sz="4" w:space="0"/>
                    <w:right w:val="single" w:color="auto" w:sz="4" w:space="0"/>
                  </w:tcBorders>
                  <w:vAlign w:val="center"/>
                </w:tcPr>
                <w:p w14:paraId="0C44209F">
                  <w:pPr>
                    <w:jc w:val="center"/>
                    <w:rPr>
                      <w:rFonts w:hint="eastAsia" w:ascii="Times New Roman" w:hAnsi="Times New Roman" w:eastAsia="宋体" w:cs="Times New Roman"/>
                      <w:color w:val="auto"/>
                      <w:szCs w:val="21"/>
                      <w:highlight w:val="none"/>
                      <w:lang w:val="en-US" w:eastAsia="zh-CN"/>
                    </w:rPr>
                  </w:pPr>
                </w:p>
              </w:tc>
              <w:tc>
                <w:tcPr>
                  <w:tcW w:w="622" w:type="pct"/>
                  <w:tcBorders>
                    <w:left w:val="single" w:color="auto" w:sz="4" w:space="0"/>
                    <w:right w:val="single" w:color="auto" w:sz="4" w:space="0"/>
                  </w:tcBorders>
                  <w:vAlign w:val="center"/>
                </w:tcPr>
                <w:p w14:paraId="17E8EF47">
                  <w:pPr>
                    <w:keepNext w:val="0"/>
                    <w:keepLines w:val="0"/>
                    <w:widowControl/>
                    <w:suppressLineNumbers w:val="0"/>
                    <w:jc w:val="center"/>
                    <w:textAlignment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139" w:type="dxa"/>
                  <w:tcBorders>
                    <w:left w:val="single" w:color="auto" w:sz="4" w:space="0"/>
                    <w:right w:val="single" w:color="auto" w:sz="4" w:space="0"/>
                  </w:tcBorders>
                  <w:vAlign w:val="center"/>
                </w:tcPr>
                <w:p w14:paraId="02F2ED93">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w:t>
                  </w:r>
                </w:p>
              </w:tc>
            </w:tr>
            <w:tr w14:paraId="07C5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183A4852">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61D31BFC">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31445AD6">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COD</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0F86308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1053" w:type="dxa"/>
                  <w:tcBorders>
                    <w:top w:val="single" w:color="auto" w:sz="4" w:space="0"/>
                    <w:left w:val="single" w:color="auto" w:sz="4" w:space="0"/>
                    <w:bottom w:val="single" w:color="auto" w:sz="4" w:space="0"/>
                    <w:right w:val="single" w:color="auto" w:sz="4" w:space="0"/>
                  </w:tcBorders>
                  <w:vAlign w:val="center"/>
                </w:tcPr>
                <w:p w14:paraId="4F191D89">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0.0075 </w:t>
                  </w:r>
                </w:p>
              </w:tc>
              <w:tc>
                <w:tcPr>
                  <w:tcW w:w="866" w:type="pct"/>
                  <w:vMerge w:val="continue"/>
                  <w:tcBorders>
                    <w:left w:val="single" w:color="auto" w:sz="4" w:space="0"/>
                    <w:right w:val="single" w:color="auto" w:sz="4" w:space="0"/>
                  </w:tcBorders>
                  <w:vAlign w:val="center"/>
                </w:tcPr>
                <w:p w14:paraId="16B3D100">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7D0B9D0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highlight w:val="none"/>
                      <w:u w:val="none"/>
                      <w:lang w:val="en-US" w:eastAsia="zh-CN" w:bidi="ar"/>
                    </w:rPr>
                    <w:t>50</w:t>
                  </w:r>
                </w:p>
              </w:tc>
              <w:tc>
                <w:tcPr>
                  <w:tcW w:w="1139" w:type="dxa"/>
                  <w:tcBorders>
                    <w:left w:val="single" w:color="auto" w:sz="4" w:space="0"/>
                    <w:right w:val="single" w:color="auto" w:sz="4" w:space="0"/>
                  </w:tcBorders>
                  <w:vAlign w:val="center"/>
                </w:tcPr>
                <w:p w14:paraId="4F8ADF7B">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0.0075 </w:t>
                  </w:r>
                </w:p>
              </w:tc>
            </w:tr>
            <w:tr w14:paraId="646F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3459A38E">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0602F355">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107614E0">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BOD</w:t>
                  </w:r>
                  <w:r>
                    <w:rPr>
                      <w:rFonts w:hint="default" w:ascii="Times New Roman" w:hAnsi="Times New Roman" w:cs="Times New Roman"/>
                      <w:color w:val="auto"/>
                      <w:szCs w:val="21"/>
                      <w:highlight w:val="none"/>
                      <w:vertAlign w:val="subscript"/>
                    </w:rPr>
                    <w:t>5</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3AC2C2A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45</w:t>
                  </w:r>
                </w:p>
              </w:tc>
              <w:tc>
                <w:tcPr>
                  <w:tcW w:w="1053" w:type="dxa"/>
                  <w:tcBorders>
                    <w:top w:val="single" w:color="auto" w:sz="4" w:space="0"/>
                    <w:left w:val="single" w:color="auto" w:sz="4" w:space="0"/>
                    <w:bottom w:val="single" w:color="auto" w:sz="4" w:space="0"/>
                    <w:right w:val="single" w:color="auto" w:sz="4" w:space="0"/>
                  </w:tcBorders>
                  <w:vAlign w:val="center"/>
                </w:tcPr>
                <w:p w14:paraId="6D049FBB">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0.0068 </w:t>
                  </w:r>
                </w:p>
              </w:tc>
              <w:tc>
                <w:tcPr>
                  <w:tcW w:w="866" w:type="pct"/>
                  <w:vMerge w:val="continue"/>
                  <w:tcBorders>
                    <w:left w:val="single" w:color="auto" w:sz="4" w:space="0"/>
                    <w:right w:val="single" w:color="auto" w:sz="4" w:space="0"/>
                  </w:tcBorders>
                  <w:vAlign w:val="center"/>
                </w:tcPr>
                <w:p w14:paraId="6DA14F43">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260C2C5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45</w:t>
                  </w:r>
                </w:p>
              </w:tc>
              <w:tc>
                <w:tcPr>
                  <w:tcW w:w="1139" w:type="dxa"/>
                  <w:tcBorders>
                    <w:left w:val="single" w:color="auto" w:sz="4" w:space="0"/>
                    <w:right w:val="single" w:color="auto" w:sz="4" w:space="0"/>
                  </w:tcBorders>
                  <w:vAlign w:val="center"/>
                </w:tcPr>
                <w:p w14:paraId="6FDD062E">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0.0068 </w:t>
                  </w:r>
                </w:p>
              </w:tc>
            </w:tr>
            <w:tr w14:paraId="02E1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3F9B0C4F">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616377EC">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59581E5C">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724BF1C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053" w:type="dxa"/>
                  <w:tcBorders>
                    <w:top w:val="single" w:color="auto" w:sz="4" w:space="0"/>
                    <w:left w:val="single" w:color="auto" w:sz="4" w:space="0"/>
                    <w:bottom w:val="single" w:color="auto" w:sz="4" w:space="0"/>
                    <w:right w:val="single" w:color="auto" w:sz="4" w:space="0"/>
                  </w:tcBorders>
                  <w:vAlign w:val="center"/>
                </w:tcPr>
                <w:p w14:paraId="7D6D5A0F">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0.0015 </w:t>
                  </w:r>
                </w:p>
              </w:tc>
              <w:tc>
                <w:tcPr>
                  <w:tcW w:w="866" w:type="pct"/>
                  <w:vMerge w:val="continue"/>
                  <w:tcBorders>
                    <w:left w:val="single" w:color="auto" w:sz="4" w:space="0"/>
                    <w:right w:val="single" w:color="auto" w:sz="4" w:space="0"/>
                  </w:tcBorders>
                  <w:vAlign w:val="center"/>
                </w:tcPr>
                <w:p w14:paraId="7E889EFA">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6F54777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139" w:type="dxa"/>
                  <w:tcBorders>
                    <w:left w:val="single" w:color="auto" w:sz="4" w:space="0"/>
                    <w:right w:val="single" w:color="auto" w:sz="4" w:space="0"/>
                  </w:tcBorders>
                  <w:vAlign w:val="center"/>
                </w:tcPr>
                <w:p w14:paraId="77842794">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0.0015 </w:t>
                  </w:r>
                </w:p>
              </w:tc>
            </w:tr>
            <w:tr w14:paraId="160D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6C24B83B">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03CAD456">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15A35B0D">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SS</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59B0021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highlight w:val="none"/>
                      <w:u w:val="none"/>
                      <w:lang w:val="en-US" w:eastAsia="zh-CN" w:bidi="ar"/>
                    </w:rPr>
                    <w:t>12</w:t>
                  </w: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053" w:type="dxa"/>
                  <w:tcBorders>
                    <w:top w:val="single" w:color="auto" w:sz="4" w:space="0"/>
                    <w:left w:val="single" w:color="auto" w:sz="4" w:space="0"/>
                    <w:bottom w:val="single" w:color="auto" w:sz="4" w:space="0"/>
                    <w:right w:val="single" w:color="auto" w:sz="4" w:space="0"/>
                  </w:tcBorders>
                  <w:vAlign w:val="center"/>
                </w:tcPr>
                <w:p w14:paraId="590B7F17">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0.0180 </w:t>
                  </w:r>
                </w:p>
              </w:tc>
              <w:tc>
                <w:tcPr>
                  <w:tcW w:w="866" w:type="pct"/>
                  <w:vMerge w:val="continue"/>
                  <w:tcBorders>
                    <w:left w:val="single" w:color="auto" w:sz="4" w:space="0"/>
                    <w:right w:val="single" w:color="auto" w:sz="4" w:space="0"/>
                  </w:tcBorders>
                  <w:vAlign w:val="center"/>
                </w:tcPr>
                <w:p w14:paraId="53FAF5F9">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6322DD1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120</w:t>
                  </w:r>
                </w:p>
              </w:tc>
              <w:tc>
                <w:tcPr>
                  <w:tcW w:w="1139" w:type="dxa"/>
                  <w:tcBorders>
                    <w:left w:val="single" w:color="auto" w:sz="4" w:space="0"/>
                    <w:right w:val="single" w:color="auto" w:sz="4" w:space="0"/>
                  </w:tcBorders>
                  <w:vAlign w:val="center"/>
                </w:tcPr>
                <w:p w14:paraId="3E03E8F1">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0.0180 </w:t>
                  </w:r>
                </w:p>
              </w:tc>
            </w:tr>
            <w:tr w14:paraId="0396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restart"/>
                  <w:tcBorders>
                    <w:left w:val="single" w:color="auto" w:sz="4" w:space="0"/>
                    <w:right w:val="single" w:color="auto" w:sz="4" w:space="0"/>
                  </w:tcBorders>
                  <w:vAlign w:val="center"/>
                </w:tcPr>
                <w:p w14:paraId="35382643">
                  <w:pPr>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纯净水制备浓水</w:t>
                  </w:r>
                </w:p>
              </w:tc>
              <w:tc>
                <w:tcPr>
                  <w:tcW w:w="597" w:type="pct"/>
                  <w:vMerge w:val="restart"/>
                  <w:tcBorders>
                    <w:left w:val="single" w:color="auto" w:sz="4" w:space="0"/>
                    <w:right w:val="single" w:color="auto" w:sz="4" w:space="0"/>
                  </w:tcBorders>
                  <w:vAlign w:val="center"/>
                </w:tcPr>
                <w:p w14:paraId="0A331AC8">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5039.6375</w:t>
                  </w: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5B94BE1B">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pH</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7524A2E7">
                  <w:pPr>
                    <w:keepNext w:val="0"/>
                    <w:keepLines w:val="0"/>
                    <w:widowControl/>
                    <w:suppressLineNumbers w:val="0"/>
                    <w:jc w:val="center"/>
                    <w:textAlignment w:val="center"/>
                    <w:rPr>
                      <w:rFonts w:hint="default"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053" w:type="dxa"/>
                  <w:tcBorders>
                    <w:top w:val="single" w:color="auto" w:sz="4" w:space="0"/>
                    <w:left w:val="single" w:color="auto" w:sz="4" w:space="0"/>
                    <w:bottom w:val="single" w:color="auto" w:sz="4" w:space="0"/>
                    <w:right w:val="single" w:color="auto" w:sz="4" w:space="0"/>
                  </w:tcBorders>
                  <w:vAlign w:val="center"/>
                </w:tcPr>
                <w:p w14:paraId="58777026">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866" w:type="pct"/>
                  <w:vMerge w:val="continue"/>
                  <w:tcBorders>
                    <w:left w:val="single" w:color="auto" w:sz="4" w:space="0"/>
                    <w:right w:val="single" w:color="auto" w:sz="4" w:space="0"/>
                  </w:tcBorders>
                  <w:vAlign w:val="center"/>
                </w:tcPr>
                <w:p w14:paraId="54513EC1">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10983CBE">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139" w:type="dxa"/>
                  <w:tcBorders>
                    <w:left w:val="single" w:color="auto" w:sz="4" w:space="0"/>
                    <w:right w:val="single" w:color="auto" w:sz="4" w:space="0"/>
                  </w:tcBorders>
                  <w:shd w:val="clear" w:color="auto" w:fill="auto"/>
                  <w:vAlign w:val="center"/>
                </w:tcPr>
                <w:p w14:paraId="1E2BA3B6">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r>
            <w:tr w14:paraId="41BA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6970328F">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7CEC0DB4">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5543F0AB">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COD</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55B0B74F">
                  <w:pPr>
                    <w:keepNext w:val="0"/>
                    <w:keepLines w:val="0"/>
                    <w:widowControl/>
                    <w:suppressLineNumbers w:val="0"/>
                    <w:jc w:val="center"/>
                    <w:textAlignment w:val="center"/>
                    <w:rPr>
                      <w:rFonts w:hint="default" w:cs="Times New Roman"/>
                      <w:color w:val="auto"/>
                      <w:szCs w:val="21"/>
                      <w:highlight w:val="none"/>
                      <w:lang w:val="en-US" w:eastAsia="zh-CN"/>
                    </w:rPr>
                  </w:pPr>
                  <w:r>
                    <w:rPr>
                      <w:rFonts w:hint="eastAsia" w:cs="Times New Roman"/>
                      <w:i w:val="0"/>
                      <w:iCs w:val="0"/>
                      <w:color w:val="auto"/>
                      <w:kern w:val="0"/>
                      <w:sz w:val="21"/>
                      <w:szCs w:val="21"/>
                      <w:highlight w:val="none"/>
                      <w:u w:val="none"/>
                      <w:lang w:val="en-US" w:eastAsia="zh-CN" w:bidi="ar"/>
                    </w:rPr>
                    <w:t>15</w:t>
                  </w: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053" w:type="dxa"/>
                  <w:tcBorders>
                    <w:top w:val="single" w:color="auto" w:sz="4" w:space="0"/>
                    <w:left w:val="single" w:color="auto" w:sz="4" w:space="0"/>
                    <w:bottom w:val="single" w:color="auto" w:sz="4" w:space="0"/>
                    <w:right w:val="single" w:color="auto" w:sz="4" w:space="0"/>
                  </w:tcBorders>
                  <w:vAlign w:val="center"/>
                </w:tcPr>
                <w:p w14:paraId="609AE1DC">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0.7559 </w:t>
                  </w:r>
                </w:p>
              </w:tc>
              <w:tc>
                <w:tcPr>
                  <w:tcW w:w="866" w:type="pct"/>
                  <w:vMerge w:val="continue"/>
                  <w:tcBorders>
                    <w:left w:val="single" w:color="auto" w:sz="4" w:space="0"/>
                    <w:right w:val="single" w:color="auto" w:sz="4" w:space="0"/>
                  </w:tcBorders>
                  <w:vAlign w:val="center"/>
                </w:tcPr>
                <w:p w14:paraId="03A70E8A">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5D6F7EEB">
                  <w:pPr>
                    <w:keepNext w:val="0"/>
                    <w:keepLines w:val="0"/>
                    <w:widowControl/>
                    <w:suppressLineNumbers w:val="0"/>
                    <w:jc w:val="center"/>
                    <w:textAlignment w:val="center"/>
                    <w:rPr>
                      <w:rFonts w:hint="default" w:cs="Times New Roman"/>
                      <w:color w:val="auto"/>
                      <w:szCs w:val="21"/>
                      <w:highlight w:val="none"/>
                      <w:lang w:val="en-US" w:eastAsia="zh-CN"/>
                    </w:rPr>
                  </w:pPr>
                  <w:r>
                    <w:rPr>
                      <w:rFonts w:hint="eastAsia" w:cs="Times New Roman"/>
                      <w:i w:val="0"/>
                      <w:iCs w:val="0"/>
                      <w:color w:val="auto"/>
                      <w:kern w:val="0"/>
                      <w:sz w:val="21"/>
                      <w:szCs w:val="21"/>
                      <w:highlight w:val="none"/>
                      <w:u w:val="none"/>
                      <w:lang w:val="en-US" w:eastAsia="zh-CN" w:bidi="ar"/>
                    </w:rPr>
                    <w:t>15</w:t>
                  </w: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139" w:type="dxa"/>
                  <w:tcBorders>
                    <w:left w:val="single" w:color="auto" w:sz="4" w:space="0"/>
                    <w:right w:val="single" w:color="auto" w:sz="4" w:space="0"/>
                  </w:tcBorders>
                  <w:vAlign w:val="center"/>
                </w:tcPr>
                <w:p w14:paraId="1611C5D9">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0.7559 </w:t>
                  </w:r>
                </w:p>
              </w:tc>
            </w:tr>
            <w:tr w14:paraId="6226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48641F2A">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776C66C8">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46230E08">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BOD</w:t>
                  </w:r>
                  <w:r>
                    <w:rPr>
                      <w:rFonts w:hint="default" w:ascii="Times New Roman" w:hAnsi="Times New Roman" w:cs="Times New Roman"/>
                      <w:color w:val="auto"/>
                      <w:szCs w:val="21"/>
                      <w:highlight w:val="none"/>
                      <w:vertAlign w:val="subscript"/>
                    </w:rPr>
                    <w:t>5</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5437FA55">
                  <w:pPr>
                    <w:keepNext w:val="0"/>
                    <w:keepLines w:val="0"/>
                    <w:widowControl/>
                    <w:suppressLineNumbers w:val="0"/>
                    <w:jc w:val="center"/>
                    <w:textAlignment w:val="center"/>
                    <w:rPr>
                      <w:rFonts w:hint="default"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130</w:t>
                  </w:r>
                </w:p>
              </w:tc>
              <w:tc>
                <w:tcPr>
                  <w:tcW w:w="1053" w:type="dxa"/>
                  <w:tcBorders>
                    <w:top w:val="single" w:color="auto" w:sz="4" w:space="0"/>
                    <w:left w:val="single" w:color="auto" w:sz="4" w:space="0"/>
                    <w:bottom w:val="single" w:color="auto" w:sz="4" w:space="0"/>
                    <w:right w:val="single" w:color="auto" w:sz="4" w:space="0"/>
                  </w:tcBorders>
                  <w:vAlign w:val="center"/>
                </w:tcPr>
                <w:p w14:paraId="02B377C9">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0.6552 </w:t>
                  </w:r>
                </w:p>
              </w:tc>
              <w:tc>
                <w:tcPr>
                  <w:tcW w:w="866" w:type="pct"/>
                  <w:vMerge w:val="continue"/>
                  <w:tcBorders>
                    <w:left w:val="single" w:color="auto" w:sz="4" w:space="0"/>
                    <w:right w:val="single" w:color="auto" w:sz="4" w:space="0"/>
                  </w:tcBorders>
                  <w:vAlign w:val="center"/>
                </w:tcPr>
                <w:p w14:paraId="06044D21">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741C8594">
                  <w:pPr>
                    <w:keepNext w:val="0"/>
                    <w:keepLines w:val="0"/>
                    <w:widowControl/>
                    <w:suppressLineNumbers w:val="0"/>
                    <w:jc w:val="center"/>
                    <w:textAlignment w:val="center"/>
                    <w:rPr>
                      <w:rFonts w:hint="default"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130</w:t>
                  </w:r>
                </w:p>
              </w:tc>
              <w:tc>
                <w:tcPr>
                  <w:tcW w:w="1139" w:type="dxa"/>
                  <w:tcBorders>
                    <w:left w:val="single" w:color="auto" w:sz="4" w:space="0"/>
                    <w:right w:val="single" w:color="auto" w:sz="4" w:space="0"/>
                  </w:tcBorders>
                  <w:vAlign w:val="center"/>
                </w:tcPr>
                <w:p w14:paraId="1836D430">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0.6552 </w:t>
                  </w:r>
                </w:p>
              </w:tc>
            </w:tr>
            <w:tr w14:paraId="4D65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021E6C08">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733B791C">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0D46C6E3">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344B468D">
                  <w:pPr>
                    <w:keepNext w:val="0"/>
                    <w:keepLines w:val="0"/>
                    <w:widowControl/>
                    <w:suppressLineNumbers w:val="0"/>
                    <w:jc w:val="center"/>
                    <w:textAlignment w:val="center"/>
                    <w:rPr>
                      <w:rFonts w:hint="default"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053" w:type="dxa"/>
                  <w:tcBorders>
                    <w:top w:val="single" w:color="auto" w:sz="4" w:space="0"/>
                    <w:left w:val="single" w:color="auto" w:sz="4" w:space="0"/>
                    <w:bottom w:val="single" w:color="auto" w:sz="4" w:space="0"/>
                    <w:right w:val="single" w:color="auto" w:sz="4" w:space="0"/>
                  </w:tcBorders>
                  <w:vAlign w:val="center"/>
                </w:tcPr>
                <w:p w14:paraId="390F53F7">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0.1008 </w:t>
                  </w:r>
                </w:p>
              </w:tc>
              <w:tc>
                <w:tcPr>
                  <w:tcW w:w="866" w:type="pct"/>
                  <w:vMerge w:val="continue"/>
                  <w:tcBorders>
                    <w:left w:val="single" w:color="auto" w:sz="4" w:space="0"/>
                    <w:right w:val="single" w:color="auto" w:sz="4" w:space="0"/>
                  </w:tcBorders>
                  <w:vAlign w:val="center"/>
                </w:tcPr>
                <w:p w14:paraId="554897AD">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4ADFDFF8">
                  <w:pPr>
                    <w:keepNext w:val="0"/>
                    <w:keepLines w:val="0"/>
                    <w:widowControl/>
                    <w:suppressLineNumbers w:val="0"/>
                    <w:jc w:val="center"/>
                    <w:textAlignment w:val="center"/>
                    <w:rPr>
                      <w:rFonts w:hint="default"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139" w:type="dxa"/>
                  <w:tcBorders>
                    <w:left w:val="single" w:color="auto" w:sz="4" w:space="0"/>
                    <w:right w:val="single" w:color="auto" w:sz="4" w:space="0"/>
                  </w:tcBorders>
                  <w:vAlign w:val="center"/>
                </w:tcPr>
                <w:p w14:paraId="0C05E85B">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0.1008 </w:t>
                  </w:r>
                </w:p>
              </w:tc>
            </w:tr>
            <w:tr w14:paraId="7B96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18" w:type="pct"/>
                  <w:vMerge w:val="continue"/>
                  <w:tcBorders>
                    <w:left w:val="single" w:color="auto" w:sz="4" w:space="0"/>
                    <w:right w:val="single" w:color="auto" w:sz="4" w:space="0"/>
                  </w:tcBorders>
                  <w:vAlign w:val="center"/>
                </w:tcPr>
                <w:p w14:paraId="615EED25">
                  <w:pPr>
                    <w:jc w:val="center"/>
                    <w:rPr>
                      <w:rFonts w:hint="default" w:ascii="Times New Roman" w:hAnsi="Times New Roman" w:cs="Times New Roman"/>
                      <w:color w:val="auto"/>
                      <w:szCs w:val="21"/>
                      <w:highlight w:val="none"/>
                    </w:rPr>
                  </w:pPr>
                </w:p>
              </w:tc>
              <w:tc>
                <w:tcPr>
                  <w:tcW w:w="597" w:type="pct"/>
                  <w:vMerge w:val="continue"/>
                  <w:tcBorders>
                    <w:left w:val="single" w:color="auto" w:sz="4" w:space="0"/>
                    <w:right w:val="single" w:color="auto" w:sz="4" w:space="0"/>
                  </w:tcBorders>
                  <w:vAlign w:val="center"/>
                </w:tcPr>
                <w:p w14:paraId="05FC281E">
                  <w:pPr>
                    <w:jc w:val="center"/>
                    <w:rPr>
                      <w:rFonts w:hint="default" w:ascii="Times New Roman" w:hAnsi="Times New Roman" w:cs="Times New Roman"/>
                      <w:color w:val="auto"/>
                      <w:szCs w:val="21"/>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7FF9EA9D">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SS</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14:paraId="33E52AB4">
                  <w:pPr>
                    <w:keepNext w:val="0"/>
                    <w:keepLines w:val="0"/>
                    <w:widowControl/>
                    <w:suppressLineNumbers w:val="0"/>
                    <w:jc w:val="center"/>
                    <w:textAlignment w:val="center"/>
                    <w:rPr>
                      <w:rFonts w:hint="default"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1053" w:type="dxa"/>
                  <w:tcBorders>
                    <w:top w:val="single" w:color="auto" w:sz="4" w:space="0"/>
                    <w:left w:val="single" w:color="auto" w:sz="4" w:space="0"/>
                    <w:bottom w:val="single" w:color="auto" w:sz="4" w:space="0"/>
                    <w:right w:val="single" w:color="auto" w:sz="4" w:space="0"/>
                  </w:tcBorders>
                  <w:vAlign w:val="center"/>
                </w:tcPr>
                <w:p w14:paraId="41E01ACE">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0.5040 </w:t>
                  </w:r>
                </w:p>
              </w:tc>
              <w:tc>
                <w:tcPr>
                  <w:tcW w:w="866" w:type="pct"/>
                  <w:vMerge w:val="continue"/>
                  <w:tcBorders>
                    <w:left w:val="single" w:color="auto" w:sz="4" w:space="0"/>
                    <w:right w:val="single" w:color="auto" w:sz="4" w:space="0"/>
                  </w:tcBorders>
                  <w:vAlign w:val="center"/>
                </w:tcPr>
                <w:p w14:paraId="78B7878E">
                  <w:pPr>
                    <w:jc w:val="center"/>
                    <w:rPr>
                      <w:rFonts w:hint="default" w:ascii="Times New Roman" w:hAnsi="Times New Roman" w:cs="Times New Roman"/>
                      <w:color w:val="auto"/>
                      <w:szCs w:val="21"/>
                      <w:highlight w:val="none"/>
                    </w:rPr>
                  </w:pPr>
                </w:p>
              </w:tc>
              <w:tc>
                <w:tcPr>
                  <w:tcW w:w="622" w:type="pct"/>
                  <w:tcBorders>
                    <w:left w:val="single" w:color="auto" w:sz="4" w:space="0"/>
                    <w:right w:val="single" w:color="auto" w:sz="4" w:space="0"/>
                  </w:tcBorders>
                  <w:shd w:val="clear" w:color="auto" w:fill="auto"/>
                  <w:vAlign w:val="center"/>
                </w:tcPr>
                <w:p w14:paraId="7624255E">
                  <w:pPr>
                    <w:keepNext w:val="0"/>
                    <w:keepLines w:val="0"/>
                    <w:widowControl/>
                    <w:suppressLineNumbers w:val="0"/>
                    <w:jc w:val="center"/>
                    <w:textAlignment w:val="center"/>
                    <w:rPr>
                      <w:rFonts w:hint="default" w:cs="Times New Roman"/>
                      <w:color w:val="auto"/>
                      <w:szCs w:val="21"/>
                      <w:highlight w:val="none"/>
                      <w:lang w:val="en-US" w:eastAsia="zh-CN"/>
                    </w:rPr>
                  </w:pPr>
                  <w:r>
                    <w:rPr>
                      <w:rFonts w:hint="eastAsia" w:cs="Times New Roman"/>
                      <w:i w:val="0"/>
                      <w:iCs w:val="0"/>
                      <w:color w:val="auto"/>
                      <w:kern w:val="0"/>
                      <w:sz w:val="21"/>
                      <w:szCs w:val="21"/>
                      <w:highlight w:val="none"/>
                      <w:u w:val="none"/>
                      <w:lang w:val="en-US" w:eastAsia="zh-CN" w:bidi="ar"/>
                    </w:rPr>
                    <w:t>100</w:t>
                  </w:r>
                </w:p>
              </w:tc>
              <w:tc>
                <w:tcPr>
                  <w:tcW w:w="1139" w:type="dxa"/>
                  <w:tcBorders>
                    <w:left w:val="single" w:color="auto" w:sz="4" w:space="0"/>
                    <w:right w:val="single" w:color="auto" w:sz="4" w:space="0"/>
                  </w:tcBorders>
                  <w:vAlign w:val="center"/>
                </w:tcPr>
                <w:p w14:paraId="2472A68F">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0.5040 </w:t>
                  </w:r>
                </w:p>
              </w:tc>
            </w:tr>
          </w:tbl>
          <w:p w14:paraId="4B29B817">
            <w:pPr>
              <w:adjustRightInd w:val="0"/>
              <w:snapToGrid w:val="0"/>
              <w:spacing w:line="360" w:lineRule="auto"/>
              <w:rPr>
                <w:b/>
                <w:color w:val="auto"/>
                <w:spacing w:val="-10"/>
                <w:sz w:val="24"/>
                <w:highlight w:val="none"/>
              </w:rPr>
            </w:pPr>
            <w:r>
              <w:rPr>
                <w:b/>
                <w:color w:val="auto"/>
                <w:spacing w:val="-10"/>
                <w:sz w:val="24"/>
                <w:highlight w:val="none"/>
              </w:rPr>
              <w:t>2．水污染防治措施</w:t>
            </w:r>
          </w:p>
          <w:p w14:paraId="28756162">
            <w:pPr>
              <w:widowControl/>
              <w:spacing w:line="360" w:lineRule="auto"/>
              <w:jc w:val="left"/>
              <w:rPr>
                <w:bCs/>
                <w:color w:val="auto"/>
                <w:spacing w:val="-10"/>
                <w:sz w:val="24"/>
                <w:highlight w:val="none"/>
              </w:rPr>
            </w:pPr>
            <w:r>
              <w:rPr>
                <w:rFonts w:hint="eastAsia"/>
                <w:color w:val="auto"/>
                <w:kern w:val="0"/>
                <w:sz w:val="24"/>
                <w:highlight w:val="none"/>
                <w:lang w:eastAsia="zh-CN"/>
              </w:rPr>
              <w:t>（</w:t>
            </w:r>
            <w:r>
              <w:rPr>
                <w:rFonts w:hint="eastAsia"/>
                <w:color w:val="auto"/>
                <w:kern w:val="0"/>
                <w:sz w:val="24"/>
                <w:highlight w:val="none"/>
                <w:lang w:val="en-US" w:eastAsia="zh-CN"/>
              </w:rPr>
              <w:t>1</w:t>
            </w:r>
            <w:r>
              <w:rPr>
                <w:rFonts w:hint="eastAsia"/>
                <w:color w:val="auto"/>
                <w:kern w:val="0"/>
                <w:sz w:val="24"/>
                <w:highlight w:val="none"/>
                <w:lang w:eastAsia="zh-CN"/>
              </w:rPr>
              <w:t>）</w:t>
            </w:r>
            <w:r>
              <w:rPr>
                <w:rFonts w:hint="eastAsia" w:ascii="Times New Roman" w:hAnsi="Times New Roman" w:cs="Times New Roman"/>
                <w:bCs/>
                <w:color w:val="auto"/>
                <w:sz w:val="24"/>
                <w:szCs w:val="24"/>
                <w:highlight w:val="none"/>
                <w:lang w:val="zh-CN"/>
              </w:rPr>
              <w:t>宿州市循环经济示范园污水处理厂</w:t>
            </w:r>
            <w:r>
              <w:rPr>
                <w:bCs/>
                <w:color w:val="auto"/>
                <w:sz w:val="24"/>
                <w:highlight w:val="none"/>
              </w:rPr>
              <w:t>概况</w:t>
            </w:r>
          </w:p>
          <w:p w14:paraId="43D9028F">
            <w:pPr>
              <w:autoSpaceDE w:val="0"/>
              <w:autoSpaceDN w:val="0"/>
              <w:adjustRightInd w:val="0"/>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olor w:val="auto"/>
                <w:kern w:val="21"/>
                <w:sz w:val="24"/>
                <w:szCs w:val="24"/>
                <w:highlight w:val="none"/>
              </w:rPr>
              <w:t>宿州循环经济示范园污水处理工程一期工程，位于宿州循环经济示范园。总占地面积</w:t>
            </w:r>
            <w:r>
              <w:rPr>
                <w:rFonts w:ascii="Times New Roman" w:hAnsi="Times New Roman" w:eastAsia="宋体"/>
                <w:color w:val="auto"/>
                <w:kern w:val="21"/>
                <w:sz w:val="24"/>
                <w:szCs w:val="24"/>
                <w:highlight w:val="none"/>
              </w:rPr>
              <w:t>40000m</w:t>
            </w:r>
            <w:r>
              <w:rPr>
                <w:rFonts w:ascii="Times New Roman" w:hAnsi="Times New Roman" w:eastAsia="宋体"/>
                <w:color w:val="auto"/>
                <w:kern w:val="21"/>
                <w:sz w:val="24"/>
                <w:szCs w:val="24"/>
                <w:highlight w:val="none"/>
                <w:vertAlign w:val="superscript"/>
              </w:rPr>
              <w:t>2</w:t>
            </w:r>
            <w:r>
              <w:rPr>
                <w:rFonts w:hint="eastAsia" w:ascii="Times New Roman" w:hAnsi="Times New Roman" w:eastAsia="宋体"/>
                <w:color w:val="auto"/>
                <w:kern w:val="21"/>
                <w:sz w:val="24"/>
                <w:szCs w:val="24"/>
                <w:highlight w:val="none"/>
              </w:rPr>
              <w:t>，合</w:t>
            </w:r>
            <w:r>
              <w:rPr>
                <w:rFonts w:ascii="Times New Roman" w:hAnsi="Times New Roman" w:eastAsia="宋体"/>
                <w:color w:val="auto"/>
                <w:kern w:val="21"/>
                <w:sz w:val="24"/>
                <w:szCs w:val="24"/>
                <w:highlight w:val="none"/>
              </w:rPr>
              <w:t>60</w:t>
            </w:r>
            <w:r>
              <w:rPr>
                <w:rFonts w:hint="eastAsia" w:ascii="Times New Roman" w:hAnsi="Times New Roman" w:eastAsia="宋体"/>
                <w:color w:val="auto"/>
                <w:kern w:val="21"/>
                <w:sz w:val="24"/>
                <w:szCs w:val="24"/>
                <w:highlight w:val="none"/>
              </w:rPr>
              <w:t>亩，其中一期工程占地约</w:t>
            </w:r>
            <w:r>
              <w:rPr>
                <w:rFonts w:ascii="Times New Roman" w:hAnsi="Times New Roman" w:eastAsia="宋体"/>
                <w:color w:val="auto"/>
                <w:kern w:val="21"/>
                <w:sz w:val="24"/>
                <w:szCs w:val="24"/>
                <w:highlight w:val="none"/>
              </w:rPr>
              <w:t>46.2</w:t>
            </w:r>
            <w:r>
              <w:rPr>
                <w:rFonts w:hint="eastAsia" w:ascii="Times New Roman" w:hAnsi="Times New Roman" w:eastAsia="宋体"/>
                <w:color w:val="auto"/>
                <w:kern w:val="21"/>
                <w:sz w:val="24"/>
                <w:szCs w:val="24"/>
                <w:highlight w:val="none"/>
              </w:rPr>
              <w:t>亩。总投资约</w:t>
            </w:r>
            <w:r>
              <w:rPr>
                <w:rFonts w:ascii="Times New Roman" w:hAnsi="Times New Roman" w:eastAsia="宋体"/>
                <w:color w:val="auto"/>
                <w:kern w:val="21"/>
                <w:sz w:val="24"/>
                <w:szCs w:val="24"/>
                <w:highlight w:val="none"/>
              </w:rPr>
              <w:t>7046.99</w:t>
            </w:r>
            <w:r>
              <w:rPr>
                <w:rFonts w:hint="eastAsia" w:ascii="Times New Roman" w:hAnsi="Times New Roman" w:eastAsia="宋体"/>
                <w:color w:val="auto"/>
                <w:kern w:val="21"/>
                <w:sz w:val="24"/>
                <w:szCs w:val="24"/>
                <w:highlight w:val="none"/>
              </w:rPr>
              <w:t>万元。污水处理厂设计规模确定为：近期（</w:t>
            </w:r>
            <w:r>
              <w:rPr>
                <w:rFonts w:ascii="Times New Roman" w:hAnsi="Times New Roman" w:eastAsia="宋体"/>
                <w:color w:val="auto"/>
                <w:kern w:val="21"/>
                <w:sz w:val="24"/>
                <w:szCs w:val="24"/>
                <w:highlight w:val="none"/>
              </w:rPr>
              <w:t>20</w:t>
            </w:r>
            <w:r>
              <w:rPr>
                <w:rFonts w:hint="eastAsia" w:ascii="Times New Roman" w:hAnsi="Times New Roman" w:eastAsia="宋体"/>
                <w:color w:val="auto"/>
                <w:kern w:val="21"/>
                <w:sz w:val="24"/>
                <w:szCs w:val="24"/>
                <w:highlight w:val="none"/>
                <w:lang w:val="en-US" w:eastAsia="zh-CN"/>
              </w:rPr>
              <w:t>18</w:t>
            </w:r>
            <w:r>
              <w:rPr>
                <w:rFonts w:hint="eastAsia" w:ascii="Times New Roman" w:hAnsi="Times New Roman" w:eastAsia="宋体"/>
                <w:color w:val="auto"/>
                <w:kern w:val="21"/>
                <w:sz w:val="24"/>
                <w:szCs w:val="24"/>
                <w:highlight w:val="none"/>
              </w:rPr>
              <w:t>年）为</w:t>
            </w:r>
            <w:r>
              <w:rPr>
                <w:rFonts w:ascii="Times New Roman" w:hAnsi="Times New Roman" w:eastAsia="宋体"/>
                <w:color w:val="auto"/>
                <w:kern w:val="21"/>
                <w:sz w:val="24"/>
                <w:szCs w:val="24"/>
                <w:highlight w:val="none"/>
              </w:rPr>
              <w:t>2</w:t>
            </w:r>
            <w:r>
              <w:rPr>
                <w:rFonts w:hint="eastAsia" w:ascii="Times New Roman" w:hAnsi="Times New Roman" w:eastAsia="宋体"/>
                <w:color w:val="auto"/>
                <w:kern w:val="21"/>
                <w:sz w:val="24"/>
                <w:szCs w:val="24"/>
                <w:highlight w:val="none"/>
              </w:rPr>
              <w:t>万</w:t>
            </w:r>
            <w:r>
              <w:rPr>
                <w:rFonts w:ascii="Times New Roman" w:hAnsi="Times New Roman" w:eastAsia="宋体"/>
                <w:color w:val="auto"/>
                <w:kern w:val="21"/>
                <w:sz w:val="24"/>
                <w:szCs w:val="24"/>
                <w:highlight w:val="none"/>
              </w:rPr>
              <w:t>m</w:t>
            </w:r>
            <w:r>
              <w:rPr>
                <w:rFonts w:ascii="Times New Roman" w:hAnsi="Times New Roman" w:eastAsia="宋体"/>
                <w:color w:val="auto"/>
                <w:kern w:val="21"/>
                <w:sz w:val="24"/>
                <w:szCs w:val="24"/>
                <w:highlight w:val="none"/>
                <w:vertAlign w:val="superscript"/>
              </w:rPr>
              <w:t>3</w:t>
            </w:r>
            <w:r>
              <w:rPr>
                <w:rFonts w:ascii="Times New Roman" w:hAnsi="Times New Roman" w:eastAsia="宋体"/>
                <w:color w:val="auto"/>
                <w:kern w:val="21"/>
                <w:sz w:val="24"/>
                <w:szCs w:val="24"/>
                <w:highlight w:val="none"/>
              </w:rPr>
              <w:t>/d</w:t>
            </w:r>
            <w:r>
              <w:rPr>
                <w:rFonts w:hint="eastAsia" w:ascii="Times New Roman" w:hAnsi="Times New Roman" w:eastAsia="宋体"/>
                <w:color w:val="auto"/>
                <w:kern w:val="21"/>
                <w:sz w:val="24"/>
                <w:szCs w:val="24"/>
                <w:highlight w:val="none"/>
              </w:rPr>
              <w:t>，远期（</w:t>
            </w:r>
            <w:r>
              <w:rPr>
                <w:rFonts w:ascii="Times New Roman" w:hAnsi="Times New Roman" w:eastAsia="宋体"/>
                <w:color w:val="auto"/>
                <w:kern w:val="21"/>
                <w:sz w:val="24"/>
                <w:szCs w:val="24"/>
                <w:highlight w:val="none"/>
              </w:rPr>
              <w:t>2030</w:t>
            </w:r>
            <w:r>
              <w:rPr>
                <w:rFonts w:hint="eastAsia" w:ascii="Times New Roman" w:hAnsi="Times New Roman" w:eastAsia="宋体"/>
                <w:color w:val="auto"/>
                <w:kern w:val="21"/>
                <w:sz w:val="24"/>
                <w:szCs w:val="24"/>
                <w:highlight w:val="none"/>
              </w:rPr>
              <w:t>年）为</w:t>
            </w:r>
            <w:r>
              <w:rPr>
                <w:rFonts w:ascii="Times New Roman" w:hAnsi="Times New Roman" w:eastAsia="宋体"/>
                <w:color w:val="auto"/>
                <w:kern w:val="21"/>
                <w:sz w:val="24"/>
                <w:szCs w:val="24"/>
                <w:highlight w:val="none"/>
              </w:rPr>
              <w:t>4</w:t>
            </w:r>
            <w:r>
              <w:rPr>
                <w:rFonts w:hint="eastAsia" w:ascii="Times New Roman" w:hAnsi="Times New Roman" w:eastAsia="宋体"/>
                <w:color w:val="auto"/>
                <w:kern w:val="21"/>
                <w:sz w:val="24"/>
                <w:szCs w:val="24"/>
                <w:highlight w:val="none"/>
              </w:rPr>
              <w:t>万</w:t>
            </w:r>
            <w:r>
              <w:rPr>
                <w:rFonts w:ascii="Times New Roman" w:hAnsi="Times New Roman" w:eastAsia="宋体"/>
                <w:color w:val="auto"/>
                <w:kern w:val="21"/>
                <w:sz w:val="24"/>
                <w:szCs w:val="24"/>
                <w:highlight w:val="none"/>
              </w:rPr>
              <w:t>m</w:t>
            </w:r>
            <w:r>
              <w:rPr>
                <w:rFonts w:ascii="Times New Roman" w:hAnsi="Times New Roman" w:eastAsia="宋体"/>
                <w:color w:val="auto"/>
                <w:kern w:val="21"/>
                <w:sz w:val="24"/>
                <w:szCs w:val="24"/>
                <w:highlight w:val="none"/>
                <w:vertAlign w:val="superscript"/>
              </w:rPr>
              <w:t>3</w:t>
            </w:r>
            <w:r>
              <w:rPr>
                <w:rFonts w:ascii="Times New Roman" w:hAnsi="Times New Roman" w:eastAsia="宋体"/>
                <w:color w:val="auto"/>
                <w:kern w:val="21"/>
                <w:sz w:val="24"/>
                <w:szCs w:val="24"/>
                <w:highlight w:val="none"/>
              </w:rPr>
              <w:t>/d</w:t>
            </w:r>
            <w:r>
              <w:rPr>
                <w:rFonts w:hint="eastAsia" w:ascii="Times New Roman" w:hAnsi="Times New Roman" w:eastAsia="宋体"/>
                <w:color w:val="auto"/>
                <w:kern w:val="21"/>
                <w:sz w:val="24"/>
                <w:szCs w:val="24"/>
                <w:highlight w:val="none"/>
              </w:rPr>
              <w:t>。一期工程粗格栅进水泵房、细格栅沉砂池、</w:t>
            </w:r>
            <w:r>
              <w:rPr>
                <w:rFonts w:ascii="Times New Roman" w:hAnsi="Times New Roman" w:eastAsia="宋体"/>
                <w:color w:val="auto"/>
                <w:kern w:val="21"/>
                <w:sz w:val="24"/>
                <w:szCs w:val="24"/>
                <w:highlight w:val="none"/>
              </w:rPr>
              <w:t>CASS</w:t>
            </w:r>
            <w:r>
              <w:rPr>
                <w:rFonts w:hint="eastAsia" w:ascii="Times New Roman" w:hAnsi="Times New Roman" w:eastAsia="宋体"/>
                <w:color w:val="auto"/>
                <w:kern w:val="21"/>
                <w:sz w:val="24"/>
                <w:szCs w:val="24"/>
                <w:highlight w:val="none"/>
              </w:rPr>
              <w:t>池、中间泵池、</w:t>
            </w:r>
            <w:r>
              <w:rPr>
                <w:rFonts w:ascii="Times New Roman" w:hAnsi="Times New Roman" w:eastAsia="宋体"/>
                <w:color w:val="auto"/>
                <w:kern w:val="21"/>
                <w:sz w:val="24"/>
                <w:szCs w:val="24"/>
                <w:highlight w:val="none"/>
              </w:rPr>
              <w:t>V</w:t>
            </w:r>
            <w:r>
              <w:rPr>
                <w:rFonts w:hint="eastAsia" w:ascii="Times New Roman" w:hAnsi="Times New Roman" w:eastAsia="宋体"/>
                <w:color w:val="auto"/>
                <w:kern w:val="21"/>
                <w:sz w:val="24"/>
                <w:szCs w:val="24"/>
                <w:highlight w:val="none"/>
              </w:rPr>
              <w:t>型滤池、紫外消毒渠、鼓风机房、总变配电站、浓缩脱水机房、土建按</w:t>
            </w:r>
            <w:r>
              <w:rPr>
                <w:rFonts w:ascii="Times New Roman" w:hAnsi="Times New Roman" w:eastAsia="宋体"/>
                <w:color w:val="auto"/>
                <w:kern w:val="21"/>
                <w:sz w:val="24"/>
                <w:szCs w:val="24"/>
                <w:highlight w:val="none"/>
              </w:rPr>
              <w:t>40000m</w:t>
            </w:r>
            <w:r>
              <w:rPr>
                <w:rFonts w:ascii="Times New Roman" w:hAnsi="Times New Roman" w:eastAsia="宋体"/>
                <w:color w:val="auto"/>
                <w:kern w:val="21"/>
                <w:sz w:val="24"/>
                <w:szCs w:val="24"/>
                <w:highlight w:val="none"/>
                <w:vertAlign w:val="superscript"/>
              </w:rPr>
              <w:t>3</w:t>
            </w:r>
            <w:r>
              <w:rPr>
                <w:rFonts w:ascii="Times New Roman" w:hAnsi="Times New Roman" w:eastAsia="宋体"/>
                <w:color w:val="auto"/>
                <w:kern w:val="21"/>
                <w:sz w:val="24"/>
                <w:szCs w:val="24"/>
                <w:highlight w:val="none"/>
              </w:rPr>
              <w:t>/d</w:t>
            </w:r>
            <w:r>
              <w:rPr>
                <w:rFonts w:hint="eastAsia" w:ascii="Times New Roman" w:hAnsi="Times New Roman" w:eastAsia="宋体"/>
                <w:color w:val="auto"/>
                <w:kern w:val="21"/>
                <w:sz w:val="24"/>
                <w:szCs w:val="24"/>
                <w:highlight w:val="none"/>
              </w:rPr>
              <w:t>规模考虑，设备按</w:t>
            </w:r>
            <w:r>
              <w:rPr>
                <w:rFonts w:ascii="Times New Roman" w:hAnsi="Times New Roman" w:eastAsia="宋体"/>
                <w:color w:val="auto"/>
                <w:kern w:val="21"/>
                <w:sz w:val="24"/>
                <w:szCs w:val="24"/>
                <w:highlight w:val="none"/>
              </w:rPr>
              <w:t>20000m</w:t>
            </w:r>
            <w:r>
              <w:rPr>
                <w:rFonts w:ascii="Times New Roman" w:hAnsi="Times New Roman" w:eastAsia="宋体"/>
                <w:color w:val="auto"/>
                <w:kern w:val="21"/>
                <w:sz w:val="24"/>
                <w:szCs w:val="24"/>
                <w:highlight w:val="none"/>
                <w:vertAlign w:val="superscript"/>
              </w:rPr>
              <w:t>3</w:t>
            </w:r>
            <w:r>
              <w:rPr>
                <w:rFonts w:ascii="Times New Roman" w:hAnsi="Times New Roman" w:eastAsia="宋体"/>
                <w:color w:val="auto"/>
                <w:kern w:val="21"/>
                <w:sz w:val="24"/>
                <w:szCs w:val="24"/>
                <w:highlight w:val="none"/>
              </w:rPr>
              <w:t>/d</w:t>
            </w:r>
            <w:r>
              <w:rPr>
                <w:rFonts w:hint="eastAsia" w:ascii="Times New Roman" w:hAnsi="Times New Roman" w:eastAsia="宋体"/>
                <w:color w:val="auto"/>
                <w:kern w:val="21"/>
                <w:sz w:val="24"/>
                <w:szCs w:val="24"/>
                <w:highlight w:val="none"/>
              </w:rPr>
              <w:t>配置，其余构筑物按一期</w:t>
            </w:r>
            <w:r>
              <w:rPr>
                <w:rFonts w:ascii="Times New Roman" w:hAnsi="Times New Roman" w:eastAsia="宋体"/>
                <w:color w:val="auto"/>
                <w:kern w:val="21"/>
                <w:sz w:val="24"/>
                <w:szCs w:val="24"/>
                <w:highlight w:val="none"/>
              </w:rPr>
              <w:t>20000m</w:t>
            </w:r>
            <w:r>
              <w:rPr>
                <w:rFonts w:ascii="Times New Roman" w:hAnsi="Times New Roman" w:eastAsia="宋体"/>
                <w:color w:val="auto"/>
                <w:kern w:val="21"/>
                <w:sz w:val="24"/>
                <w:szCs w:val="24"/>
                <w:highlight w:val="none"/>
                <w:vertAlign w:val="superscript"/>
              </w:rPr>
              <w:t>3</w:t>
            </w:r>
            <w:r>
              <w:rPr>
                <w:rFonts w:ascii="Times New Roman" w:hAnsi="Times New Roman" w:eastAsia="宋体"/>
                <w:color w:val="auto"/>
                <w:kern w:val="21"/>
                <w:sz w:val="24"/>
                <w:szCs w:val="24"/>
                <w:highlight w:val="none"/>
              </w:rPr>
              <w:t>/d</w:t>
            </w:r>
            <w:r>
              <w:rPr>
                <w:rFonts w:hint="eastAsia" w:ascii="Times New Roman" w:hAnsi="Times New Roman" w:eastAsia="宋体"/>
                <w:color w:val="auto"/>
                <w:kern w:val="21"/>
                <w:sz w:val="24"/>
                <w:szCs w:val="24"/>
                <w:highlight w:val="none"/>
              </w:rPr>
              <w:t>设计</w:t>
            </w:r>
            <w:r>
              <w:rPr>
                <w:rFonts w:hint="eastAsia" w:ascii="Times New Roman" w:hAnsi="Times New Roman" w:eastAsia="宋体"/>
                <w:color w:val="auto"/>
                <w:kern w:val="0"/>
                <w:sz w:val="24"/>
                <w:szCs w:val="24"/>
                <w:highlight w:val="none"/>
              </w:rPr>
              <w:t>。</w:t>
            </w:r>
            <w:r>
              <w:rPr>
                <w:rFonts w:hint="eastAsia" w:ascii="Times New Roman" w:hAnsi="Times New Roman" w:eastAsia="宋体"/>
                <w:color w:val="auto"/>
                <w:sz w:val="24"/>
                <w:szCs w:val="24"/>
                <w:highlight w:val="none"/>
                <w:lang w:val="zh-CN"/>
              </w:rPr>
              <w:t>污水处理厂采取</w:t>
            </w:r>
            <w:r>
              <w:rPr>
                <w:rFonts w:hint="eastAsia" w:ascii="Times New Roman" w:hAnsi="Times New Roman" w:eastAsia="宋体"/>
                <w:color w:val="auto"/>
                <w:sz w:val="24"/>
                <w:szCs w:val="24"/>
                <w:highlight w:val="none"/>
              </w:rPr>
              <w:t>沉淀</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水解酸化</w:t>
            </w:r>
            <w:r>
              <w:rPr>
                <w:rFonts w:ascii="Times New Roman" w:hAnsi="Times New Roman" w:eastAsia="宋体"/>
                <w:color w:val="auto"/>
                <w:sz w:val="24"/>
                <w:szCs w:val="24"/>
                <w:highlight w:val="none"/>
              </w:rPr>
              <w:t>+CASS</w:t>
            </w:r>
            <w:r>
              <w:rPr>
                <w:rFonts w:hint="eastAsia" w:ascii="Times New Roman" w:hAnsi="Times New Roman" w:eastAsia="宋体"/>
                <w:color w:val="auto"/>
                <w:sz w:val="24"/>
                <w:szCs w:val="24"/>
                <w:highlight w:val="none"/>
              </w:rPr>
              <w:t>工艺</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深度处理</w:t>
            </w:r>
            <w:r>
              <w:rPr>
                <w:rFonts w:ascii="Times New Roman" w:hAnsi="Times New Roman" w:eastAsia="宋体"/>
                <w:color w:val="auto"/>
                <w:sz w:val="24"/>
                <w:szCs w:val="24"/>
                <w:highlight w:val="none"/>
              </w:rPr>
              <w:t>+V</w:t>
            </w:r>
            <w:r>
              <w:rPr>
                <w:rFonts w:hint="eastAsia" w:ascii="Times New Roman" w:hAnsi="Times New Roman" w:eastAsia="宋体"/>
                <w:color w:val="auto"/>
                <w:sz w:val="24"/>
                <w:szCs w:val="24"/>
                <w:highlight w:val="none"/>
              </w:rPr>
              <w:t>型过滤工艺，处理后尾水满足排放水质满足国家《城镇污水处理厂污染物排放标准》（</w:t>
            </w:r>
            <w:r>
              <w:rPr>
                <w:rFonts w:ascii="Times New Roman" w:hAnsi="Times New Roman" w:eastAsia="宋体"/>
                <w:color w:val="auto"/>
                <w:sz w:val="24"/>
                <w:szCs w:val="24"/>
                <w:highlight w:val="none"/>
              </w:rPr>
              <w:t>GB18918-2002</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中一级</w:t>
            </w:r>
            <w:r>
              <w:rPr>
                <w:rFonts w:ascii="Times New Roman" w:hAnsi="Times New Roman" w:eastAsia="宋体"/>
                <w:color w:val="auto"/>
                <w:sz w:val="24"/>
                <w:szCs w:val="24"/>
                <w:highlight w:val="none"/>
              </w:rPr>
              <w:t>A</w:t>
            </w:r>
            <w:r>
              <w:rPr>
                <w:rFonts w:hint="eastAsia" w:ascii="Times New Roman" w:hAnsi="Times New Roman" w:eastAsia="宋体"/>
                <w:color w:val="auto"/>
                <w:sz w:val="24"/>
                <w:szCs w:val="24"/>
                <w:highlight w:val="none"/>
              </w:rPr>
              <w:t>标准后，排入运粮河。</w:t>
            </w:r>
            <w:r>
              <w:rPr>
                <w:rFonts w:hint="eastAsia" w:ascii="Times New Roman" w:hAnsi="Times New Roman" w:eastAsia="宋体" w:cs="Times New Roman"/>
                <w:color w:val="auto"/>
                <w:sz w:val="24"/>
                <w:szCs w:val="24"/>
                <w:highlight w:val="none"/>
                <w:lang w:eastAsia="zh-CN"/>
              </w:rPr>
              <w:t>收水服务区域为宿州市循环经济示范园区内企业、园区东侧大学城、沱河以北商住区及朱仙庄镇。</w:t>
            </w:r>
          </w:p>
          <w:p w14:paraId="4FB49941">
            <w:pPr>
              <w:autoSpaceDE w:val="0"/>
              <w:autoSpaceDN w:val="0"/>
              <w:adjustRightIn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本项目外排废水水质能达到</w:t>
            </w:r>
            <w:r>
              <w:rPr>
                <w:rFonts w:hint="eastAsia" w:ascii="Times New Roman" w:hAnsi="Times New Roman" w:cs="Times New Roman"/>
                <w:bCs/>
                <w:color w:val="auto"/>
                <w:sz w:val="24"/>
                <w:szCs w:val="24"/>
                <w:highlight w:val="none"/>
                <w:lang w:val="zh-CN"/>
              </w:rPr>
              <w:t>宿州市循环经济示范园污水处理厂</w:t>
            </w:r>
            <w:r>
              <w:rPr>
                <w:rFonts w:hint="default" w:ascii="Times New Roman" w:hAnsi="Times New Roman" w:cs="Times New Roman"/>
                <w:color w:val="auto"/>
                <w:sz w:val="24"/>
                <w:szCs w:val="24"/>
                <w:highlight w:val="none"/>
              </w:rPr>
              <w:t>的进水水质要求，不会对污水处理厂正常运行造成影响。因此，</w:t>
            </w:r>
            <w:r>
              <w:rPr>
                <w:rFonts w:hint="default" w:ascii="Times New Roman" w:hAnsi="Times New Roman" w:cs="Times New Roman"/>
                <w:bCs/>
                <w:color w:val="auto"/>
                <w:sz w:val="24"/>
                <w:szCs w:val="24"/>
                <w:highlight w:val="none"/>
              </w:rPr>
              <w:t>本项目运营期污水接管可行。</w:t>
            </w:r>
          </w:p>
          <w:p w14:paraId="3770288D">
            <w:pPr>
              <w:widowControl/>
              <w:spacing w:line="360" w:lineRule="auto"/>
              <w:ind w:firstLine="480" w:firstLineChars="200"/>
              <w:rPr>
                <w:color w:val="auto"/>
                <w:sz w:val="24"/>
                <w:highlight w:val="none"/>
              </w:rPr>
            </w:pPr>
            <w:r>
              <w:rPr>
                <w:rFonts w:hint="eastAsia" w:hAnsi="宋体"/>
                <w:bCs/>
                <w:color w:val="auto"/>
                <w:sz w:val="24"/>
                <w:szCs w:val="24"/>
                <w:highlight w:val="none"/>
                <w:lang w:val="zh-CN"/>
              </w:rPr>
              <w:t>宿州市循环经济示范园污水处理厂污水处理工艺流程图</w:t>
            </w:r>
            <w:r>
              <w:rPr>
                <w:rFonts w:hint="default" w:ascii="Times New Roman" w:hAnsi="Times New Roman" w:cs="Times New Roman"/>
                <w:bCs/>
                <w:color w:val="auto"/>
                <w:sz w:val="24"/>
                <w:szCs w:val="24"/>
                <w:highlight w:val="none"/>
                <w:lang w:val="zh-CN"/>
              </w:rPr>
              <w:t>见</w:t>
            </w:r>
            <w:r>
              <w:rPr>
                <w:rFonts w:hint="eastAsia" w:cs="Times New Roman"/>
                <w:bCs/>
                <w:color w:val="auto"/>
                <w:sz w:val="24"/>
                <w:szCs w:val="24"/>
                <w:highlight w:val="none"/>
                <w:lang w:val="zh-CN"/>
              </w:rPr>
              <w:t>下</w:t>
            </w:r>
            <w:r>
              <w:rPr>
                <w:rFonts w:hint="default" w:ascii="Times New Roman" w:hAnsi="Times New Roman" w:cs="Times New Roman"/>
                <w:bCs/>
                <w:color w:val="auto"/>
                <w:sz w:val="24"/>
                <w:szCs w:val="24"/>
                <w:highlight w:val="none"/>
                <w:lang w:val="zh-CN"/>
              </w:rPr>
              <w:t>图</w:t>
            </w:r>
            <w:r>
              <w:rPr>
                <w:rFonts w:hint="default" w:ascii="Times New Roman" w:hAnsi="Times New Roman" w:cs="Times New Roman"/>
                <w:bCs/>
                <w:color w:val="auto"/>
                <w:sz w:val="24"/>
                <w:szCs w:val="24"/>
                <w:highlight w:val="none"/>
              </w:rPr>
              <w:t>。</w:t>
            </w:r>
            <w:r>
              <w:rPr>
                <w:color w:val="auto"/>
                <w:kern w:val="0"/>
                <w:sz w:val="24"/>
                <w:highlight w:val="none"/>
                <w:lang w:bidi="ar"/>
              </w:rPr>
              <w:t xml:space="preserve"> </w:t>
            </w:r>
          </w:p>
          <w:p w14:paraId="05DDF1C9">
            <w:pPr>
              <w:autoSpaceDE w:val="0"/>
              <w:autoSpaceDN w:val="0"/>
              <w:adjustRightInd w:val="0"/>
              <w:spacing w:line="360" w:lineRule="auto"/>
              <w:jc w:val="center"/>
              <w:rPr>
                <w:rFonts w:hint="eastAsia" w:hAnsi="宋体"/>
                <w:bCs/>
                <w:color w:val="auto"/>
                <w:sz w:val="24"/>
                <w:szCs w:val="24"/>
                <w:highlight w:val="none"/>
                <w:lang w:val="zh-CN"/>
              </w:rPr>
            </w:pPr>
            <w:r>
              <w:rPr>
                <w:color w:val="auto"/>
                <w:highlight w:val="none"/>
              </w:rPr>
              <w:drawing>
                <wp:inline distT="0" distB="0" distL="114300" distR="114300">
                  <wp:extent cx="5567045" cy="2896235"/>
                  <wp:effectExtent l="0" t="0" r="14605" b="1841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6"/>
                          <a:stretch>
                            <a:fillRect/>
                          </a:stretch>
                        </pic:blipFill>
                        <pic:spPr>
                          <a:xfrm>
                            <a:off x="0" y="0"/>
                            <a:ext cx="5567045" cy="2896235"/>
                          </a:xfrm>
                          <a:prstGeom prst="rect">
                            <a:avLst/>
                          </a:prstGeom>
                          <a:noFill/>
                          <a:ln>
                            <a:noFill/>
                          </a:ln>
                        </pic:spPr>
                      </pic:pic>
                    </a:graphicData>
                  </a:graphic>
                </wp:inline>
              </w:drawing>
            </w:r>
          </w:p>
          <w:p w14:paraId="19C7B54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Times New Roman" w:hAnsi="Times New Roman" w:cs="Times New Roman"/>
                <w:b/>
                <w:color w:val="auto"/>
                <w:sz w:val="24"/>
                <w:szCs w:val="24"/>
                <w:highlight w:val="none"/>
                <w:lang w:val="zh-CN"/>
              </w:rPr>
            </w:pPr>
            <w:r>
              <w:rPr>
                <w:rFonts w:hint="default" w:ascii="Times New Roman" w:hAnsi="Times New Roman" w:cs="Times New Roman"/>
                <w:b/>
                <w:color w:val="auto"/>
                <w:sz w:val="24"/>
                <w:szCs w:val="24"/>
                <w:highlight w:val="none"/>
                <w:lang w:val="zh-CN"/>
              </w:rPr>
              <w:t>图</w:t>
            </w:r>
            <w:r>
              <w:rPr>
                <w:rFonts w:hint="eastAsia" w:ascii="Times New Roman" w:hAnsi="Times New Roman" w:cs="Times New Roman"/>
                <w:b/>
                <w:color w:val="auto"/>
                <w:sz w:val="24"/>
                <w:szCs w:val="24"/>
                <w:highlight w:val="none"/>
                <w:lang w:val="en-US" w:eastAsia="zh-CN"/>
              </w:rPr>
              <w:t>4-2</w:t>
            </w:r>
            <w:r>
              <w:rPr>
                <w:rFonts w:hint="default" w:ascii="Times New Roman" w:hAnsi="Times New Roman" w:cs="Times New Roman"/>
                <w:b/>
                <w:color w:val="auto"/>
                <w:sz w:val="24"/>
                <w:szCs w:val="24"/>
                <w:highlight w:val="none"/>
              </w:rPr>
              <w:t xml:space="preserve">  </w:t>
            </w:r>
            <w:r>
              <w:rPr>
                <w:rFonts w:hint="eastAsia" w:hAnsi="宋体"/>
                <w:b/>
                <w:bCs w:val="0"/>
                <w:color w:val="auto"/>
                <w:sz w:val="24"/>
                <w:szCs w:val="24"/>
                <w:highlight w:val="none"/>
                <w:lang w:val="zh-CN"/>
              </w:rPr>
              <w:t>宿州市循环经济示范园污水处理厂</w:t>
            </w:r>
            <w:r>
              <w:rPr>
                <w:rFonts w:hint="default" w:ascii="Times New Roman" w:hAnsi="Times New Roman" w:cs="Times New Roman"/>
                <w:b/>
                <w:bCs w:val="0"/>
                <w:color w:val="auto"/>
                <w:sz w:val="24"/>
                <w:szCs w:val="24"/>
                <w:highlight w:val="none"/>
              </w:rPr>
              <w:t>污水处理工艺流程图</w:t>
            </w:r>
          </w:p>
          <w:p w14:paraId="4167B8DD">
            <w:pPr>
              <w:adjustRightInd w:val="0"/>
              <w:snapToGrid w:val="0"/>
              <w:spacing w:line="360" w:lineRule="auto"/>
              <w:rPr>
                <w:bCs/>
                <w:color w:val="auto"/>
                <w:spacing w:val="-10"/>
                <w:sz w:val="24"/>
                <w:highlight w:val="none"/>
              </w:rPr>
            </w:pPr>
            <w:r>
              <w:rPr>
                <w:bCs/>
                <w:color w:val="auto"/>
                <w:spacing w:val="-10"/>
                <w:sz w:val="24"/>
                <w:highlight w:val="none"/>
              </w:rPr>
              <w:t>（2）污水接管可行性分析</w:t>
            </w:r>
          </w:p>
          <w:p w14:paraId="1A40159D">
            <w:pPr>
              <w:autoSpaceDE w:val="0"/>
              <w:autoSpaceDN w:val="0"/>
              <w:adjustRightInd w:val="0"/>
              <w:spacing w:line="360" w:lineRule="auto"/>
              <w:ind w:firstLine="480" w:firstLineChars="200"/>
              <w:rPr>
                <w:rFonts w:hint="default" w:ascii="Times New Roman" w:hAnsi="Times New Roman" w:cs="Times New Roman"/>
                <w:color w:val="auto"/>
                <w:sz w:val="24"/>
                <w:szCs w:val="24"/>
                <w:highlight w:val="none"/>
              </w:rPr>
            </w:pPr>
            <w:r>
              <w:rPr>
                <w:b w:val="0"/>
                <w:bCs/>
                <w:color w:val="auto"/>
                <w:kern w:val="2"/>
                <w:sz w:val="24"/>
                <w:szCs w:val="24"/>
                <w:highlight w:val="none"/>
              </w:rPr>
              <w:t>本项目所在地污水管网已覆盖，总排口废水污染物浓度满足</w:t>
            </w:r>
            <w:r>
              <w:rPr>
                <w:rFonts w:hint="eastAsia"/>
                <w:b w:val="0"/>
                <w:bCs/>
                <w:color w:val="auto"/>
                <w:kern w:val="2"/>
                <w:sz w:val="24"/>
                <w:szCs w:val="24"/>
                <w:highlight w:val="none"/>
                <w:lang w:eastAsia="zh-CN"/>
              </w:rPr>
              <w:t>宿州市循环经济示范园污水处理厂</w:t>
            </w:r>
            <w:r>
              <w:rPr>
                <w:b w:val="0"/>
                <w:bCs/>
                <w:color w:val="auto"/>
                <w:kern w:val="2"/>
                <w:sz w:val="24"/>
                <w:szCs w:val="24"/>
                <w:highlight w:val="none"/>
              </w:rPr>
              <w:t>接管标准要求，接管标准中未做规定的污染物浓度满足《污水综合排放标准》（GB8978-1996）中三级标准。</w:t>
            </w:r>
            <w:r>
              <w:rPr>
                <w:rFonts w:hint="default" w:ascii="Times New Roman" w:hAnsi="Times New Roman" w:cs="Times New Roman"/>
                <w:color w:val="auto"/>
                <w:sz w:val="24"/>
                <w:szCs w:val="24"/>
                <w:highlight w:val="none"/>
              </w:rPr>
              <w:t>本项目所在地位于</w:t>
            </w:r>
            <w:r>
              <w:rPr>
                <w:rFonts w:hint="eastAsia" w:ascii="Times New Roman" w:hAnsi="Times New Roman" w:cs="Times New Roman"/>
                <w:bCs/>
                <w:color w:val="auto"/>
                <w:sz w:val="24"/>
                <w:szCs w:val="24"/>
                <w:highlight w:val="none"/>
                <w:lang w:val="zh-CN"/>
              </w:rPr>
              <w:t>宿州市循环经济示范园污水处理厂</w:t>
            </w:r>
            <w:r>
              <w:rPr>
                <w:rFonts w:hint="default" w:ascii="Times New Roman" w:hAnsi="Times New Roman" w:cs="Times New Roman"/>
                <w:color w:val="auto"/>
                <w:sz w:val="24"/>
                <w:szCs w:val="24"/>
                <w:highlight w:val="none"/>
              </w:rPr>
              <w:t>的收水范围内，项目废水污染物种类及排放浓度满足其设计进水水质要求，且本项目污水排放量</w:t>
            </w:r>
            <w:r>
              <w:rPr>
                <w:rFonts w:hint="eastAsia" w:ascii="Times New Roman" w:hAnsi="Times New Roman" w:cs="Times New Roman"/>
                <w:color w:val="auto"/>
                <w:sz w:val="24"/>
                <w:szCs w:val="24"/>
                <w:highlight w:val="none"/>
                <w:lang w:val="en-US" w:eastAsia="zh-CN"/>
              </w:rPr>
              <w:t>18.</w:t>
            </w:r>
            <w:r>
              <w:rPr>
                <w:rFonts w:hint="eastAsia" w:cs="Times New Roman"/>
                <w:color w:val="auto"/>
                <w:sz w:val="24"/>
                <w:szCs w:val="24"/>
                <w:highlight w:val="none"/>
                <w:lang w:val="en-US" w:eastAsia="zh-CN"/>
              </w:rPr>
              <w:t>56625</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/d，仅</w:t>
            </w:r>
            <w:r>
              <w:rPr>
                <w:rFonts w:hint="default" w:ascii="Times New Roman" w:hAnsi="Times New Roman" w:cs="Times New Roman"/>
                <w:color w:val="auto"/>
                <w:sz w:val="24"/>
                <w:szCs w:val="24"/>
                <w:highlight w:val="none"/>
                <w:lang w:eastAsia="zh-CN"/>
              </w:rPr>
              <w:t>约</w:t>
            </w:r>
            <w:r>
              <w:rPr>
                <w:rFonts w:hint="default" w:ascii="Times New Roman" w:hAnsi="Times New Roman" w:cs="Times New Roman"/>
                <w:color w:val="auto"/>
                <w:sz w:val="24"/>
                <w:szCs w:val="24"/>
                <w:highlight w:val="none"/>
              </w:rPr>
              <w:t>占该污水处理厂日处理能力的</w:t>
            </w:r>
            <w:r>
              <w:rPr>
                <w:rFonts w:hint="eastAsia" w:ascii="Times New Roman" w:hAnsi="Times New Roman" w:cs="Times New Roman"/>
                <w:color w:val="auto"/>
                <w:sz w:val="24"/>
                <w:szCs w:val="24"/>
                <w:highlight w:val="none"/>
                <w:lang w:val="en-US" w:eastAsia="zh-CN"/>
              </w:rPr>
              <w:t>0.09</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%，不会对该污水处理厂日常运行负荷造成冲击。</w:t>
            </w:r>
          </w:p>
          <w:p w14:paraId="291E2F47">
            <w:pPr>
              <w:spacing w:line="360" w:lineRule="auto"/>
              <w:ind w:firstLine="480" w:firstLineChars="200"/>
              <w:rPr>
                <w:color w:val="auto"/>
                <w:kern w:val="0"/>
                <w:sz w:val="24"/>
                <w:highlight w:val="none"/>
                <w:lang w:bidi="ar"/>
              </w:rPr>
            </w:pPr>
            <w:r>
              <w:rPr>
                <w:bCs/>
                <w:color w:val="auto"/>
                <w:sz w:val="24"/>
                <w:highlight w:val="none"/>
              </w:rPr>
              <w:t>因此，本项目废水可由市政污水管网进入</w:t>
            </w:r>
            <w:r>
              <w:rPr>
                <w:rFonts w:hint="eastAsia" w:ascii="Times New Roman" w:hAnsi="Times New Roman" w:cs="Times New Roman"/>
                <w:bCs/>
                <w:color w:val="auto"/>
                <w:sz w:val="24"/>
                <w:szCs w:val="24"/>
                <w:highlight w:val="none"/>
                <w:lang w:val="zh-CN"/>
              </w:rPr>
              <w:t>宿州市循环经济示范园污水处理厂</w:t>
            </w:r>
            <w:r>
              <w:rPr>
                <w:bCs/>
                <w:color w:val="auto"/>
                <w:sz w:val="24"/>
                <w:highlight w:val="none"/>
              </w:rPr>
              <w:t>处理，出水水质可达到《城镇污水处理厂污染物排放标准》（GB18918-2002）中一级A标准，达标后排入</w:t>
            </w:r>
            <w:r>
              <w:rPr>
                <w:rFonts w:hint="eastAsia"/>
                <w:bCs/>
                <w:color w:val="auto"/>
                <w:sz w:val="24"/>
                <w:highlight w:val="none"/>
                <w:lang w:eastAsia="zh-CN"/>
              </w:rPr>
              <w:t>运粮河</w:t>
            </w:r>
            <w:r>
              <w:rPr>
                <w:bCs/>
                <w:color w:val="auto"/>
                <w:sz w:val="24"/>
                <w:highlight w:val="none"/>
              </w:rPr>
              <w:t>。</w:t>
            </w:r>
          </w:p>
          <w:p w14:paraId="54FAF239">
            <w:pPr>
              <w:pStyle w:val="367"/>
              <w:spacing w:line="240" w:lineRule="auto"/>
              <w:rPr>
                <w:color w:val="auto"/>
                <w:kern w:val="2"/>
                <w:sz w:val="24"/>
                <w:szCs w:val="24"/>
                <w:highlight w:val="none"/>
              </w:rPr>
            </w:pPr>
            <w:r>
              <w:rPr>
                <w:color w:val="auto"/>
                <w:kern w:val="2"/>
                <w:sz w:val="24"/>
                <w:szCs w:val="24"/>
                <w:highlight w:val="none"/>
              </w:rPr>
              <w:t>表4-</w:t>
            </w:r>
            <w:r>
              <w:rPr>
                <w:rFonts w:hint="eastAsia"/>
                <w:color w:val="auto"/>
                <w:kern w:val="2"/>
                <w:sz w:val="24"/>
                <w:szCs w:val="24"/>
                <w:highlight w:val="none"/>
                <w:lang w:val="en-US" w:eastAsia="zh-CN"/>
              </w:rPr>
              <w:t xml:space="preserve">7 </w:t>
            </w:r>
            <w:r>
              <w:rPr>
                <w:color w:val="auto"/>
                <w:kern w:val="2"/>
                <w:sz w:val="24"/>
                <w:szCs w:val="24"/>
                <w:highlight w:val="none"/>
              </w:rPr>
              <w:t>废水类别、污染物及污染防治设施信息表</w:t>
            </w:r>
            <w:bookmarkStart w:id="7" w:name="BIAO5"/>
            <w:bookmarkEnd w:id="7"/>
          </w:p>
          <w:tbl>
            <w:tblPr>
              <w:tblStyle w:val="39"/>
              <w:tblW w:w="498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1218"/>
              <w:gridCol w:w="938"/>
              <w:gridCol w:w="736"/>
              <w:gridCol w:w="858"/>
              <w:gridCol w:w="587"/>
              <w:gridCol w:w="436"/>
              <w:gridCol w:w="654"/>
              <w:gridCol w:w="749"/>
              <w:gridCol w:w="935"/>
              <w:gridCol w:w="452"/>
              <w:gridCol w:w="664"/>
              <w:gridCol w:w="452"/>
            </w:tblGrid>
            <w:tr w14:paraId="4D949B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49" w:type="dxa"/>
                  <w:vMerge w:val="restart"/>
                  <w:vAlign w:val="center"/>
                </w:tcPr>
                <w:p w14:paraId="21613C05">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序号</w:t>
                  </w:r>
                </w:p>
              </w:tc>
              <w:tc>
                <w:tcPr>
                  <w:tcW w:w="1220" w:type="dxa"/>
                  <w:vMerge w:val="restart"/>
                  <w:vAlign w:val="center"/>
                </w:tcPr>
                <w:p w14:paraId="2479D815">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废水</w:t>
                  </w:r>
                </w:p>
                <w:p w14:paraId="3D90B212">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类别</w:t>
                  </w:r>
                </w:p>
              </w:tc>
              <w:tc>
                <w:tcPr>
                  <w:tcW w:w="927" w:type="dxa"/>
                  <w:vMerge w:val="restart"/>
                  <w:vAlign w:val="center"/>
                </w:tcPr>
                <w:p w14:paraId="1251CC42">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污染物</w:t>
                  </w:r>
                </w:p>
                <w:p w14:paraId="0F076055">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种类</w:t>
                  </w:r>
                </w:p>
                <w:p w14:paraId="77C74E51">
                  <w:pPr>
                    <w:pStyle w:val="372"/>
                    <w:jc w:val="center"/>
                    <w:rPr>
                      <w:rFonts w:ascii="Times New Roman" w:hAnsi="Times New Roman"/>
                      <w:color w:val="auto"/>
                      <w:sz w:val="21"/>
                      <w:szCs w:val="21"/>
                      <w:highlight w:val="none"/>
                    </w:rPr>
                  </w:pPr>
                </w:p>
              </w:tc>
              <w:tc>
                <w:tcPr>
                  <w:tcW w:w="2005" w:type="dxa"/>
                  <w:gridSpan w:val="3"/>
                  <w:vAlign w:val="center"/>
                </w:tcPr>
                <w:p w14:paraId="3335D12C">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污染防治设施</w:t>
                  </w:r>
                </w:p>
              </w:tc>
              <w:tc>
                <w:tcPr>
                  <w:tcW w:w="436" w:type="dxa"/>
                  <w:vMerge w:val="restart"/>
                  <w:vAlign w:val="center"/>
                </w:tcPr>
                <w:p w14:paraId="238CDB5D">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排放</w:t>
                  </w:r>
                </w:p>
                <w:p w14:paraId="0758F8C2">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去向</w:t>
                  </w:r>
                </w:p>
              </w:tc>
              <w:tc>
                <w:tcPr>
                  <w:tcW w:w="655" w:type="dxa"/>
                  <w:vMerge w:val="restart"/>
                  <w:vAlign w:val="center"/>
                </w:tcPr>
                <w:p w14:paraId="53B90A8C">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排放方式</w:t>
                  </w:r>
                </w:p>
              </w:tc>
              <w:tc>
                <w:tcPr>
                  <w:tcW w:w="749" w:type="dxa"/>
                  <w:vMerge w:val="restart"/>
                  <w:vAlign w:val="center"/>
                </w:tcPr>
                <w:p w14:paraId="22DD7A3A">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排放规律</w:t>
                  </w:r>
                </w:p>
              </w:tc>
              <w:tc>
                <w:tcPr>
                  <w:tcW w:w="935" w:type="dxa"/>
                  <w:vMerge w:val="restart"/>
                  <w:vAlign w:val="center"/>
                </w:tcPr>
                <w:p w14:paraId="7AA3BF28">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排放口编号</w:t>
                  </w:r>
                </w:p>
              </w:tc>
              <w:tc>
                <w:tcPr>
                  <w:tcW w:w="452" w:type="dxa"/>
                  <w:vMerge w:val="restart"/>
                  <w:vAlign w:val="center"/>
                </w:tcPr>
                <w:p w14:paraId="2E701C7C">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排放口</w:t>
                  </w:r>
                </w:p>
                <w:p w14:paraId="531C220E">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名称</w:t>
                  </w:r>
                </w:p>
              </w:tc>
              <w:tc>
                <w:tcPr>
                  <w:tcW w:w="665" w:type="dxa"/>
                  <w:vMerge w:val="restart"/>
                  <w:vAlign w:val="center"/>
                </w:tcPr>
                <w:p w14:paraId="248C22AC">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排放口</w:t>
                  </w:r>
                </w:p>
                <w:p w14:paraId="08244BB6">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设置是否符合要求</w:t>
                  </w:r>
                </w:p>
              </w:tc>
              <w:tc>
                <w:tcPr>
                  <w:tcW w:w="452" w:type="dxa"/>
                  <w:vMerge w:val="restart"/>
                  <w:vAlign w:val="center"/>
                </w:tcPr>
                <w:p w14:paraId="4B4D1EEB">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排放口类型</w:t>
                  </w:r>
                </w:p>
              </w:tc>
            </w:tr>
            <w:tr w14:paraId="765421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9" w:type="dxa"/>
                  <w:vMerge w:val="continue"/>
                  <w:vAlign w:val="center"/>
                </w:tcPr>
                <w:p w14:paraId="50DA22F3">
                  <w:pPr>
                    <w:pStyle w:val="372"/>
                    <w:adjustRightInd w:val="0"/>
                    <w:snapToGrid w:val="0"/>
                    <w:jc w:val="center"/>
                    <w:rPr>
                      <w:rFonts w:ascii="Times New Roman" w:hAnsi="Times New Roman"/>
                      <w:color w:val="auto"/>
                      <w:sz w:val="21"/>
                      <w:szCs w:val="21"/>
                      <w:highlight w:val="none"/>
                    </w:rPr>
                  </w:pPr>
                </w:p>
              </w:tc>
              <w:tc>
                <w:tcPr>
                  <w:tcW w:w="1220" w:type="dxa"/>
                  <w:vMerge w:val="continue"/>
                  <w:vAlign w:val="center"/>
                </w:tcPr>
                <w:p w14:paraId="003549F3">
                  <w:pPr>
                    <w:pStyle w:val="372"/>
                    <w:adjustRightInd w:val="0"/>
                    <w:snapToGrid w:val="0"/>
                    <w:jc w:val="center"/>
                    <w:rPr>
                      <w:rFonts w:ascii="Times New Roman" w:hAnsi="Times New Roman"/>
                      <w:color w:val="auto"/>
                      <w:sz w:val="21"/>
                      <w:szCs w:val="21"/>
                      <w:highlight w:val="none"/>
                    </w:rPr>
                  </w:pPr>
                </w:p>
              </w:tc>
              <w:tc>
                <w:tcPr>
                  <w:tcW w:w="927" w:type="dxa"/>
                  <w:vMerge w:val="continue"/>
                  <w:vAlign w:val="center"/>
                </w:tcPr>
                <w:p w14:paraId="0A17ABB2">
                  <w:pPr>
                    <w:pStyle w:val="372"/>
                    <w:adjustRightInd w:val="0"/>
                    <w:snapToGrid w:val="0"/>
                    <w:jc w:val="center"/>
                    <w:rPr>
                      <w:rFonts w:ascii="Times New Roman" w:hAnsi="Times New Roman"/>
                      <w:color w:val="auto"/>
                      <w:sz w:val="21"/>
                      <w:szCs w:val="21"/>
                      <w:highlight w:val="none"/>
                    </w:rPr>
                  </w:pPr>
                </w:p>
              </w:tc>
              <w:tc>
                <w:tcPr>
                  <w:tcW w:w="737" w:type="dxa"/>
                  <w:vAlign w:val="center"/>
                </w:tcPr>
                <w:p w14:paraId="58B5FA97">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污染防治设施名称</w:t>
                  </w:r>
                </w:p>
              </w:tc>
              <w:tc>
                <w:tcPr>
                  <w:tcW w:w="681" w:type="dxa"/>
                  <w:vAlign w:val="center"/>
                </w:tcPr>
                <w:p w14:paraId="5E1127D6">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污染防治设施编号</w:t>
                  </w:r>
                </w:p>
              </w:tc>
              <w:tc>
                <w:tcPr>
                  <w:tcW w:w="587" w:type="dxa"/>
                  <w:vAlign w:val="center"/>
                </w:tcPr>
                <w:p w14:paraId="078C35C0">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污染防治设施工艺</w:t>
                  </w:r>
                </w:p>
              </w:tc>
              <w:tc>
                <w:tcPr>
                  <w:tcW w:w="436" w:type="dxa"/>
                  <w:vMerge w:val="continue"/>
                  <w:vAlign w:val="center"/>
                </w:tcPr>
                <w:p w14:paraId="6EE3B8E8">
                  <w:pPr>
                    <w:pStyle w:val="372"/>
                    <w:adjustRightInd w:val="0"/>
                    <w:snapToGrid w:val="0"/>
                    <w:jc w:val="center"/>
                    <w:rPr>
                      <w:rFonts w:ascii="Times New Roman" w:hAnsi="Times New Roman"/>
                      <w:color w:val="auto"/>
                      <w:sz w:val="21"/>
                      <w:szCs w:val="21"/>
                      <w:highlight w:val="none"/>
                    </w:rPr>
                  </w:pPr>
                </w:p>
              </w:tc>
              <w:tc>
                <w:tcPr>
                  <w:tcW w:w="655" w:type="dxa"/>
                  <w:vMerge w:val="continue"/>
                  <w:vAlign w:val="center"/>
                </w:tcPr>
                <w:p w14:paraId="28C62B75">
                  <w:pPr>
                    <w:pStyle w:val="372"/>
                    <w:adjustRightInd w:val="0"/>
                    <w:snapToGrid w:val="0"/>
                    <w:jc w:val="center"/>
                    <w:rPr>
                      <w:rFonts w:ascii="Times New Roman" w:hAnsi="Times New Roman"/>
                      <w:color w:val="auto"/>
                      <w:sz w:val="21"/>
                      <w:szCs w:val="21"/>
                      <w:highlight w:val="none"/>
                    </w:rPr>
                  </w:pPr>
                </w:p>
              </w:tc>
              <w:tc>
                <w:tcPr>
                  <w:tcW w:w="749" w:type="dxa"/>
                  <w:vMerge w:val="continue"/>
                  <w:vAlign w:val="center"/>
                </w:tcPr>
                <w:p w14:paraId="561055FB">
                  <w:pPr>
                    <w:pStyle w:val="372"/>
                    <w:adjustRightInd w:val="0"/>
                    <w:snapToGrid w:val="0"/>
                    <w:jc w:val="center"/>
                    <w:rPr>
                      <w:rFonts w:ascii="Times New Roman" w:hAnsi="Times New Roman"/>
                      <w:color w:val="auto"/>
                      <w:sz w:val="21"/>
                      <w:szCs w:val="21"/>
                      <w:highlight w:val="none"/>
                    </w:rPr>
                  </w:pPr>
                </w:p>
              </w:tc>
              <w:tc>
                <w:tcPr>
                  <w:tcW w:w="935" w:type="dxa"/>
                  <w:vMerge w:val="continue"/>
                  <w:vAlign w:val="center"/>
                </w:tcPr>
                <w:p w14:paraId="708E700E">
                  <w:pPr>
                    <w:pStyle w:val="372"/>
                    <w:adjustRightInd w:val="0"/>
                    <w:snapToGrid w:val="0"/>
                    <w:jc w:val="center"/>
                    <w:rPr>
                      <w:rFonts w:ascii="Times New Roman" w:hAnsi="Times New Roman"/>
                      <w:color w:val="auto"/>
                      <w:sz w:val="21"/>
                      <w:szCs w:val="21"/>
                      <w:highlight w:val="none"/>
                    </w:rPr>
                  </w:pPr>
                </w:p>
              </w:tc>
              <w:tc>
                <w:tcPr>
                  <w:tcW w:w="452" w:type="dxa"/>
                  <w:vMerge w:val="continue"/>
                  <w:vAlign w:val="center"/>
                </w:tcPr>
                <w:p w14:paraId="6C5E4616">
                  <w:pPr>
                    <w:pStyle w:val="372"/>
                    <w:adjustRightInd w:val="0"/>
                    <w:snapToGrid w:val="0"/>
                    <w:jc w:val="center"/>
                    <w:rPr>
                      <w:rFonts w:ascii="Times New Roman" w:hAnsi="Times New Roman"/>
                      <w:color w:val="auto"/>
                      <w:sz w:val="21"/>
                      <w:szCs w:val="21"/>
                      <w:highlight w:val="none"/>
                    </w:rPr>
                  </w:pPr>
                </w:p>
              </w:tc>
              <w:tc>
                <w:tcPr>
                  <w:tcW w:w="665" w:type="dxa"/>
                  <w:vMerge w:val="continue"/>
                  <w:vAlign w:val="center"/>
                </w:tcPr>
                <w:p w14:paraId="2C3EB764">
                  <w:pPr>
                    <w:pStyle w:val="372"/>
                    <w:adjustRightInd w:val="0"/>
                    <w:snapToGrid w:val="0"/>
                    <w:jc w:val="center"/>
                    <w:rPr>
                      <w:rFonts w:ascii="Times New Roman" w:hAnsi="Times New Roman"/>
                      <w:color w:val="auto"/>
                      <w:sz w:val="21"/>
                      <w:szCs w:val="21"/>
                      <w:highlight w:val="none"/>
                    </w:rPr>
                  </w:pPr>
                </w:p>
              </w:tc>
              <w:tc>
                <w:tcPr>
                  <w:tcW w:w="452" w:type="dxa"/>
                  <w:vMerge w:val="continue"/>
                  <w:vAlign w:val="center"/>
                </w:tcPr>
                <w:p w14:paraId="70154EAE">
                  <w:pPr>
                    <w:pStyle w:val="372"/>
                    <w:adjustRightInd w:val="0"/>
                    <w:snapToGrid w:val="0"/>
                    <w:jc w:val="center"/>
                    <w:rPr>
                      <w:rFonts w:ascii="Times New Roman" w:hAnsi="Times New Roman"/>
                      <w:color w:val="auto"/>
                      <w:sz w:val="21"/>
                      <w:szCs w:val="21"/>
                      <w:highlight w:val="none"/>
                    </w:rPr>
                  </w:pPr>
                </w:p>
              </w:tc>
            </w:tr>
            <w:tr w14:paraId="22862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tblHeader/>
                <w:jc w:val="center"/>
              </w:trPr>
              <w:tc>
                <w:tcPr>
                  <w:tcW w:w="449" w:type="dxa"/>
                  <w:vAlign w:val="center"/>
                </w:tcPr>
                <w:p w14:paraId="32A01008">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1220" w:type="dxa"/>
                  <w:vAlign w:val="center"/>
                </w:tcPr>
                <w:p w14:paraId="59AD00FA">
                  <w:pPr>
                    <w:pStyle w:val="372"/>
                    <w:jc w:val="center"/>
                    <w:rPr>
                      <w:rFonts w:hint="eastAsia" w:ascii="Times New Roman" w:hAnsi="Times New Roman" w:eastAsia="宋体"/>
                      <w:color w:val="auto"/>
                      <w:sz w:val="21"/>
                      <w:szCs w:val="21"/>
                      <w:highlight w:val="none"/>
                      <w:lang w:val="en-US" w:eastAsia="zh-CN"/>
                    </w:rPr>
                  </w:pPr>
                  <w:r>
                    <w:rPr>
                      <w:rFonts w:ascii="Times New Roman" w:hAnsi="Times New Roman"/>
                      <w:color w:val="auto"/>
                      <w:sz w:val="21"/>
                      <w:szCs w:val="21"/>
                      <w:highlight w:val="none"/>
                    </w:rPr>
                    <w:t>生活污水</w:t>
                  </w:r>
                  <w:r>
                    <w:rPr>
                      <w:rFonts w:hint="eastAsia" w:ascii="Times New Roman" w:hAnsi="Times New Roman"/>
                      <w:color w:val="auto"/>
                      <w:sz w:val="21"/>
                      <w:szCs w:val="21"/>
                      <w:highlight w:val="none"/>
                      <w:lang w:eastAsia="zh-CN"/>
                    </w:rPr>
                    <w:t>、保洁废水</w:t>
                  </w:r>
                </w:p>
              </w:tc>
              <w:tc>
                <w:tcPr>
                  <w:tcW w:w="927" w:type="dxa"/>
                  <w:vAlign w:val="center"/>
                </w:tcPr>
                <w:p w14:paraId="3E2FE33E">
                  <w:pPr>
                    <w:pStyle w:val="372"/>
                    <w:jc w:val="center"/>
                    <w:rPr>
                      <w:rFonts w:ascii="Times New Roman" w:hAnsi="Times New Roman"/>
                      <w:color w:val="auto"/>
                      <w:sz w:val="21"/>
                      <w:szCs w:val="21"/>
                      <w:highlight w:val="none"/>
                    </w:rPr>
                  </w:pPr>
                  <w:r>
                    <w:rPr>
                      <w:rFonts w:ascii="Times New Roman" w:hAnsi="Times New Roman"/>
                      <w:bCs/>
                      <w:color w:val="auto"/>
                      <w:sz w:val="21"/>
                      <w:szCs w:val="21"/>
                      <w:highlight w:val="none"/>
                    </w:rPr>
                    <w:t>pH、COD、BOD</w:t>
                  </w:r>
                  <w:r>
                    <w:rPr>
                      <w:rFonts w:ascii="Times New Roman" w:hAnsi="Times New Roman"/>
                      <w:bCs/>
                      <w:color w:val="auto"/>
                      <w:sz w:val="21"/>
                      <w:szCs w:val="21"/>
                      <w:highlight w:val="none"/>
                      <w:vertAlign w:val="subscript"/>
                    </w:rPr>
                    <w:t>5</w:t>
                  </w:r>
                  <w:r>
                    <w:rPr>
                      <w:rFonts w:ascii="Times New Roman" w:hAnsi="Times New Roman"/>
                      <w:bCs/>
                      <w:color w:val="auto"/>
                      <w:sz w:val="21"/>
                      <w:szCs w:val="21"/>
                      <w:highlight w:val="none"/>
                    </w:rPr>
                    <w:t>、SS</w:t>
                  </w:r>
                  <w:r>
                    <w:rPr>
                      <w:rFonts w:hint="eastAsia" w:ascii="Times New Roman" w:hAnsi="Times New Roman"/>
                      <w:bCs/>
                      <w:color w:val="auto"/>
                      <w:sz w:val="21"/>
                      <w:szCs w:val="21"/>
                      <w:highlight w:val="none"/>
                    </w:rPr>
                    <w:t>、</w:t>
                  </w:r>
                  <w:r>
                    <w:rPr>
                      <w:rFonts w:ascii="Times New Roman" w:hAnsi="Times New Roman"/>
                      <w:bCs/>
                      <w:color w:val="auto"/>
                      <w:sz w:val="21"/>
                      <w:szCs w:val="21"/>
                      <w:highlight w:val="none"/>
                    </w:rPr>
                    <w:t>氨氮</w:t>
                  </w:r>
                </w:p>
              </w:tc>
              <w:tc>
                <w:tcPr>
                  <w:tcW w:w="737" w:type="dxa"/>
                  <w:vAlign w:val="center"/>
                </w:tcPr>
                <w:p w14:paraId="4CF44E14">
                  <w:pPr>
                    <w:pStyle w:val="373"/>
                    <w:jc w:val="center"/>
                    <w:rPr>
                      <w:rFonts w:ascii="Times New Roman" w:hAnsi="Times New Roman"/>
                      <w:color w:val="auto"/>
                      <w:sz w:val="21"/>
                      <w:szCs w:val="21"/>
                      <w:highlight w:val="none"/>
                    </w:rPr>
                  </w:pPr>
                  <w:r>
                    <w:rPr>
                      <w:rFonts w:ascii="Times New Roman" w:hAnsi="Times New Roman"/>
                      <w:color w:val="auto"/>
                      <w:sz w:val="21"/>
                      <w:szCs w:val="21"/>
                      <w:highlight w:val="none"/>
                    </w:rPr>
                    <w:t>生活污水处理设施</w:t>
                  </w:r>
                </w:p>
              </w:tc>
              <w:tc>
                <w:tcPr>
                  <w:tcW w:w="681" w:type="dxa"/>
                  <w:vAlign w:val="center"/>
                </w:tcPr>
                <w:p w14:paraId="52FB0D74">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TW001</w:t>
                  </w:r>
                </w:p>
              </w:tc>
              <w:tc>
                <w:tcPr>
                  <w:tcW w:w="587" w:type="dxa"/>
                  <w:vAlign w:val="center"/>
                </w:tcPr>
                <w:p w14:paraId="6BA1D8ED">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化粪池</w:t>
                  </w:r>
                </w:p>
              </w:tc>
              <w:tc>
                <w:tcPr>
                  <w:tcW w:w="436" w:type="dxa"/>
                  <w:vMerge w:val="restart"/>
                  <w:vAlign w:val="center"/>
                </w:tcPr>
                <w:p w14:paraId="3907D104">
                  <w:pPr>
                    <w:pStyle w:val="373"/>
                    <w:jc w:val="center"/>
                    <w:rPr>
                      <w:rFonts w:ascii="Times New Roman" w:hAnsi="Times New Roman"/>
                      <w:color w:val="auto"/>
                      <w:sz w:val="21"/>
                      <w:szCs w:val="21"/>
                      <w:highlight w:val="none"/>
                    </w:rPr>
                  </w:pPr>
                  <w:r>
                    <w:rPr>
                      <w:rFonts w:ascii="Times New Roman" w:hAnsi="Times New Roman"/>
                      <w:color w:val="auto"/>
                      <w:sz w:val="21"/>
                      <w:szCs w:val="21"/>
                      <w:highlight w:val="none"/>
                    </w:rPr>
                    <w:t>市政污水处理厂</w:t>
                  </w:r>
                </w:p>
              </w:tc>
              <w:tc>
                <w:tcPr>
                  <w:tcW w:w="655" w:type="dxa"/>
                  <w:vMerge w:val="restart"/>
                  <w:vAlign w:val="center"/>
                </w:tcPr>
                <w:p w14:paraId="5830537F">
                  <w:pPr>
                    <w:pStyle w:val="373"/>
                    <w:jc w:val="center"/>
                    <w:rPr>
                      <w:rFonts w:ascii="Times New Roman" w:hAnsi="Times New Roman"/>
                      <w:color w:val="auto"/>
                      <w:spacing w:val="-6"/>
                      <w:sz w:val="21"/>
                      <w:szCs w:val="21"/>
                      <w:highlight w:val="none"/>
                    </w:rPr>
                  </w:pPr>
                  <w:r>
                    <w:rPr>
                      <w:rFonts w:ascii="Times New Roman" w:hAnsi="Times New Roman"/>
                      <w:color w:val="auto"/>
                      <w:sz w:val="21"/>
                      <w:szCs w:val="21"/>
                      <w:highlight w:val="none"/>
                    </w:rPr>
                    <w:t>☑</w:t>
                  </w:r>
                  <w:r>
                    <w:rPr>
                      <w:rFonts w:ascii="Times New Roman" w:hAnsi="Times New Roman"/>
                      <w:color w:val="auto"/>
                      <w:spacing w:val="-6"/>
                      <w:sz w:val="21"/>
                      <w:szCs w:val="21"/>
                      <w:highlight w:val="none"/>
                    </w:rPr>
                    <w:t>间接排放</w:t>
                  </w:r>
                </w:p>
                <w:p w14:paraId="3A16072F">
                  <w:pPr>
                    <w:pStyle w:val="373"/>
                    <w:jc w:val="center"/>
                    <w:rPr>
                      <w:rFonts w:ascii="Times New Roman" w:hAnsi="Times New Roman"/>
                      <w:color w:val="auto"/>
                      <w:spacing w:val="-6"/>
                      <w:sz w:val="21"/>
                      <w:szCs w:val="21"/>
                      <w:highlight w:val="none"/>
                    </w:rPr>
                  </w:pPr>
                  <w:r>
                    <w:rPr>
                      <w:rFonts w:ascii="Times New Roman" w:hAnsi="Times New Roman"/>
                      <w:color w:val="auto"/>
                      <w:spacing w:val="-6"/>
                      <w:sz w:val="21"/>
                      <w:szCs w:val="21"/>
                      <w:highlight w:val="none"/>
                    </w:rPr>
                    <w:t>□直接排放</w:t>
                  </w:r>
                </w:p>
                <w:p w14:paraId="00102058">
                  <w:pPr>
                    <w:pStyle w:val="373"/>
                    <w:jc w:val="center"/>
                    <w:rPr>
                      <w:rFonts w:ascii="Times New Roman" w:hAnsi="Times New Roman"/>
                      <w:color w:val="auto"/>
                      <w:sz w:val="21"/>
                      <w:szCs w:val="21"/>
                      <w:highlight w:val="none"/>
                    </w:rPr>
                  </w:pPr>
                  <w:r>
                    <w:rPr>
                      <w:rFonts w:ascii="Times New Roman" w:hAnsi="Times New Roman"/>
                      <w:color w:val="auto"/>
                      <w:sz w:val="21"/>
                      <w:szCs w:val="21"/>
                      <w:highlight w:val="none"/>
                    </w:rPr>
                    <w:t>□其他</w:t>
                  </w:r>
                </w:p>
              </w:tc>
              <w:tc>
                <w:tcPr>
                  <w:tcW w:w="749" w:type="dxa"/>
                  <w:vMerge w:val="restart"/>
                  <w:vAlign w:val="center"/>
                </w:tcPr>
                <w:p w14:paraId="2A0A3713">
                  <w:pPr>
                    <w:pStyle w:val="49"/>
                    <w:snapToGrid w:val="0"/>
                    <w:ind w:left="0" w:leftChars="0" w:firstLine="0" w:firstLineChars="0"/>
                    <w:jc w:val="both"/>
                    <w:rPr>
                      <w:rFonts w:ascii="Times New Roman" w:eastAsia="宋体" w:cs="Times New Roman"/>
                      <w:color w:val="auto"/>
                      <w:spacing w:val="-6"/>
                      <w:sz w:val="21"/>
                      <w:szCs w:val="21"/>
                      <w:highlight w:val="none"/>
                    </w:rPr>
                  </w:pPr>
                  <w:r>
                    <w:rPr>
                      <w:rFonts w:ascii="Times New Roman" w:eastAsia="宋体" w:cs="Times New Roman"/>
                      <w:color w:val="auto"/>
                      <w:sz w:val="21"/>
                      <w:szCs w:val="21"/>
                      <w:highlight w:val="none"/>
                    </w:rPr>
                    <w:t>流量不稳定且无规律，但不属于冲击型排放</w:t>
                  </w:r>
                </w:p>
              </w:tc>
              <w:tc>
                <w:tcPr>
                  <w:tcW w:w="935" w:type="dxa"/>
                  <w:vMerge w:val="restart"/>
                  <w:vAlign w:val="center"/>
                </w:tcPr>
                <w:p w14:paraId="425207B6">
                  <w:pPr>
                    <w:pStyle w:val="373"/>
                    <w:jc w:val="center"/>
                    <w:rPr>
                      <w:rFonts w:ascii="Times New Roman" w:hAnsi="Times New Roman"/>
                      <w:color w:val="auto"/>
                      <w:spacing w:val="-6"/>
                      <w:sz w:val="21"/>
                      <w:szCs w:val="21"/>
                      <w:highlight w:val="none"/>
                    </w:rPr>
                  </w:pPr>
                  <w:r>
                    <w:rPr>
                      <w:rFonts w:ascii="Times New Roman" w:hAnsi="Times New Roman"/>
                      <w:color w:val="auto"/>
                      <w:sz w:val="21"/>
                      <w:szCs w:val="21"/>
                      <w:highlight w:val="none"/>
                    </w:rPr>
                    <w:t>DW001</w:t>
                  </w:r>
                </w:p>
              </w:tc>
              <w:tc>
                <w:tcPr>
                  <w:tcW w:w="452" w:type="dxa"/>
                  <w:vMerge w:val="restart"/>
                  <w:vAlign w:val="center"/>
                </w:tcPr>
                <w:p w14:paraId="40BE9105">
                  <w:pPr>
                    <w:pStyle w:val="373"/>
                    <w:jc w:val="center"/>
                    <w:rPr>
                      <w:rFonts w:ascii="Times New Roman" w:hAnsi="Times New Roman"/>
                      <w:color w:val="auto"/>
                      <w:sz w:val="21"/>
                      <w:szCs w:val="21"/>
                      <w:highlight w:val="none"/>
                    </w:rPr>
                  </w:pPr>
                  <w:r>
                    <w:rPr>
                      <w:rFonts w:ascii="Times New Roman" w:hAnsi="Times New Roman"/>
                      <w:color w:val="auto"/>
                      <w:sz w:val="21"/>
                      <w:szCs w:val="21"/>
                      <w:highlight w:val="none"/>
                    </w:rPr>
                    <w:t>废水总排口</w:t>
                  </w:r>
                </w:p>
              </w:tc>
              <w:tc>
                <w:tcPr>
                  <w:tcW w:w="665" w:type="dxa"/>
                  <w:vMerge w:val="restart"/>
                  <w:vAlign w:val="center"/>
                </w:tcPr>
                <w:p w14:paraId="3744033C">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符合</w:t>
                  </w:r>
                </w:p>
              </w:tc>
              <w:tc>
                <w:tcPr>
                  <w:tcW w:w="452" w:type="dxa"/>
                  <w:vMerge w:val="restart"/>
                  <w:vAlign w:val="center"/>
                </w:tcPr>
                <w:p w14:paraId="0C3FABFF">
                  <w:pPr>
                    <w:pStyle w:val="373"/>
                    <w:jc w:val="center"/>
                    <w:rPr>
                      <w:rFonts w:ascii="Times New Roman" w:hAnsi="Times New Roman"/>
                      <w:color w:val="auto"/>
                      <w:sz w:val="21"/>
                      <w:szCs w:val="21"/>
                      <w:highlight w:val="none"/>
                    </w:rPr>
                  </w:pPr>
                  <w:r>
                    <w:rPr>
                      <w:rFonts w:ascii="Times New Roman" w:hAnsi="Times New Roman"/>
                      <w:color w:val="auto"/>
                      <w:sz w:val="21"/>
                      <w:szCs w:val="21"/>
                      <w:highlight w:val="none"/>
                    </w:rPr>
                    <w:t>一般排放口</w:t>
                  </w:r>
                </w:p>
              </w:tc>
            </w:tr>
            <w:tr w14:paraId="5B130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6" w:hRule="atLeast"/>
                <w:tblHeader/>
                <w:jc w:val="center"/>
              </w:trPr>
              <w:tc>
                <w:tcPr>
                  <w:tcW w:w="449" w:type="dxa"/>
                  <w:vAlign w:val="center"/>
                </w:tcPr>
                <w:p w14:paraId="1B9D63C1">
                  <w:pPr>
                    <w:pStyle w:val="372"/>
                    <w:jc w:val="center"/>
                    <w:rPr>
                      <w:rFonts w:ascii="Times New Roman" w:hAnsi="Times New Roman"/>
                      <w:color w:val="auto"/>
                      <w:sz w:val="21"/>
                      <w:szCs w:val="21"/>
                      <w:highlight w:val="none"/>
                    </w:rPr>
                  </w:pPr>
                  <w:r>
                    <w:rPr>
                      <w:rFonts w:ascii="Times New Roman" w:hAnsi="Times New Roman"/>
                      <w:color w:val="auto"/>
                      <w:sz w:val="21"/>
                      <w:szCs w:val="21"/>
                      <w:highlight w:val="none"/>
                    </w:rPr>
                    <w:t>3</w:t>
                  </w:r>
                </w:p>
              </w:tc>
              <w:tc>
                <w:tcPr>
                  <w:tcW w:w="1220" w:type="dxa"/>
                  <w:vAlign w:val="center"/>
                </w:tcPr>
                <w:p w14:paraId="2E47F911">
                  <w:pPr>
                    <w:pStyle w:val="374"/>
                    <w:bidi w:val="0"/>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实验室质检、</w:t>
                  </w:r>
                  <w:r>
                    <w:rPr>
                      <w:rFonts w:hint="eastAsia" w:cs="Times New Roman"/>
                      <w:color w:val="auto"/>
                      <w:szCs w:val="21"/>
                      <w:highlight w:val="none"/>
                      <w:lang w:eastAsia="zh-CN"/>
                    </w:rPr>
                    <w:t>瓶</w:t>
                  </w:r>
                  <w:r>
                    <w:rPr>
                      <w:rFonts w:hint="eastAsia" w:cs="Times New Roman"/>
                      <w:color w:val="auto"/>
                      <w:szCs w:val="21"/>
                      <w:highlight w:val="none"/>
                      <w:lang w:val="en-US" w:eastAsia="zh-CN"/>
                    </w:rPr>
                    <w:t>/桶/盖清洗、</w:t>
                  </w:r>
                  <w:r>
                    <w:rPr>
                      <w:rFonts w:hint="eastAsia" w:cs="Times New Roman"/>
                      <w:color w:val="auto"/>
                      <w:szCs w:val="21"/>
                      <w:highlight w:val="none"/>
                      <w:lang w:eastAsia="zh-CN"/>
                    </w:rPr>
                    <w:t>反冲洗废水、纯净水制备浓水</w:t>
                  </w:r>
                </w:p>
              </w:tc>
              <w:tc>
                <w:tcPr>
                  <w:tcW w:w="927" w:type="dxa"/>
                  <w:vAlign w:val="center"/>
                </w:tcPr>
                <w:p w14:paraId="57141EE7">
                  <w:pPr>
                    <w:pStyle w:val="372"/>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pH、COD、BOD</w:t>
                  </w:r>
                  <w:r>
                    <w:rPr>
                      <w:rFonts w:ascii="Times New Roman" w:hAnsi="Times New Roman"/>
                      <w:bCs/>
                      <w:color w:val="auto"/>
                      <w:sz w:val="21"/>
                      <w:szCs w:val="21"/>
                      <w:highlight w:val="none"/>
                      <w:vertAlign w:val="subscript"/>
                    </w:rPr>
                    <w:t>5</w:t>
                  </w:r>
                  <w:r>
                    <w:rPr>
                      <w:rFonts w:ascii="Times New Roman" w:hAnsi="Times New Roman"/>
                      <w:bCs/>
                      <w:color w:val="auto"/>
                      <w:sz w:val="21"/>
                      <w:szCs w:val="21"/>
                      <w:highlight w:val="none"/>
                    </w:rPr>
                    <w:t>、SS、氨氮</w:t>
                  </w:r>
                </w:p>
              </w:tc>
              <w:tc>
                <w:tcPr>
                  <w:tcW w:w="737" w:type="dxa"/>
                  <w:vAlign w:val="center"/>
                </w:tcPr>
                <w:p w14:paraId="0589413A">
                  <w:pPr>
                    <w:pStyle w:val="373"/>
                    <w:jc w:val="center"/>
                    <w:rPr>
                      <w:rFonts w:hint="eastAsia"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val="en-US" w:eastAsia="zh-CN"/>
                    </w:rPr>
                    <w:t>/</w:t>
                  </w:r>
                </w:p>
              </w:tc>
              <w:tc>
                <w:tcPr>
                  <w:tcW w:w="681" w:type="dxa"/>
                  <w:vAlign w:val="center"/>
                </w:tcPr>
                <w:p w14:paraId="53C4E722">
                  <w:pPr>
                    <w:pStyle w:val="372"/>
                    <w:jc w:val="center"/>
                    <w:rPr>
                      <w:rFonts w:hint="default"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val="en-US" w:eastAsia="zh-CN"/>
                    </w:rPr>
                    <w:t>/</w:t>
                  </w:r>
                </w:p>
              </w:tc>
              <w:tc>
                <w:tcPr>
                  <w:tcW w:w="587" w:type="dxa"/>
                  <w:vAlign w:val="center"/>
                </w:tcPr>
                <w:p w14:paraId="46D341D6">
                  <w:pPr>
                    <w:pStyle w:val="372"/>
                    <w:jc w:val="center"/>
                    <w:rPr>
                      <w:rFonts w:hint="default"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val="en-US" w:eastAsia="zh-CN"/>
                    </w:rPr>
                    <w:t>/</w:t>
                  </w:r>
                </w:p>
              </w:tc>
              <w:tc>
                <w:tcPr>
                  <w:tcW w:w="436" w:type="dxa"/>
                  <w:vMerge w:val="continue"/>
                  <w:vAlign w:val="center"/>
                </w:tcPr>
                <w:p w14:paraId="7B7EC75B">
                  <w:pPr>
                    <w:pStyle w:val="373"/>
                    <w:jc w:val="center"/>
                    <w:rPr>
                      <w:rFonts w:ascii="Times New Roman" w:hAnsi="Times New Roman"/>
                      <w:color w:val="auto"/>
                      <w:sz w:val="21"/>
                      <w:szCs w:val="21"/>
                      <w:highlight w:val="none"/>
                    </w:rPr>
                  </w:pPr>
                </w:p>
              </w:tc>
              <w:tc>
                <w:tcPr>
                  <w:tcW w:w="655" w:type="dxa"/>
                  <w:vMerge w:val="continue"/>
                  <w:vAlign w:val="center"/>
                </w:tcPr>
                <w:p w14:paraId="1426FBEB">
                  <w:pPr>
                    <w:pStyle w:val="373"/>
                    <w:jc w:val="center"/>
                    <w:rPr>
                      <w:rFonts w:ascii="Times New Roman" w:hAnsi="Times New Roman"/>
                      <w:color w:val="auto"/>
                      <w:sz w:val="21"/>
                      <w:szCs w:val="21"/>
                      <w:highlight w:val="none"/>
                    </w:rPr>
                  </w:pPr>
                </w:p>
              </w:tc>
              <w:tc>
                <w:tcPr>
                  <w:tcW w:w="749" w:type="dxa"/>
                  <w:vMerge w:val="continue"/>
                  <w:vAlign w:val="center"/>
                </w:tcPr>
                <w:p w14:paraId="68C3CCBA">
                  <w:pPr>
                    <w:pStyle w:val="49"/>
                    <w:snapToGrid w:val="0"/>
                    <w:jc w:val="center"/>
                    <w:rPr>
                      <w:rFonts w:ascii="Times New Roman" w:eastAsia="宋体" w:cs="Times New Roman"/>
                      <w:color w:val="auto"/>
                      <w:spacing w:val="-6"/>
                      <w:sz w:val="21"/>
                      <w:szCs w:val="21"/>
                      <w:highlight w:val="none"/>
                    </w:rPr>
                  </w:pPr>
                </w:p>
              </w:tc>
              <w:tc>
                <w:tcPr>
                  <w:tcW w:w="935" w:type="dxa"/>
                  <w:vMerge w:val="continue"/>
                  <w:vAlign w:val="center"/>
                </w:tcPr>
                <w:p w14:paraId="2862257D">
                  <w:pPr>
                    <w:pStyle w:val="373"/>
                    <w:jc w:val="center"/>
                    <w:rPr>
                      <w:rFonts w:ascii="Times New Roman" w:hAnsi="Times New Roman"/>
                      <w:color w:val="auto"/>
                      <w:sz w:val="21"/>
                      <w:szCs w:val="21"/>
                      <w:highlight w:val="none"/>
                    </w:rPr>
                  </w:pPr>
                </w:p>
              </w:tc>
              <w:tc>
                <w:tcPr>
                  <w:tcW w:w="452" w:type="dxa"/>
                  <w:vMerge w:val="continue"/>
                  <w:vAlign w:val="center"/>
                </w:tcPr>
                <w:p w14:paraId="09C0E3D7">
                  <w:pPr>
                    <w:pStyle w:val="373"/>
                    <w:jc w:val="center"/>
                    <w:rPr>
                      <w:rFonts w:ascii="Times New Roman" w:hAnsi="Times New Roman"/>
                      <w:color w:val="auto"/>
                      <w:sz w:val="21"/>
                      <w:szCs w:val="21"/>
                      <w:highlight w:val="none"/>
                    </w:rPr>
                  </w:pPr>
                </w:p>
              </w:tc>
              <w:tc>
                <w:tcPr>
                  <w:tcW w:w="665" w:type="dxa"/>
                  <w:vMerge w:val="continue"/>
                  <w:vAlign w:val="center"/>
                </w:tcPr>
                <w:p w14:paraId="5AB836D8">
                  <w:pPr>
                    <w:pStyle w:val="372"/>
                    <w:jc w:val="center"/>
                    <w:rPr>
                      <w:rFonts w:ascii="Times New Roman" w:hAnsi="Times New Roman"/>
                      <w:color w:val="auto"/>
                      <w:sz w:val="21"/>
                      <w:szCs w:val="21"/>
                      <w:highlight w:val="none"/>
                    </w:rPr>
                  </w:pPr>
                </w:p>
              </w:tc>
              <w:tc>
                <w:tcPr>
                  <w:tcW w:w="452" w:type="dxa"/>
                  <w:vMerge w:val="continue"/>
                  <w:vAlign w:val="center"/>
                </w:tcPr>
                <w:p w14:paraId="11BBEEA4">
                  <w:pPr>
                    <w:pStyle w:val="373"/>
                    <w:jc w:val="center"/>
                    <w:rPr>
                      <w:rFonts w:ascii="Times New Roman" w:hAnsi="Times New Roman"/>
                      <w:color w:val="auto"/>
                      <w:sz w:val="21"/>
                      <w:szCs w:val="21"/>
                      <w:highlight w:val="none"/>
                    </w:rPr>
                  </w:pPr>
                </w:p>
              </w:tc>
            </w:tr>
          </w:tbl>
          <w:p w14:paraId="7C9B5FDE">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color w:val="auto"/>
                <w:kern w:val="2"/>
                <w:szCs w:val="21"/>
                <w:highlight w:val="none"/>
              </w:rPr>
            </w:pPr>
            <w:r>
              <w:rPr>
                <w:b/>
                <w:bCs/>
                <w:color w:val="auto"/>
                <w:sz w:val="24"/>
                <w:szCs w:val="32"/>
                <w:highlight w:val="none"/>
              </w:rPr>
              <w:t>表4-</w:t>
            </w:r>
            <w:r>
              <w:rPr>
                <w:rFonts w:hint="eastAsia"/>
                <w:b/>
                <w:bCs/>
                <w:color w:val="auto"/>
                <w:sz w:val="24"/>
                <w:szCs w:val="32"/>
                <w:highlight w:val="none"/>
                <w:lang w:val="en-US" w:eastAsia="zh-CN"/>
              </w:rPr>
              <w:t>8</w:t>
            </w:r>
            <w:r>
              <w:rPr>
                <w:b/>
                <w:bCs/>
                <w:color w:val="auto"/>
                <w:sz w:val="24"/>
                <w:szCs w:val="32"/>
                <w:highlight w:val="none"/>
              </w:rPr>
              <w:t xml:space="preserve"> 废水间接排放口基本情况表</w:t>
            </w:r>
          </w:p>
          <w:tbl>
            <w:tblPr>
              <w:tblStyle w:val="39"/>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945"/>
              <w:gridCol w:w="754"/>
              <w:gridCol w:w="965"/>
              <w:gridCol w:w="975"/>
              <w:gridCol w:w="1140"/>
              <w:gridCol w:w="735"/>
              <w:gridCol w:w="1021"/>
              <w:gridCol w:w="871"/>
              <w:gridCol w:w="1277"/>
            </w:tblGrid>
            <w:tr w14:paraId="6A0F6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62" w:type="dxa"/>
                  <w:vMerge w:val="restart"/>
                  <w:vAlign w:val="center"/>
                </w:tcPr>
                <w:p w14:paraId="2F7763C5">
                  <w:pPr>
                    <w:jc w:val="center"/>
                    <w:rPr>
                      <w:color w:val="auto"/>
                      <w:szCs w:val="21"/>
                      <w:highlight w:val="none"/>
                    </w:rPr>
                  </w:pPr>
                  <w:r>
                    <w:rPr>
                      <w:color w:val="auto"/>
                      <w:szCs w:val="21"/>
                      <w:highlight w:val="none"/>
                    </w:rPr>
                    <w:t>序号</w:t>
                  </w:r>
                </w:p>
              </w:tc>
              <w:tc>
                <w:tcPr>
                  <w:tcW w:w="945" w:type="dxa"/>
                  <w:vMerge w:val="restart"/>
                  <w:vAlign w:val="center"/>
                </w:tcPr>
                <w:p w14:paraId="3471CA07">
                  <w:pPr>
                    <w:jc w:val="center"/>
                    <w:rPr>
                      <w:color w:val="auto"/>
                      <w:szCs w:val="21"/>
                      <w:highlight w:val="none"/>
                    </w:rPr>
                  </w:pPr>
                  <w:r>
                    <w:rPr>
                      <w:color w:val="auto"/>
                      <w:szCs w:val="21"/>
                      <w:highlight w:val="none"/>
                    </w:rPr>
                    <w:t>排放口编号</w:t>
                  </w:r>
                </w:p>
              </w:tc>
              <w:tc>
                <w:tcPr>
                  <w:tcW w:w="754" w:type="dxa"/>
                  <w:vMerge w:val="restart"/>
                  <w:vAlign w:val="center"/>
                </w:tcPr>
                <w:p w14:paraId="4C6C6012">
                  <w:pPr>
                    <w:jc w:val="center"/>
                    <w:rPr>
                      <w:color w:val="auto"/>
                      <w:szCs w:val="21"/>
                      <w:highlight w:val="none"/>
                    </w:rPr>
                  </w:pPr>
                  <w:r>
                    <w:rPr>
                      <w:color w:val="auto"/>
                      <w:szCs w:val="21"/>
                      <w:highlight w:val="none"/>
                    </w:rPr>
                    <w:t>排放口名称</w:t>
                  </w:r>
                </w:p>
              </w:tc>
              <w:tc>
                <w:tcPr>
                  <w:tcW w:w="1940" w:type="dxa"/>
                  <w:gridSpan w:val="2"/>
                  <w:vAlign w:val="center"/>
                </w:tcPr>
                <w:p w14:paraId="4114E183">
                  <w:pPr>
                    <w:jc w:val="center"/>
                    <w:rPr>
                      <w:color w:val="auto"/>
                      <w:szCs w:val="21"/>
                      <w:highlight w:val="none"/>
                    </w:rPr>
                  </w:pPr>
                  <w:r>
                    <w:rPr>
                      <w:color w:val="auto"/>
                      <w:szCs w:val="21"/>
                      <w:highlight w:val="none"/>
                    </w:rPr>
                    <w:t>排放口地理坐标</w:t>
                  </w:r>
                </w:p>
              </w:tc>
              <w:tc>
                <w:tcPr>
                  <w:tcW w:w="1140" w:type="dxa"/>
                  <w:vMerge w:val="restart"/>
                  <w:vAlign w:val="center"/>
                </w:tcPr>
                <w:p w14:paraId="26D66465">
                  <w:pPr>
                    <w:jc w:val="center"/>
                    <w:rPr>
                      <w:color w:val="auto"/>
                      <w:szCs w:val="21"/>
                      <w:highlight w:val="none"/>
                    </w:rPr>
                  </w:pPr>
                  <w:r>
                    <w:rPr>
                      <w:color w:val="auto"/>
                      <w:szCs w:val="21"/>
                      <w:highlight w:val="none"/>
                    </w:rPr>
                    <w:t>排放去向</w:t>
                  </w:r>
                </w:p>
              </w:tc>
              <w:tc>
                <w:tcPr>
                  <w:tcW w:w="735" w:type="dxa"/>
                  <w:vMerge w:val="restart"/>
                  <w:vAlign w:val="center"/>
                </w:tcPr>
                <w:p w14:paraId="4C193D68">
                  <w:pPr>
                    <w:jc w:val="center"/>
                    <w:rPr>
                      <w:color w:val="auto"/>
                      <w:szCs w:val="21"/>
                      <w:highlight w:val="none"/>
                    </w:rPr>
                  </w:pPr>
                  <w:r>
                    <w:rPr>
                      <w:color w:val="auto"/>
                      <w:szCs w:val="21"/>
                      <w:highlight w:val="none"/>
                    </w:rPr>
                    <w:t>排放规律</w:t>
                  </w:r>
                </w:p>
              </w:tc>
              <w:tc>
                <w:tcPr>
                  <w:tcW w:w="3169" w:type="dxa"/>
                  <w:gridSpan w:val="3"/>
                  <w:vAlign w:val="center"/>
                </w:tcPr>
                <w:p w14:paraId="45F1070E">
                  <w:pPr>
                    <w:jc w:val="center"/>
                    <w:rPr>
                      <w:color w:val="auto"/>
                      <w:szCs w:val="21"/>
                      <w:highlight w:val="none"/>
                    </w:rPr>
                  </w:pPr>
                  <w:r>
                    <w:rPr>
                      <w:color w:val="auto"/>
                      <w:szCs w:val="21"/>
                      <w:highlight w:val="none"/>
                    </w:rPr>
                    <w:t>受纳污水处理厂信息</w:t>
                  </w:r>
                </w:p>
              </w:tc>
            </w:tr>
            <w:tr w14:paraId="47DAD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tblHeader/>
                <w:jc w:val="center"/>
              </w:trPr>
              <w:tc>
                <w:tcPr>
                  <w:tcW w:w="462" w:type="dxa"/>
                  <w:vMerge w:val="continue"/>
                  <w:vAlign w:val="center"/>
                </w:tcPr>
                <w:p w14:paraId="346E915D">
                  <w:pPr>
                    <w:jc w:val="center"/>
                    <w:rPr>
                      <w:color w:val="auto"/>
                      <w:szCs w:val="21"/>
                      <w:highlight w:val="none"/>
                    </w:rPr>
                  </w:pPr>
                </w:p>
              </w:tc>
              <w:tc>
                <w:tcPr>
                  <w:tcW w:w="945" w:type="dxa"/>
                  <w:vMerge w:val="continue"/>
                  <w:vAlign w:val="center"/>
                </w:tcPr>
                <w:p w14:paraId="10849A14">
                  <w:pPr>
                    <w:jc w:val="center"/>
                    <w:rPr>
                      <w:color w:val="auto"/>
                      <w:szCs w:val="21"/>
                      <w:highlight w:val="none"/>
                    </w:rPr>
                  </w:pPr>
                </w:p>
              </w:tc>
              <w:tc>
                <w:tcPr>
                  <w:tcW w:w="754" w:type="dxa"/>
                  <w:vMerge w:val="continue"/>
                  <w:vAlign w:val="center"/>
                </w:tcPr>
                <w:p w14:paraId="204C4E33">
                  <w:pPr>
                    <w:jc w:val="center"/>
                    <w:rPr>
                      <w:color w:val="auto"/>
                      <w:szCs w:val="21"/>
                      <w:highlight w:val="none"/>
                    </w:rPr>
                  </w:pPr>
                </w:p>
              </w:tc>
              <w:tc>
                <w:tcPr>
                  <w:tcW w:w="965" w:type="dxa"/>
                  <w:vAlign w:val="center"/>
                </w:tcPr>
                <w:p w14:paraId="118D92B4">
                  <w:pPr>
                    <w:jc w:val="center"/>
                    <w:rPr>
                      <w:color w:val="auto"/>
                      <w:szCs w:val="21"/>
                      <w:highlight w:val="none"/>
                    </w:rPr>
                  </w:pPr>
                  <w:r>
                    <w:rPr>
                      <w:color w:val="auto"/>
                      <w:szCs w:val="21"/>
                      <w:highlight w:val="none"/>
                    </w:rPr>
                    <w:t>经度</w:t>
                  </w:r>
                </w:p>
              </w:tc>
              <w:tc>
                <w:tcPr>
                  <w:tcW w:w="975" w:type="dxa"/>
                  <w:vAlign w:val="center"/>
                </w:tcPr>
                <w:p w14:paraId="3C7679AA">
                  <w:pPr>
                    <w:jc w:val="center"/>
                    <w:rPr>
                      <w:color w:val="auto"/>
                      <w:szCs w:val="21"/>
                      <w:highlight w:val="none"/>
                    </w:rPr>
                  </w:pPr>
                  <w:r>
                    <w:rPr>
                      <w:color w:val="auto"/>
                      <w:szCs w:val="21"/>
                      <w:highlight w:val="none"/>
                    </w:rPr>
                    <w:t>纬度</w:t>
                  </w:r>
                </w:p>
              </w:tc>
              <w:tc>
                <w:tcPr>
                  <w:tcW w:w="1140" w:type="dxa"/>
                  <w:vMerge w:val="continue"/>
                  <w:vAlign w:val="center"/>
                </w:tcPr>
                <w:p w14:paraId="774226DE">
                  <w:pPr>
                    <w:jc w:val="center"/>
                    <w:rPr>
                      <w:b/>
                      <w:color w:val="auto"/>
                      <w:kern w:val="44"/>
                      <w:szCs w:val="21"/>
                      <w:highlight w:val="none"/>
                    </w:rPr>
                  </w:pPr>
                </w:p>
              </w:tc>
              <w:tc>
                <w:tcPr>
                  <w:tcW w:w="735" w:type="dxa"/>
                  <w:vMerge w:val="continue"/>
                  <w:vAlign w:val="center"/>
                </w:tcPr>
                <w:p w14:paraId="011DA0AF">
                  <w:pPr>
                    <w:jc w:val="center"/>
                    <w:rPr>
                      <w:b/>
                      <w:color w:val="auto"/>
                      <w:kern w:val="44"/>
                      <w:szCs w:val="21"/>
                      <w:highlight w:val="none"/>
                    </w:rPr>
                  </w:pPr>
                </w:p>
              </w:tc>
              <w:tc>
                <w:tcPr>
                  <w:tcW w:w="1021" w:type="dxa"/>
                  <w:vAlign w:val="center"/>
                </w:tcPr>
                <w:p w14:paraId="2F1B7E66">
                  <w:pPr>
                    <w:jc w:val="center"/>
                    <w:rPr>
                      <w:color w:val="auto"/>
                      <w:szCs w:val="21"/>
                      <w:highlight w:val="none"/>
                    </w:rPr>
                  </w:pPr>
                  <w:r>
                    <w:rPr>
                      <w:color w:val="auto"/>
                      <w:szCs w:val="21"/>
                      <w:highlight w:val="none"/>
                    </w:rPr>
                    <w:t>名称</w:t>
                  </w:r>
                </w:p>
              </w:tc>
              <w:tc>
                <w:tcPr>
                  <w:tcW w:w="871" w:type="dxa"/>
                  <w:vAlign w:val="center"/>
                </w:tcPr>
                <w:p w14:paraId="162B5F3F">
                  <w:pPr>
                    <w:jc w:val="center"/>
                    <w:rPr>
                      <w:color w:val="auto"/>
                      <w:spacing w:val="-12"/>
                      <w:szCs w:val="21"/>
                      <w:highlight w:val="none"/>
                    </w:rPr>
                  </w:pPr>
                  <w:r>
                    <w:rPr>
                      <w:color w:val="auto"/>
                      <w:spacing w:val="-12"/>
                      <w:szCs w:val="21"/>
                      <w:highlight w:val="none"/>
                    </w:rPr>
                    <w:t>污染物种类</w:t>
                  </w:r>
                </w:p>
              </w:tc>
              <w:tc>
                <w:tcPr>
                  <w:tcW w:w="1277" w:type="dxa"/>
                  <w:vAlign w:val="center"/>
                </w:tcPr>
                <w:p w14:paraId="46D9A177">
                  <w:pPr>
                    <w:jc w:val="center"/>
                    <w:rPr>
                      <w:color w:val="auto"/>
                      <w:szCs w:val="21"/>
                      <w:highlight w:val="none"/>
                    </w:rPr>
                  </w:pPr>
                  <w:r>
                    <w:rPr>
                      <w:color w:val="auto"/>
                      <w:szCs w:val="21"/>
                      <w:highlight w:val="none"/>
                    </w:rPr>
                    <w:t>国家或者地方污染物排放标准浓度限值(mg/L)</w:t>
                  </w:r>
                </w:p>
              </w:tc>
            </w:tr>
            <w:tr w14:paraId="6FE2C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462" w:type="dxa"/>
                  <w:vMerge w:val="restart"/>
                  <w:vAlign w:val="center"/>
                </w:tcPr>
                <w:p w14:paraId="04C23FD1">
                  <w:pPr>
                    <w:jc w:val="center"/>
                    <w:rPr>
                      <w:color w:val="auto"/>
                      <w:szCs w:val="21"/>
                      <w:highlight w:val="none"/>
                    </w:rPr>
                  </w:pPr>
                  <w:r>
                    <w:rPr>
                      <w:color w:val="auto"/>
                      <w:szCs w:val="21"/>
                      <w:highlight w:val="none"/>
                    </w:rPr>
                    <w:t>1</w:t>
                  </w:r>
                </w:p>
              </w:tc>
              <w:tc>
                <w:tcPr>
                  <w:tcW w:w="945" w:type="dxa"/>
                  <w:vMerge w:val="restart"/>
                  <w:vAlign w:val="center"/>
                </w:tcPr>
                <w:p w14:paraId="2B01FF43">
                  <w:pPr>
                    <w:pStyle w:val="373"/>
                    <w:jc w:val="center"/>
                    <w:rPr>
                      <w:rFonts w:ascii="Times New Roman" w:hAnsi="Times New Roman"/>
                      <w:color w:val="auto"/>
                      <w:spacing w:val="-6"/>
                      <w:sz w:val="21"/>
                      <w:szCs w:val="21"/>
                      <w:highlight w:val="none"/>
                    </w:rPr>
                  </w:pPr>
                  <w:r>
                    <w:rPr>
                      <w:rFonts w:ascii="Times New Roman" w:hAnsi="Times New Roman" w:eastAsia="黑体"/>
                      <w:color w:val="auto"/>
                      <w:sz w:val="21"/>
                      <w:szCs w:val="21"/>
                      <w:highlight w:val="none"/>
                    </w:rPr>
                    <w:t>DW001</w:t>
                  </w:r>
                </w:p>
              </w:tc>
              <w:tc>
                <w:tcPr>
                  <w:tcW w:w="754" w:type="dxa"/>
                  <w:vMerge w:val="restart"/>
                  <w:vAlign w:val="center"/>
                </w:tcPr>
                <w:p w14:paraId="399199C3">
                  <w:pPr>
                    <w:pStyle w:val="373"/>
                    <w:jc w:val="center"/>
                    <w:rPr>
                      <w:rFonts w:ascii="Times New Roman" w:hAnsi="Times New Roman"/>
                      <w:color w:val="auto"/>
                      <w:sz w:val="21"/>
                      <w:szCs w:val="21"/>
                      <w:highlight w:val="none"/>
                    </w:rPr>
                  </w:pPr>
                  <w:r>
                    <w:rPr>
                      <w:rFonts w:ascii="Times New Roman" w:hAnsi="Times New Roman"/>
                      <w:color w:val="auto"/>
                      <w:sz w:val="21"/>
                      <w:szCs w:val="21"/>
                      <w:highlight w:val="none"/>
                    </w:rPr>
                    <w:t>污水总排口</w:t>
                  </w:r>
                </w:p>
              </w:tc>
              <w:tc>
                <w:tcPr>
                  <w:tcW w:w="965" w:type="dxa"/>
                  <w:vMerge w:val="restart"/>
                  <w:vAlign w:val="center"/>
                </w:tcPr>
                <w:p w14:paraId="374907D6">
                  <w:pPr>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975" w:type="dxa"/>
                  <w:vMerge w:val="restart"/>
                  <w:vAlign w:val="center"/>
                </w:tcPr>
                <w:p w14:paraId="29E16EAC">
                  <w:pPr>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1140" w:type="dxa"/>
                  <w:vMerge w:val="restart"/>
                  <w:vAlign w:val="center"/>
                </w:tcPr>
                <w:p w14:paraId="07E78C81">
                  <w:pPr>
                    <w:jc w:val="center"/>
                    <w:rPr>
                      <w:color w:val="auto"/>
                      <w:szCs w:val="21"/>
                      <w:highlight w:val="none"/>
                    </w:rPr>
                  </w:pPr>
                  <w:r>
                    <w:rPr>
                      <w:color w:val="auto"/>
                      <w:szCs w:val="21"/>
                      <w:highlight w:val="none"/>
                    </w:rPr>
                    <w:t>市政管网</w:t>
                  </w:r>
                </w:p>
              </w:tc>
              <w:tc>
                <w:tcPr>
                  <w:tcW w:w="735" w:type="dxa"/>
                  <w:vMerge w:val="restart"/>
                  <w:vAlign w:val="center"/>
                </w:tcPr>
                <w:p w14:paraId="36DC4F59">
                  <w:pPr>
                    <w:jc w:val="center"/>
                    <w:rPr>
                      <w:color w:val="auto"/>
                      <w:szCs w:val="21"/>
                      <w:highlight w:val="none"/>
                    </w:rPr>
                  </w:pPr>
                  <w:r>
                    <w:rPr>
                      <w:color w:val="auto"/>
                      <w:szCs w:val="21"/>
                      <w:highlight w:val="none"/>
                    </w:rPr>
                    <w:t>连续</w:t>
                  </w:r>
                </w:p>
              </w:tc>
              <w:tc>
                <w:tcPr>
                  <w:tcW w:w="1021" w:type="dxa"/>
                  <w:vMerge w:val="restart"/>
                  <w:vAlign w:val="center"/>
                </w:tcPr>
                <w:p w14:paraId="14B7EB34">
                  <w:pPr>
                    <w:jc w:val="center"/>
                    <w:rPr>
                      <w:rFonts w:hint="eastAsia" w:eastAsia="宋体"/>
                      <w:color w:val="auto"/>
                      <w:szCs w:val="21"/>
                      <w:highlight w:val="none"/>
                      <w:lang w:eastAsia="zh-CN"/>
                    </w:rPr>
                  </w:pPr>
                  <w:r>
                    <w:rPr>
                      <w:rFonts w:hint="eastAsia" w:ascii="Times New Roman" w:hAnsi="Times New Roman" w:cs="Times New Roman"/>
                      <w:bCs/>
                      <w:color w:val="auto"/>
                      <w:sz w:val="21"/>
                      <w:szCs w:val="21"/>
                      <w:highlight w:val="none"/>
                      <w:lang w:val="zh-CN"/>
                    </w:rPr>
                    <w:t>宿州市循环经济示范园污水处理厂</w:t>
                  </w:r>
                </w:p>
              </w:tc>
              <w:tc>
                <w:tcPr>
                  <w:tcW w:w="871" w:type="dxa"/>
                  <w:vAlign w:val="center"/>
                </w:tcPr>
                <w:p w14:paraId="695DDCF5">
                  <w:pPr>
                    <w:jc w:val="center"/>
                    <w:rPr>
                      <w:color w:val="auto"/>
                      <w:szCs w:val="21"/>
                      <w:highlight w:val="none"/>
                    </w:rPr>
                  </w:pPr>
                  <w:r>
                    <w:rPr>
                      <w:bCs/>
                      <w:color w:val="auto"/>
                      <w:kern w:val="0"/>
                      <w:szCs w:val="21"/>
                      <w:highlight w:val="none"/>
                    </w:rPr>
                    <w:t>pH</w:t>
                  </w:r>
                </w:p>
              </w:tc>
              <w:tc>
                <w:tcPr>
                  <w:tcW w:w="1277" w:type="dxa"/>
                  <w:vAlign w:val="center"/>
                </w:tcPr>
                <w:p w14:paraId="4B7C7189">
                  <w:pPr>
                    <w:jc w:val="center"/>
                    <w:rPr>
                      <w:color w:val="auto"/>
                      <w:szCs w:val="21"/>
                      <w:highlight w:val="none"/>
                    </w:rPr>
                  </w:pPr>
                  <w:r>
                    <w:rPr>
                      <w:color w:val="auto"/>
                      <w:szCs w:val="21"/>
                      <w:highlight w:val="none"/>
                    </w:rPr>
                    <w:t>6-9</w:t>
                  </w:r>
                </w:p>
              </w:tc>
            </w:tr>
            <w:tr w14:paraId="7486E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462" w:type="dxa"/>
                  <w:vMerge w:val="continue"/>
                  <w:vAlign w:val="center"/>
                </w:tcPr>
                <w:p w14:paraId="18FB2A10">
                  <w:pPr>
                    <w:jc w:val="center"/>
                    <w:rPr>
                      <w:color w:val="auto"/>
                      <w:szCs w:val="21"/>
                      <w:highlight w:val="none"/>
                    </w:rPr>
                  </w:pPr>
                </w:p>
              </w:tc>
              <w:tc>
                <w:tcPr>
                  <w:tcW w:w="945" w:type="dxa"/>
                  <w:vMerge w:val="continue"/>
                  <w:vAlign w:val="center"/>
                </w:tcPr>
                <w:p w14:paraId="4260DE30">
                  <w:pPr>
                    <w:pStyle w:val="373"/>
                    <w:jc w:val="center"/>
                    <w:rPr>
                      <w:rFonts w:ascii="Times New Roman" w:hAnsi="Times New Roman"/>
                      <w:color w:val="auto"/>
                      <w:spacing w:val="-6"/>
                      <w:sz w:val="21"/>
                      <w:szCs w:val="21"/>
                      <w:highlight w:val="none"/>
                    </w:rPr>
                  </w:pPr>
                </w:p>
              </w:tc>
              <w:tc>
                <w:tcPr>
                  <w:tcW w:w="754" w:type="dxa"/>
                  <w:vMerge w:val="continue"/>
                  <w:vAlign w:val="center"/>
                </w:tcPr>
                <w:p w14:paraId="66489AE6">
                  <w:pPr>
                    <w:pStyle w:val="373"/>
                    <w:jc w:val="center"/>
                    <w:rPr>
                      <w:rFonts w:ascii="Times New Roman" w:hAnsi="Times New Roman"/>
                      <w:color w:val="auto"/>
                      <w:sz w:val="21"/>
                      <w:szCs w:val="21"/>
                      <w:highlight w:val="none"/>
                    </w:rPr>
                  </w:pPr>
                </w:p>
              </w:tc>
              <w:tc>
                <w:tcPr>
                  <w:tcW w:w="965" w:type="dxa"/>
                  <w:vMerge w:val="continue"/>
                  <w:vAlign w:val="center"/>
                </w:tcPr>
                <w:p w14:paraId="1B4F36C8">
                  <w:pPr>
                    <w:jc w:val="center"/>
                    <w:rPr>
                      <w:color w:val="auto"/>
                      <w:szCs w:val="21"/>
                      <w:highlight w:val="none"/>
                    </w:rPr>
                  </w:pPr>
                </w:p>
              </w:tc>
              <w:tc>
                <w:tcPr>
                  <w:tcW w:w="975" w:type="dxa"/>
                  <w:vMerge w:val="continue"/>
                  <w:vAlign w:val="center"/>
                </w:tcPr>
                <w:p w14:paraId="2818CB98">
                  <w:pPr>
                    <w:jc w:val="center"/>
                    <w:rPr>
                      <w:color w:val="auto"/>
                      <w:szCs w:val="21"/>
                      <w:highlight w:val="none"/>
                    </w:rPr>
                  </w:pPr>
                </w:p>
              </w:tc>
              <w:tc>
                <w:tcPr>
                  <w:tcW w:w="1140" w:type="dxa"/>
                  <w:vMerge w:val="continue"/>
                  <w:vAlign w:val="center"/>
                </w:tcPr>
                <w:p w14:paraId="7346B645">
                  <w:pPr>
                    <w:jc w:val="center"/>
                    <w:rPr>
                      <w:color w:val="auto"/>
                      <w:szCs w:val="21"/>
                      <w:highlight w:val="none"/>
                    </w:rPr>
                  </w:pPr>
                </w:p>
              </w:tc>
              <w:tc>
                <w:tcPr>
                  <w:tcW w:w="735" w:type="dxa"/>
                  <w:vMerge w:val="continue"/>
                  <w:vAlign w:val="center"/>
                </w:tcPr>
                <w:p w14:paraId="1643DDEE">
                  <w:pPr>
                    <w:jc w:val="center"/>
                    <w:rPr>
                      <w:color w:val="auto"/>
                      <w:szCs w:val="21"/>
                      <w:highlight w:val="none"/>
                    </w:rPr>
                  </w:pPr>
                </w:p>
              </w:tc>
              <w:tc>
                <w:tcPr>
                  <w:tcW w:w="1021" w:type="dxa"/>
                  <w:vMerge w:val="continue"/>
                  <w:vAlign w:val="center"/>
                </w:tcPr>
                <w:p w14:paraId="1C9FEFAD">
                  <w:pPr>
                    <w:jc w:val="center"/>
                    <w:rPr>
                      <w:color w:val="auto"/>
                      <w:szCs w:val="21"/>
                      <w:highlight w:val="none"/>
                    </w:rPr>
                  </w:pPr>
                </w:p>
              </w:tc>
              <w:tc>
                <w:tcPr>
                  <w:tcW w:w="871" w:type="dxa"/>
                  <w:vAlign w:val="center"/>
                </w:tcPr>
                <w:p w14:paraId="50B3832F">
                  <w:pPr>
                    <w:jc w:val="center"/>
                    <w:rPr>
                      <w:color w:val="auto"/>
                      <w:szCs w:val="21"/>
                      <w:highlight w:val="none"/>
                    </w:rPr>
                  </w:pPr>
                  <w:r>
                    <w:rPr>
                      <w:color w:val="auto"/>
                      <w:szCs w:val="21"/>
                      <w:highlight w:val="none"/>
                    </w:rPr>
                    <w:t>COD</w:t>
                  </w:r>
                </w:p>
              </w:tc>
              <w:tc>
                <w:tcPr>
                  <w:tcW w:w="1277" w:type="dxa"/>
                  <w:vAlign w:val="center"/>
                </w:tcPr>
                <w:p w14:paraId="5A576B96">
                  <w:pPr>
                    <w:jc w:val="center"/>
                    <w:rPr>
                      <w:color w:val="auto"/>
                      <w:szCs w:val="21"/>
                      <w:highlight w:val="none"/>
                    </w:rPr>
                  </w:pPr>
                  <w:r>
                    <w:rPr>
                      <w:rFonts w:hint="eastAsia"/>
                      <w:color w:val="auto"/>
                      <w:szCs w:val="21"/>
                      <w:highlight w:val="none"/>
                      <w:lang w:val="en-US" w:eastAsia="zh-CN"/>
                    </w:rPr>
                    <w:t>5</w:t>
                  </w:r>
                  <w:r>
                    <w:rPr>
                      <w:color w:val="auto"/>
                      <w:szCs w:val="21"/>
                      <w:highlight w:val="none"/>
                    </w:rPr>
                    <w:t>0</w:t>
                  </w:r>
                </w:p>
              </w:tc>
            </w:tr>
            <w:tr w14:paraId="138DE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462" w:type="dxa"/>
                  <w:vMerge w:val="continue"/>
                  <w:vAlign w:val="center"/>
                </w:tcPr>
                <w:p w14:paraId="3D38AF83">
                  <w:pPr>
                    <w:jc w:val="center"/>
                    <w:rPr>
                      <w:color w:val="auto"/>
                      <w:szCs w:val="21"/>
                      <w:highlight w:val="none"/>
                    </w:rPr>
                  </w:pPr>
                </w:p>
              </w:tc>
              <w:tc>
                <w:tcPr>
                  <w:tcW w:w="945" w:type="dxa"/>
                  <w:vMerge w:val="continue"/>
                  <w:vAlign w:val="center"/>
                </w:tcPr>
                <w:p w14:paraId="0635FB7C">
                  <w:pPr>
                    <w:pStyle w:val="373"/>
                    <w:jc w:val="center"/>
                    <w:rPr>
                      <w:rFonts w:ascii="Times New Roman" w:hAnsi="Times New Roman" w:eastAsia="黑体"/>
                      <w:color w:val="auto"/>
                      <w:sz w:val="21"/>
                      <w:szCs w:val="21"/>
                      <w:highlight w:val="none"/>
                    </w:rPr>
                  </w:pPr>
                </w:p>
              </w:tc>
              <w:tc>
                <w:tcPr>
                  <w:tcW w:w="754" w:type="dxa"/>
                  <w:vMerge w:val="continue"/>
                  <w:vAlign w:val="center"/>
                </w:tcPr>
                <w:p w14:paraId="0BCB914D">
                  <w:pPr>
                    <w:pStyle w:val="373"/>
                    <w:jc w:val="center"/>
                    <w:rPr>
                      <w:rFonts w:ascii="Times New Roman" w:hAnsi="Times New Roman"/>
                      <w:color w:val="auto"/>
                      <w:sz w:val="21"/>
                      <w:szCs w:val="21"/>
                      <w:highlight w:val="none"/>
                    </w:rPr>
                  </w:pPr>
                </w:p>
              </w:tc>
              <w:tc>
                <w:tcPr>
                  <w:tcW w:w="965" w:type="dxa"/>
                  <w:vMerge w:val="continue"/>
                  <w:vAlign w:val="center"/>
                </w:tcPr>
                <w:p w14:paraId="173A939B">
                  <w:pPr>
                    <w:jc w:val="center"/>
                    <w:rPr>
                      <w:color w:val="auto"/>
                      <w:szCs w:val="21"/>
                      <w:highlight w:val="none"/>
                    </w:rPr>
                  </w:pPr>
                </w:p>
              </w:tc>
              <w:tc>
                <w:tcPr>
                  <w:tcW w:w="975" w:type="dxa"/>
                  <w:vMerge w:val="continue"/>
                  <w:vAlign w:val="center"/>
                </w:tcPr>
                <w:p w14:paraId="287BC273">
                  <w:pPr>
                    <w:jc w:val="center"/>
                    <w:rPr>
                      <w:color w:val="auto"/>
                      <w:szCs w:val="21"/>
                      <w:highlight w:val="none"/>
                    </w:rPr>
                  </w:pPr>
                </w:p>
              </w:tc>
              <w:tc>
                <w:tcPr>
                  <w:tcW w:w="1140" w:type="dxa"/>
                  <w:vMerge w:val="continue"/>
                  <w:vAlign w:val="center"/>
                </w:tcPr>
                <w:p w14:paraId="6DB246F8">
                  <w:pPr>
                    <w:jc w:val="center"/>
                    <w:rPr>
                      <w:color w:val="auto"/>
                      <w:szCs w:val="21"/>
                      <w:highlight w:val="none"/>
                    </w:rPr>
                  </w:pPr>
                </w:p>
              </w:tc>
              <w:tc>
                <w:tcPr>
                  <w:tcW w:w="735" w:type="dxa"/>
                  <w:vMerge w:val="continue"/>
                  <w:vAlign w:val="center"/>
                </w:tcPr>
                <w:p w14:paraId="1275B59D">
                  <w:pPr>
                    <w:jc w:val="center"/>
                    <w:rPr>
                      <w:color w:val="auto"/>
                      <w:szCs w:val="21"/>
                      <w:highlight w:val="none"/>
                    </w:rPr>
                  </w:pPr>
                </w:p>
              </w:tc>
              <w:tc>
                <w:tcPr>
                  <w:tcW w:w="1021" w:type="dxa"/>
                  <w:vMerge w:val="continue"/>
                  <w:vAlign w:val="center"/>
                </w:tcPr>
                <w:p w14:paraId="2C5C42A6">
                  <w:pPr>
                    <w:jc w:val="center"/>
                    <w:rPr>
                      <w:color w:val="auto"/>
                      <w:szCs w:val="21"/>
                      <w:highlight w:val="none"/>
                    </w:rPr>
                  </w:pPr>
                </w:p>
              </w:tc>
              <w:tc>
                <w:tcPr>
                  <w:tcW w:w="871" w:type="dxa"/>
                  <w:vAlign w:val="center"/>
                </w:tcPr>
                <w:p w14:paraId="33506D4E">
                  <w:pPr>
                    <w:jc w:val="center"/>
                    <w:rPr>
                      <w:color w:val="auto"/>
                      <w:szCs w:val="21"/>
                      <w:highlight w:val="none"/>
                    </w:rPr>
                  </w:pPr>
                  <w:r>
                    <w:rPr>
                      <w:bCs/>
                      <w:color w:val="auto"/>
                      <w:kern w:val="0"/>
                      <w:szCs w:val="21"/>
                      <w:highlight w:val="none"/>
                    </w:rPr>
                    <w:t>BOD</w:t>
                  </w:r>
                  <w:r>
                    <w:rPr>
                      <w:bCs/>
                      <w:color w:val="auto"/>
                      <w:kern w:val="0"/>
                      <w:szCs w:val="21"/>
                      <w:highlight w:val="none"/>
                      <w:vertAlign w:val="subscript"/>
                    </w:rPr>
                    <w:t>5</w:t>
                  </w:r>
                </w:p>
              </w:tc>
              <w:tc>
                <w:tcPr>
                  <w:tcW w:w="1277" w:type="dxa"/>
                  <w:vAlign w:val="center"/>
                </w:tcPr>
                <w:p w14:paraId="623B51B8">
                  <w:pPr>
                    <w:jc w:val="center"/>
                    <w:rPr>
                      <w:color w:val="auto"/>
                      <w:szCs w:val="21"/>
                      <w:highlight w:val="none"/>
                    </w:rPr>
                  </w:pPr>
                  <w:r>
                    <w:rPr>
                      <w:color w:val="auto"/>
                      <w:szCs w:val="21"/>
                      <w:highlight w:val="none"/>
                    </w:rPr>
                    <w:t>10</w:t>
                  </w:r>
                </w:p>
              </w:tc>
            </w:tr>
            <w:tr w14:paraId="3E795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 w:hRule="atLeast"/>
                <w:tblHeader/>
                <w:jc w:val="center"/>
              </w:trPr>
              <w:tc>
                <w:tcPr>
                  <w:tcW w:w="462" w:type="dxa"/>
                  <w:vMerge w:val="continue"/>
                  <w:vAlign w:val="center"/>
                </w:tcPr>
                <w:p w14:paraId="50B9D9A9">
                  <w:pPr>
                    <w:jc w:val="center"/>
                    <w:rPr>
                      <w:color w:val="auto"/>
                      <w:szCs w:val="21"/>
                      <w:highlight w:val="none"/>
                    </w:rPr>
                  </w:pPr>
                </w:p>
              </w:tc>
              <w:tc>
                <w:tcPr>
                  <w:tcW w:w="945" w:type="dxa"/>
                  <w:vMerge w:val="continue"/>
                  <w:vAlign w:val="center"/>
                </w:tcPr>
                <w:p w14:paraId="1BCDAD4A">
                  <w:pPr>
                    <w:pStyle w:val="373"/>
                    <w:jc w:val="center"/>
                    <w:rPr>
                      <w:rFonts w:ascii="Times New Roman" w:hAnsi="Times New Roman" w:eastAsia="黑体"/>
                      <w:color w:val="auto"/>
                      <w:sz w:val="21"/>
                      <w:szCs w:val="21"/>
                      <w:highlight w:val="none"/>
                    </w:rPr>
                  </w:pPr>
                </w:p>
              </w:tc>
              <w:tc>
                <w:tcPr>
                  <w:tcW w:w="754" w:type="dxa"/>
                  <w:vMerge w:val="continue"/>
                  <w:vAlign w:val="center"/>
                </w:tcPr>
                <w:p w14:paraId="3BB8460D">
                  <w:pPr>
                    <w:pStyle w:val="373"/>
                    <w:jc w:val="center"/>
                    <w:rPr>
                      <w:rFonts w:ascii="Times New Roman" w:hAnsi="Times New Roman"/>
                      <w:color w:val="auto"/>
                      <w:sz w:val="21"/>
                      <w:szCs w:val="21"/>
                      <w:highlight w:val="none"/>
                    </w:rPr>
                  </w:pPr>
                </w:p>
              </w:tc>
              <w:tc>
                <w:tcPr>
                  <w:tcW w:w="965" w:type="dxa"/>
                  <w:vMerge w:val="continue"/>
                  <w:vAlign w:val="center"/>
                </w:tcPr>
                <w:p w14:paraId="3BD6B37E">
                  <w:pPr>
                    <w:jc w:val="center"/>
                    <w:rPr>
                      <w:color w:val="auto"/>
                      <w:szCs w:val="21"/>
                      <w:highlight w:val="none"/>
                    </w:rPr>
                  </w:pPr>
                </w:p>
              </w:tc>
              <w:tc>
                <w:tcPr>
                  <w:tcW w:w="975" w:type="dxa"/>
                  <w:vMerge w:val="continue"/>
                  <w:vAlign w:val="center"/>
                </w:tcPr>
                <w:p w14:paraId="6ABCE3A6">
                  <w:pPr>
                    <w:jc w:val="center"/>
                    <w:rPr>
                      <w:color w:val="auto"/>
                      <w:szCs w:val="21"/>
                      <w:highlight w:val="none"/>
                    </w:rPr>
                  </w:pPr>
                </w:p>
              </w:tc>
              <w:tc>
                <w:tcPr>
                  <w:tcW w:w="1140" w:type="dxa"/>
                  <w:vMerge w:val="continue"/>
                  <w:vAlign w:val="center"/>
                </w:tcPr>
                <w:p w14:paraId="4A6D652E">
                  <w:pPr>
                    <w:jc w:val="center"/>
                    <w:rPr>
                      <w:color w:val="auto"/>
                      <w:szCs w:val="21"/>
                      <w:highlight w:val="none"/>
                    </w:rPr>
                  </w:pPr>
                </w:p>
              </w:tc>
              <w:tc>
                <w:tcPr>
                  <w:tcW w:w="735" w:type="dxa"/>
                  <w:vMerge w:val="continue"/>
                  <w:vAlign w:val="center"/>
                </w:tcPr>
                <w:p w14:paraId="61978EF5">
                  <w:pPr>
                    <w:jc w:val="center"/>
                    <w:rPr>
                      <w:color w:val="auto"/>
                      <w:szCs w:val="21"/>
                      <w:highlight w:val="none"/>
                    </w:rPr>
                  </w:pPr>
                </w:p>
              </w:tc>
              <w:tc>
                <w:tcPr>
                  <w:tcW w:w="1021" w:type="dxa"/>
                  <w:vMerge w:val="continue"/>
                  <w:vAlign w:val="center"/>
                </w:tcPr>
                <w:p w14:paraId="7FBA1574">
                  <w:pPr>
                    <w:jc w:val="center"/>
                    <w:rPr>
                      <w:color w:val="auto"/>
                      <w:szCs w:val="21"/>
                      <w:highlight w:val="none"/>
                    </w:rPr>
                  </w:pPr>
                </w:p>
              </w:tc>
              <w:tc>
                <w:tcPr>
                  <w:tcW w:w="871" w:type="dxa"/>
                  <w:vAlign w:val="center"/>
                </w:tcPr>
                <w:p w14:paraId="089B6984">
                  <w:pPr>
                    <w:jc w:val="center"/>
                    <w:rPr>
                      <w:color w:val="auto"/>
                      <w:szCs w:val="21"/>
                      <w:highlight w:val="none"/>
                    </w:rPr>
                  </w:pPr>
                  <w:r>
                    <w:rPr>
                      <w:color w:val="auto"/>
                      <w:szCs w:val="21"/>
                      <w:highlight w:val="none"/>
                    </w:rPr>
                    <w:t>SS</w:t>
                  </w:r>
                </w:p>
              </w:tc>
              <w:tc>
                <w:tcPr>
                  <w:tcW w:w="1277" w:type="dxa"/>
                  <w:vAlign w:val="center"/>
                </w:tcPr>
                <w:p w14:paraId="3B997092">
                  <w:pPr>
                    <w:jc w:val="center"/>
                    <w:rPr>
                      <w:color w:val="auto"/>
                      <w:szCs w:val="21"/>
                      <w:highlight w:val="none"/>
                    </w:rPr>
                  </w:pPr>
                  <w:r>
                    <w:rPr>
                      <w:color w:val="auto"/>
                      <w:szCs w:val="21"/>
                      <w:highlight w:val="none"/>
                    </w:rPr>
                    <w:t>10</w:t>
                  </w:r>
                </w:p>
              </w:tc>
            </w:tr>
            <w:tr w14:paraId="05C55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 w:hRule="atLeast"/>
                <w:tblHeader/>
                <w:jc w:val="center"/>
              </w:trPr>
              <w:tc>
                <w:tcPr>
                  <w:tcW w:w="462" w:type="dxa"/>
                  <w:vMerge w:val="continue"/>
                  <w:vAlign w:val="center"/>
                </w:tcPr>
                <w:p w14:paraId="3A7C4B56">
                  <w:pPr>
                    <w:jc w:val="center"/>
                    <w:rPr>
                      <w:color w:val="auto"/>
                      <w:szCs w:val="21"/>
                      <w:highlight w:val="none"/>
                    </w:rPr>
                  </w:pPr>
                </w:p>
              </w:tc>
              <w:tc>
                <w:tcPr>
                  <w:tcW w:w="945" w:type="dxa"/>
                  <w:vMerge w:val="continue"/>
                  <w:vAlign w:val="center"/>
                </w:tcPr>
                <w:p w14:paraId="3017A17B">
                  <w:pPr>
                    <w:pStyle w:val="373"/>
                    <w:jc w:val="center"/>
                    <w:rPr>
                      <w:rFonts w:ascii="Times New Roman" w:hAnsi="Times New Roman" w:eastAsia="黑体"/>
                      <w:color w:val="auto"/>
                      <w:sz w:val="21"/>
                      <w:szCs w:val="21"/>
                      <w:highlight w:val="none"/>
                    </w:rPr>
                  </w:pPr>
                </w:p>
              </w:tc>
              <w:tc>
                <w:tcPr>
                  <w:tcW w:w="754" w:type="dxa"/>
                  <w:vMerge w:val="continue"/>
                  <w:vAlign w:val="center"/>
                </w:tcPr>
                <w:p w14:paraId="0F14ECCE">
                  <w:pPr>
                    <w:pStyle w:val="373"/>
                    <w:jc w:val="center"/>
                    <w:rPr>
                      <w:rFonts w:ascii="Times New Roman" w:hAnsi="Times New Roman"/>
                      <w:color w:val="auto"/>
                      <w:sz w:val="21"/>
                      <w:szCs w:val="21"/>
                      <w:highlight w:val="none"/>
                    </w:rPr>
                  </w:pPr>
                </w:p>
              </w:tc>
              <w:tc>
                <w:tcPr>
                  <w:tcW w:w="965" w:type="dxa"/>
                  <w:vMerge w:val="continue"/>
                  <w:vAlign w:val="center"/>
                </w:tcPr>
                <w:p w14:paraId="53162087">
                  <w:pPr>
                    <w:jc w:val="center"/>
                    <w:rPr>
                      <w:color w:val="auto"/>
                      <w:szCs w:val="21"/>
                      <w:highlight w:val="none"/>
                    </w:rPr>
                  </w:pPr>
                </w:p>
              </w:tc>
              <w:tc>
                <w:tcPr>
                  <w:tcW w:w="975" w:type="dxa"/>
                  <w:vMerge w:val="continue"/>
                  <w:vAlign w:val="center"/>
                </w:tcPr>
                <w:p w14:paraId="1AE3B6A0">
                  <w:pPr>
                    <w:jc w:val="center"/>
                    <w:rPr>
                      <w:color w:val="auto"/>
                      <w:szCs w:val="21"/>
                      <w:highlight w:val="none"/>
                    </w:rPr>
                  </w:pPr>
                </w:p>
              </w:tc>
              <w:tc>
                <w:tcPr>
                  <w:tcW w:w="1140" w:type="dxa"/>
                  <w:vMerge w:val="continue"/>
                  <w:vAlign w:val="center"/>
                </w:tcPr>
                <w:p w14:paraId="35857FF9">
                  <w:pPr>
                    <w:jc w:val="center"/>
                    <w:rPr>
                      <w:color w:val="auto"/>
                      <w:szCs w:val="21"/>
                      <w:highlight w:val="none"/>
                    </w:rPr>
                  </w:pPr>
                </w:p>
              </w:tc>
              <w:tc>
                <w:tcPr>
                  <w:tcW w:w="735" w:type="dxa"/>
                  <w:vMerge w:val="continue"/>
                  <w:vAlign w:val="center"/>
                </w:tcPr>
                <w:p w14:paraId="02AA6863">
                  <w:pPr>
                    <w:jc w:val="center"/>
                    <w:rPr>
                      <w:color w:val="auto"/>
                      <w:szCs w:val="21"/>
                      <w:highlight w:val="none"/>
                    </w:rPr>
                  </w:pPr>
                </w:p>
              </w:tc>
              <w:tc>
                <w:tcPr>
                  <w:tcW w:w="1021" w:type="dxa"/>
                  <w:vMerge w:val="continue"/>
                  <w:vAlign w:val="center"/>
                </w:tcPr>
                <w:p w14:paraId="36A061BE">
                  <w:pPr>
                    <w:jc w:val="center"/>
                    <w:rPr>
                      <w:color w:val="auto"/>
                      <w:szCs w:val="21"/>
                      <w:highlight w:val="none"/>
                    </w:rPr>
                  </w:pPr>
                </w:p>
              </w:tc>
              <w:tc>
                <w:tcPr>
                  <w:tcW w:w="871" w:type="dxa"/>
                  <w:vAlign w:val="center"/>
                </w:tcPr>
                <w:p w14:paraId="3FA5DD25">
                  <w:pPr>
                    <w:jc w:val="center"/>
                    <w:rPr>
                      <w:color w:val="auto"/>
                      <w:szCs w:val="21"/>
                      <w:highlight w:val="none"/>
                    </w:rPr>
                  </w:pPr>
                  <w:r>
                    <w:rPr>
                      <w:color w:val="auto"/>
                      <w:szCs w:val="21"/>
                      <w:highlight w:val="none"/>
                    </w:rPr>
                    <w:t>NH</w:t>
                  </w:r>
                  <w:r>
                    <w:rPr>
                      <w:color w:val="auto"/>
                      <w:szCs w:val="21"/>
                      <w:highlight w:val="none"/>
                      <w:vertAlign w:val="subscript"/>
                    </w:rPr>
                    <w:t>3</w:t>
                  </w:r>
                  <w:r>
                    <w:rPr>
                      <w:color w:val="auto"/>
                      <w:szCs w:val="21"/>
                      <w:highlight w:val="none"/>
                    </w:rPr>
                    <w:t>-N</w:t>
                  </w:r>
                </w:p>
              </w:tc>
              <w:tc>
                <w:tcPr>
                  <w:tcW w:w="1277" w:type="dxa"/>
                  <w:vAlign w:val="center"/>
                </w:tcPr>
                <w:p w14:paraId="077ABD0B">
                  <w:pPr>
                    <w:jc w:val="center"/>
                    <w:rPr>
                      <w:rFonts w:hint="eastAsia" w:eastAsia="宋体"/>
                      <w:color w:val="auto"/>
                      <w:szCs w:val="21"/>
                      <w:highlight w:val="none"/>
                      <w:lang w:eastAsia="zh-CN"/>
                    </w:rPr>
                  </w:pPr>
                  <w:r>
                    <w:rPr>
                      <w:rFonts w:hint="eastAsia"/>
                      <w:color w:val="auto"/>
                      <w:szCs w:val="21"/>
                      <w:highlight w:val="none"/>
                      <w:lang w:val="en-US" w:eastAsia="zh-CN"/>
                    </w:rPr>
                    <w:t>5</w:t>
                  </w:r>
                </w:p>
              </w:tc>
            </w:tr>
          </w:tbl>
          <w:p w14:paraId="439E97A6">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b/>
                <w:color w:val="auto"/>
                <w:szCs w:val="21"/>
                <w:highlight w:val="none"/>
              </w:rPr>
            </w:pPr>
            <w:r>
              <w:rPr>
                <w:b/>
                <w:color w:val="auto"/>
                <w:sz w:val="24"/>
                <w:highlight w:val="none"/>
              </w:rPr>
              <w:t>表4-</w:t>
            </w:r>
            <w:r>
              <w:rPr>
                <w:rFonts w:hint="eastAsia"/>
                <w:b/>
                <w:color w:val="auto"/>
                <w:sz w:val="24"/>
                <w:highlight w:val="none"/>
                <w:lang w:val="en-US" w:eastAsia="zh-CN"/>
              </w:rPr>
              <w:t>9</w:t>
            </w:r>
            <w:r>
              <w:rPr>
                <w:b/>
                <w:color w:val="auto"/>
                <w:sz w:val="24"/>
                <w:highlight w:val="none"/>
              </w:rPr>
              <w:t xml:space="preserve"> 废水自行监测及记录信息表</w:t>
            </w:r>
          </w:p>
          <w:tbl>
            <w:tblPr>
              <w:tblStyle w:val="39"/>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5"/>
              <w:gridCol w:w="2167"/>
              <w:gridCol w:w="1597"/>
              <w:gridCol w:w="1436"/>
              <w:gridCol w:w="2049"/>
              <w:gridCol w:w="1181"/>
            </w:tblGrid>
            <w:tr w14:paraId="3A71E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8" w:hRule="atLeast"/>
                <w:tblHeader/>
                <w:jc w:val="center"/>
              </w:trPr>
              <w:tc>
                <w:tcPr>
                  <w:tcW w:w="665" w:type="dxa"/>
                  <w:vAlign w:val="center"/>
                </w:tcPr>
                <w:p w14:paraId="77D38ECD">
                  <w:pPr>
                    <w:adjustRightInd w:val="0"/>
                    <w:snapToGrid w:val="0"/>
                    <w:spacing w:line="216" w:lineRule="auto"/>
                    <w:jc w:val="center"/>
                    <w:rPr>
                      <w:color w:val="auto"/>
                      <w:szCs w:val="21"/>
                      <w:highlight w:val="none"/>
                    </w:rPr>
                  </w:pPr>
                  <w:r>
                    <w:rPr>
                      <w:color w:val="auto"/>
                      <w:szCs w:val="21"/>
                      <w:highlight w:val="none"/>
                    </w:rPr>
                    <w:t>序号</w:t>
                  </w:r>
                </w:p>
              </w:tc>
              <w:tc>
                <w:tcPr>
                  <w:tcW w:w="2015" w:type="dxa"/>
                  <w:vAlign w:val="center"/>
                </w:tcPr>
                <w:p w14:paraId="5AB00DDB">
                  <w:pPr>
                    <w:adjustRightInd w:val="0"/>
                    <w:snapToGrid w:val="0"/>
                    <w:spacing w:line="216" w:lineRule="auto"/>
                    <w:jc w:val="center"/>
                    <w:rPr>
                      <w:color w:val="auto"/>
                      <w:szCs w:val="21"/>
                      <w:highlight w:val="none"/>
                    </w:rPr>
                  </w:pPr>
                  <w:r>
                    <w:rPr>
                      <w:color w:val="auto"/>
                      <w:szCs w:val="21"/>
                      <w:highlight w:val="none"/>
                    </w:rPr>
                    <w:t>污染源类别</w:t>
                  </w:r>
                </w:p>
              </w:tc>
              <w:tc>
                <w:tcPr>
                  <w:tcW w:w="1485" w:type="dxa"/>
                  <w:vAlign w:val="center"/>
                </w:tcPr>
                <w:p w14:paraId="2D093753">
                  <w:pPr>
                    <w:adjustRightInd w:val="0"/>
                    <w:snapToGrid w:val="0"/>
                    <w:spacing w:line="216" w:lineRule="auto"/>
                    <w:jc w:val="center"/>
                    <w:rPr>
                      <w:color w:val="auto"/>
                      <w:szCs w:val="21"/>
                      <w:highlight w:val="none"/>
                    </w:rPr>
                  </w:pPr>
                  <w:r>
                    <w:rPr>
                      <w:color w:val="auto"/>
                      <w:szCs w:val="21"/>
                      <w:highlight w:val="none"/>
                    </w:rPr>
                    <w:t>排放口编号</w:t>
                  </w:r>
                </w:p>
              </w:tc>
              <w:tc>
                <w:tcPr>
                  <w:tcW w:w="1335" w:type="dxa"/>
                  <w:vAlign w:val="center"/>
                </w:tcPr>
                <w:p w14:paraId="39DDD946">
                  <w:pPr>
                    <w:adjustRightInd w:val="0"/>
                    <w:snapToGrid w:val="0"/>
                    <w:spacing w:line="216" w:lineRule="auto"/>
                    <w:jc w:val="center"/>
                    <w:rPr>
                      <w:color w:val="auto"/>
                      <w:szCs w:val="21"/>
                      <w:highlight w:val="none"/>
                    </w:rPr>
                  </w:pPr>
                  <w:r>
                    <w:rPr>
                      <w:color w:val="auto"/>
                      <w:szCs w:val="21"/>
                      <w:highlight w:val="none"/>
                    </w:rPr>
                    <w:t>监测点位</w:t>
                  </w:r>
                </w:p>
              </w:tc>
              <w:tc>
                <w:tcPr>
                  <w:tcW w:w="1905" w:type="dxa"/>
                  <w:vAlign w:val="center"/>
                </w:tcPr>
                <w:p w14:paraId="078683AE">
                  <w:pPr>
                    <w:adjustRightInd w:val="0"/>
                    <w:snapToGrid w:val="0"/>
                    <w:spacing w:line="216" w:lineRule="auto"/>
                    <w:jc w:val="center"/>
                    <w:rPr>
                      <w:color w:val="auto"/>
                      <w:szCs w:val="21"/>
                      <w:highlight w:val="none"/>
                    </w:rPr>
                  </w:pPr>
                  <w:r>
                    <w:rPr>
                      <w:color w:val="auto"/>
                      <w:szCs w:val="21"/>
                      <w:highlight w:val="none"/>
                    </w:rPr>
                    <w:t>监测因子</w:t>
                  </w:r>
                </w:p>
              </w:tc>
              <w:tc>
                <w:tcPr>
                  <w:tcW w:w="1098" w:type="dxa"/>
                  <w:vAlign w:val="center"/>
                </w:tcPr>
                <w:p w14:paraId="2F03AC53">
                  <w:pPr>
                    <w:adjustRightInd w:val="0"/>
                    <w:snapToGrid w:val="0"/>
                    <w:spacing w:line="216" w:lineRule="auto"/>
                    <w:jc w:val="center"/>
                    <w:rPr>
                      <w:color w:val="auto"/>
                      <w:szCs w:val="21"/>
                      <w:highlight w:val="none"/>
                    </w:rPr>
                  </w:pPr>
                  <w:r>
                    <w:rPr>
                      <w:color w:val="auto"/>
                      <w:szCs w:val="21"/>
                      <w:highlight w:val="none"/>
                    </w:rPr>
                    <w:t>监测频次</w:t>
                  </w:r>
                </w:p>
              </w:tc>
            </w:tr>
            <w:tr w14:paraId="508FF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3" w:hRule="atLeast"/>
                <w:tblHeader/>
                <w:jc w:val="center"/>
              </w:trPr>
              <w:tc>
                <w:tcPr>
                  <w:tcW w:w="665" w:type="dxa"/>
                  <w:vAlign w:val="center"/>
                </w:tcPr>
                <w:p w14:paraId="4A6F222D">
                  <w:pPr>
                    <w:adjustRightInd w:val="0"/>
                    <w:snapToGrid w:val="0"/>
                    <w:jc w:val="center"/>
                    <w:rPr>
                      <w:color w:val="auto"/>
                      <w:szCs w:val="21"/>
                      <w:highlight w:val="none"/>
                    </w:rPr>
                  </w:pPr>
                  <w:r>
                    <w:rPr>
                      <w:color w:val="auto"/>
                      <w:szCs w:val="21"/>
                      <w:highlight w:val="none"/>
                    </w:rPr>
                    <w:t>1</w:t>
                  </w:r>
                </w:p>
              </w:tc>
              <w:tc>
                <w:tcPr>
                  <w:tcW w:w="2015" w:type="dxa"/>
                  <w:vAlign w:val="center"/>
                </w:tcPr>
                <w:p w14:paraId="583F437C">
                  <w:pPr>
                    <w:pStyle w:val="374"/>
                    <w:bidi w:val="0"/>
                    <w:rPr>
                      <w:rFonts w:hint="eastAsia" w:eastAsia="宋体"/>
                      <w:b/>
                      <w:color w:val="auto"/>
                      <w:kern w:val="44"/>
                      <w:szCs w:val="21"/>
                      <w:highlight w:val="none"/>
                      <w:lang w:eastAsia="zh-CN"/>
                    </w:rPr>
                  </w:pPr>
                  <w:r>
                    <w:rPr>
                      <w:bCs/>
                      <w:color w:val="auto"/>
                      <w:kern w:val="44"/>
                      <w:szCs w:val="21"/>
                      <w:highlight w:val="none"/>
                    </w:rPr>
                    <w:t>生活污水、</w:t>
                  </w:r>
                  <w:r>
                    <w:rPr>
                      <w:rFonts w:hint="eastAsia"/>
                      <w:bCs/>
                      <w:color w:val="auto"/>
                      <w:kern w:val="44"/>
                      <w:szCs w:val="21"/>
                      <w:highlight w:val="none"/>
                      <w:lang w:eastAsia="zh-CN"/>
                    </w:rPr>
                    <w:t>保洁废水、</w:t>
                  </w:r>
                  <w:r>
                    <w:rPr>
                      <w:rFonts w:hint="eastAsia"/>
                      <w:color w:val="auto"/>
                      <w:sz w:val="21"/>
                      <w:szCs w:val="21"/>
                      <w:highlight w:val="none"/>
                      <w:lang w:val="en-US" w:eastAsia="zh-CN"/>
                    </w:rPr>
                    <w:t>实验室质检、</w:t>
                  </w:r>
                  <w:r>
                    <w:rPr>
                      <w:rFonts w:hint="eastAsia" w:cs="Times New Roman"/>
                      <w:color w:val="auto"/>
                      <w:szCs w:val="21"/>
                      <w:highlight w:val="none"/>
                      <w:lang w:eastAsia="zh-CN"/>
                    </w:rPr>
                    <w:t>瓶</w:t>
                  </w:r>
                  <w:r>
                    <w:rPr>
                      <w:rFonts w:hint="eastAsia" w:cs="Times New Roman"/>
                      <w:color w:val="auto"/>
                      <w:szCs w:val="21"/>
                      <w:highlight w:val="none"/>
                      <w:lang w:val="en-US" w:eastAsia="zh-CN"/>
                    </w:rPr>
                    <w:t>/桶/盖清洗废水、反冲洗废水、纯净水制备浓水</w:t>
                  </w:r>
                </w:p>
              </w:tc>
              <w:tc>
                <w:tcPr>
                  <w:tcW w:w="1485" w:type="dxa"/>
                  <w:vAlign w:val="center"/>
                </w:tcPr>
                <w:p w14:paraId="58F64F22">
                  <w:pPr>
                    <w:adjustRightInd w:val="0"/>
                    <w:snapToGrid w:val="0"/>
                    <w:jc w:val="center"/>
                    <w:rPr>
                      <w:color w:val="auto"/>
                      <w:szCs w:val="21"/>
                      <w:highlight w:val="none"/>
                    </w:rPr>
                  </w:pPr>
                  <w:r>
                    <w:rPr>
                      <w:color w:val="auto"/>
                      <w:szCs w:val="21"/>
                      <w:highlight w:val="none"/>
                    </w:rPr>
                    <w:t>DW001</w:t>
                  </w:r>
                </w:p>
              </w:tc>
              <w:tc>
                <w:tcPr>
                  <w:tcW w:w="1335" w:type="dxa"/>
                  <w:vAlign w:val="center"/>
                </w:tcPr>
                <w:p w14:paraId="68CA84B7">
                  <w:pPr>
                    <w:adjustRightInd w:val="0"/>
                    <w:snapToGrid w:val="0"/>
                    <w:jc w:val="center"/>
                    <w:rPr>
                      <w:color w:val="auto"/>
                      <w:szCs w:val="21"/>
                      <w:highlight w:val="none"/>
                    </w:rPr>
                  </w:pPr>
                  <w:r>
                    <w:rPr>
                      <w:color w:val="auto"/>
                      <w:szCs w:val="21"/>
                      <w:highlight w:val="none"/>
                    </w:rPr>
                    <w:t>厂区污水</w:t>
                  </w:r>
                  <w:r>
                    <w:rPr>
                      <w:rFonts w:hint="eastAsia"/>
                      <w:color w:val="auto"/>
                      <w:szCs w:val="21"/>
                      <w:highlight w:val="none"/>
                      <w:lang w:eastAsia="zh-CN"/>
                    </w:rPr>
                    <w:t>总</w:t>
                  </w:r>
                  <w:r>
                    <w:rPr>
                      <w:color w:val="auto"/>
                      <w:szCs w:val="21"/>
                      <w:highlight w:val="none"/>
                    </w:rPr>
                    <w:t>排口</w:t>
                  </w:r>
                </w:p>
              </w:tc>
              <w:tc>
                <w:tcPr>
                  <w:tcW w:w="1905" w:type="dxa"/>
                  <w:vAlign w:val="center"/>
                </w:tcPr>
                <w:p w14:paraId="65DDDE95">
                  <w:pPr>
                    <w:adjustRightInd w:val="0"/>
                    <w:snapToGrid w:val="0"/>
                    <w:jc w:val="center"/>
                    <w:rPr>
                      <w:color w:val="auto"/>
                      <w:szCs w:val="21"/>
                      <w:highlight w:val="none"/>
                    </w:rPr>
                  </w:pPr>
                  <w:r>
                    <w:rPr>
                      <w:color w:val="auto"/>
                      <w:szCs w:val="21"/>
                      <w:highlight w:val="none"/>
                    </w:rPr>
                    <w:t>pH值、悬浮物、化学需氧量、五日生化需氧量、氨氮等</w:t>
                  </w:r>
                </w:p>
              </w:tc>
              <w:tc>
                <w:tcPr>
                  <w:tcW w:w="1098" w:type="dxa"/>
                  <w:vAlign w:val="center"/>
                </w:tcPr>
                <w:p w14:paraId="6CA5974F">
                  <w:pPr>
                    <w:adjustRightInd w:val="0"/>
                    <w:snapToGrid w:val="0"/>
                    <w:jc w:val="center"/>
                    <w:rPr>
                      <w:color w:val="auto"/>
                      <w:szCs w:val="21"/>
                      <w:highlight w:val="none"/>
                    </w:rPr>
                  </w:pPr>
                  <w:r>
                    <w:rPr>
                      <w:color w:val="auto"/>
                      <w:szCs w:val="21"/>
                      <w:highlight w:val="none"/>
                    </w:rPr>
                    <w:t>1次/年</w:t>
                  </w:r>
                </w:p>
              </w:tc>
            </w:tr>
          </w:tbl>
          <w:p w14:paraId="1409D6DD">
            <w:pPr>
              <w:adjustRightInd w:val="0"/>
              <w:snapToGrid w:val="0"/>
              <w:spacing w:line="360" w:lineRule="auto"/>
              <w:rPr>
                <w:rFonts w:hint="eastAsia" w:eastAsia="宋体"/>
                <w:b/>
                <w:bCs/>
                <w:color w:val="auto"/>
                <w:spacing w:val="-10"/>
                <w:sz w:val="24"/>
                <w:highlight w:val="none"/>
                <w:lang w:eastAsia="zh-CN"/>
              </w:rPr>
            </w:pPr>
            <w:r>
              <w:rPr>
                <w:rFonts w:hint="eastAsia"/>
                <w:b/>
                <w:bCs/>
                <w:color w:val="auto"/>
                <w:spacing w:val="-10"/>
                <w:sz w:val="24"/>
                <w:highlight w:val="none"/>
                <w:lang w:eastAsia="zh-CN"/>
              </w:rPr>
              <w:t>三、噪声</w:t>
            </w:r>
          </w:p>
          <w:p w14:paraId="271D91FD">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（1）噪声源及噪声源强</w:t>
            </w:r>
          </w:p>
          <w:p w14:paraId="47F17CC3">
            <w:pPr>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本</w:t>
            </w:r>
            <w:r>
              <w:rPr>
                <w:rFonts w:hint="default" w:ascii="Times New Roman" w:hAnsi="Times New Roman" w:cs="Times New Roman"/>
                <w:color w:val="auto"/>
                <w:sz w:val="24"/>
                <w:highlight w:val="none"/>
                <w:lang w:bidi="ar"/>
              </w:rPr>
              <w:t>项目产生噪声的设备有</w:t>
            </w:r>
            <w:r>
              <w:rPr>
                <w:rFonts w:hint="eastAsia" w:cs="Times New Roman"/>
                <w:color w:val="auto"/>
                <w:sz w:val="24"/>
                <w:highlight w:val="none"/>
                <w:lang w:eastAsia="zh-CN" w:bidi="ar"/>
              </w:rPr>
              <w:t>割膜拔盖机、直线外刷机、高压内洗机、吹瓶机、灌装机、空压机</w:t>
            </w:r>
            <w:r>
              <w:rPr>
                <w:rFonts w:hint="default" w:ascii="Times New Roman" w:hAnsi="Times New Roman" w:cs="Times New Roman"/>
                <w:color w:val="auto"/>
                <w:sz w:val="24"/>
                <w:highlight w:val="none"/>
                <w:lang w:bidi="ar"/>
              </w:rPr>
              <w:t>等。通过类比，声级值范围在</w:t>
            </w:r>
            <w:r>
              <w:rPr>
                <w:rFonts w:hint="eastAsia" w:cs="Times New Roman"/>
                <w:color w:val="auto"/>
                <w:sz w:val="24"/>
                <w:highlight w:val="none"/>
                <w:lang w:val="en-US" w:eastAsia="zh-CN" w:bidi="ar"/>
              </w:rPr>
              <w:t>55</w:t>
            </w:r>
            <w:r>
              <w:rPr>
                <w:rFonts w:hint="default" w:ascii="Times New Roman" w:hAnsi="Times New Roman" w:cs="Times New Roman"/>
                <w:color w:val="auto"/>
                <w:sz w:val="24"/>
                <w:highlight w:val="none"/>
                <w:lang w:bidi="ar"/>
              </w:rPr>
              <w:t>～8</w:t>
            </w:r>
            <w:r>
              <w:rPr>
                <w:rFonts w:hint="eastAsia" w:cs="Times New Roman"/>
                <w:color w:val="auto"/>
                <w:sz w:val="24"/>
                <w:highlight w:val="none"/>
                <w:lang w:val="en-US" w:eastAsia="zh-CN" w:bidi="ar"/>
              </w:rPr>
              <w:t>0</w:t>
            </w:r>
            <w:r>
              <w:rPr>
                <w:rFonts w:hint="default" w:ascii="Times New Roman" w:hAnsi="Times New Roman" w:cs="Times New Roman"/>
                <w:color w:val="auto"/>
                <w:sz w:val="24"/>
                <w:highlight w:val="none"/>
                <w:lang w:bidi="ar"/>
              </w:rPr>
              <w:t>dB(A)，</w:t>
            </w:r>
            <w:r>
              <w:rPr>
                <w:rFonts w:hint="default" w:ascii="Times New Roman" w:hAnsi="Times New Roman" w:cs="Times New Roman"/>
                <w:color w:val="auto"/>
                <w:sz w:val="24"/>
                <w:szCs w:val="32"/>
                <w:highlight w:val="none"/>
              </w:rPr>
              <w:t>以总平面布置的最西边和最南边的交点为原点，建立坐标系，正北方向为正y轴，正东方向为x轴。</w:t>
            </w:r>
            <w:r>
              <w:rPr>
                <w:rFonts w:hint="default" w:ascii="Times New Roman" w:hAnsi="Times New Roman" w:cs="Times New Roman"/>
                <w:color w:val="auto"/>
                <w:sz w:val="24"/>
                <w:highlight w:val="none"/>
                <w:lang w:bidi="ar"/>
              </w:rPr>
              <w:t>项目主要噪声源强见</w:t>
            </w:r>
            <w:r>
              <w:rPr>
                <w:rFonts w:hint="eastAsia" w:cs="Times New Roman"/>
                <w:color w:val="auto"/>
                <w:sz w:val="24"/>
                <w:highlight w:val="none"/>
                <w:lang w:eastAsia="zh-CN" w:bidi="ar"/>
              </w:rPr>
              <w:t>下</w:t>
            </w:r>
            <w:r>
              <w:rPr>
                <w:rFonts w:hint="default" w:ascii="Times New Roman" w:hAnsi="Times New Roman" w:cs="Times New Roman"/>
                <w:color w:val="auto"/>
                <w:sz w:val="24"/>
                <w:highlight w:val="none"/>
                <w:lang w:bidi="ar"/>
              </w:rPr>
              <w:t>表。</w:t>
            </w:r>
          </w:p>
          <w:p w14:paraId="7AAD80DD">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 w:val="24"/>
                <w:highlight w:val="none"/>
              </w:rPr>
              <w:t>表4-1</w:t>
            </w:r>
            <w:r>
              <w:rPr>
                <w:rFonts w:hint="eastAsia" w:cs="Times New Roman"/>
                <w:b/>
                <w:bCs/>
                <w:color w:val="auto"/>
                <w:sz w:val="24"/>
                <w:highlight w:val="none"/>
                <w:lang w:val="en-US" w:eastAsia="zh-CN"/>
              </w:rPr>
              <w:t>0</w:t>
            </w:r>
            <w:r>
              <w:rPr>
                <w:rFonts w:hint="default" w:ascii="Times New Roman" w:hAnsi="Times New Roman" w:cs="Times New Roman"/>
                <w:b/>
                <w:bCs/>
                <w:color w:val="auto"/>
                <w:sz w:val="24"/>
                <w:highlight w:val="none"/>
              </w:rPr>
              <w:t>车间主要噪声源强统计</w:t>
            </w:r>
          </w:p>
          <w:tbl>
            <w:tblPr>
              <w:tblStyle w:val="39"/>
              <w:tblW w:w="4996"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480"/>
              <w:gridCol w:w="1226"/>
              <w:gridCol w:w="619"/>
              <w:gridCol w:w="487"/>
              <w:gridCol w:w="546"/>
              <w:gridCol w:w="627"/>
              <w:gridCol w:w="410"/>
              <w:gridCol w:w="500"/>
              <w:gridCol w:w="929"/>
              <w:gridCol w:w="487"/>
              <w:gridCol w:w="929"/>
              <w:gridCol w:w="930"/>
              <w:gridCol w:w="503"/>
            </w:tblGrid>
            <w:tr w14:paraId="62A0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restart"/>
                  <w:vAlign w:val="center"/>
                </w:tcPr>
                <w:p w14:paraId="65C00DF7">
                  <w:pPr>
                    <w:bidi w:val="0"/>
                    <w:jc w:val="center"/>
                    <w:rPr>
                      <w:rFonts w:hint="default"/>
                      <w:color w:val="auto"/>
                      <w:sz w:val="21"/>
                      <w:szCs w:val="21"/>
                      <w:highlight w:val="none"/>
                    </w:rPr>
                  </w:pPr>
                  <w:r>
                    <w:rPr>
                      <w:rFonts w:hint="default"/>
                      <w:color w:val="auto"/>
                      <w:sz w:val="21"/>
                      <w:szCs w:val="21"/>
                      <w:highlight w:val="none"/>
                    </w:rPr>
                    <w:t>序号</w:t>
                  </w:r>
                </w:p>
              </w:tc>
              <w:tc>
                <w:tcPr>
                  <w:tcW w:w="262" w:type="pct"/>
                  <w:vMerge w:val="restart"/>
                  <w:vAlign w:val="center"/>
                </w:tcPr>
                <w:p w14:paraId="1B624FB3">
                  <w:pPr>
                    <w:bidi w:val="0"/>
                    <w:jc w:val="center"/>
                    <w:rPr>
                      <w:rFonts w:hint="default"/>
                      <w:color w:val="auto"/>
                      <w:sz w:val="21"/>
                      <w:szCs w:val="21"/>
                      <w:highlight w:val="none"/>
                    </w:rPr>
                  </w:pPr>
                  <w:r>
                    <w:rPr>
                      <w:rFonts w:hint="default"/>
                      <w:color w:val="auto"/>
                      <w:sz w:val="21"/>
                      <w:szCs w:val="21"/>
                      <w:highlight w:val="none"/>
                    </w:rPr>
                    <w:t>建筑物名称</w:t>
                  </w:r>
                </w:p>
              </w:tc>
              <w:tc>
                <w:tcPr>
                  <w:tcW w:w="669" w:type="pct"/>
                  <w:vMerge w:val="restart"/>
                  <w:vAlign w:val="center"/>
                </w:tcPr>
                <w:p w14:paraId="7C61FB30">
                  <w:pPr>
                    <w:bidi w:val="0"/>
                    <w:jc w:val="center"/>
                    <w:rPr>
                      <w:rFonts w:hint="default"/>
                      <w:color w:val="auto"/>
                      <w:sz w:val="21"/>
                      <w:szCs w:val="21"/>
                      <w:highlight w:val="none"/>
                    </w:rPr>
                  </w:pPr>
                  <w:r>
                    <w:rPr>
                      <w:rFonts w:hint="default"/>
                      <w:color w:val="auto"/>
                      <w:sz w:val="21"/>
                      <w:szCs w:val="21"/>
                      <w:highlight w:val="none"/>
                    </w:rPr>
                    <w:t>声源名称</w:t>
                  </w:r>
                </w:p>
              </w:tc>
              <w:tc>
                <w:tcPr>
                  <w:tcW w:w="338" w:type="pct"/>
                  <w:vMerge w:val="restart"/>
                  <w:vAlign w:val="center"/>
                </w:tcPr>
                <w:p w14:paraId="3479D6C3">
                  <w:pPr>
                    <w:bidi w:val="0"/>
                    <w:jc w:val="center"/>
                    <w:rPr>
                      <w:rFonts w:hint="default"/>
                      <w:color w:val="auto"/>
                      <w:sz w:val="21"/>
                      <w:szCs w:val="21"/>
                      <w:highlight w:val="none"/>
                    </w:rPr>
                  </w:pPr>
                  <w:r>
                    <w:rPr>
                      <w:rFonts w:hint="default"/>
                      <w:color w:val="auto"/>
                      <w:sz w:val="21"/>
                      <w:szCs w:val="21"/>
                      <w:highlight w:val="none"/>
                    </w:rPr>
                    <w:t>型号</w:t>
                  </w:r>
                </w:p>
              </w:tc>
              <w:tc>
                <w:tcPr>
                  <w:tcW w:w="266" w:type="pct"/>
                  <w:vAlign w:val="center"/>
                </w:tcPr>
                <w:p w14:paraId="35063C93">
                  <w:pPr>
                    <w:bidi w:val="0"/>
                    <w:jc w:val="center"/>
                    <w:rPr>
                      <w:rFonts w:hint="default"/>
                      <w:color w:val="auto"/>
                      <w:sz w:val="21"/>
                      <w:szCs w:val="21"/>
                      <w:highlight w:val="none"/>
                    </w:rPr>
                  </w:pPr>
                  <w:r>
                    <w:rPr>
                      <w:rFonts w:hint="default"/>
                      <w:color w:val="auto"/>
                      <w:sz w:val="21"/>
                      <w:szCs w:val="21"/>
                      <w:highlight w:val="none"/>
                    </w:rPr>
                    <w:t>声源源强</w:t>
                  </w:r>
                </w:p>
              </w:tc>
              <w:tc>
                <w:tcPr>
                  <w:tcW w:w="864" w:type="pct"/>
                  <w:gridSpan w:val="3"/>
                  <w:vAlign w:val="center"/>
                </w:tcPr>
                <w:p w14:paraId="1258FFED">
                  <w:pPr>
                    <w:bidi w:val="0"/>
                    <w:jc w:val="center"/>
                    <w:rPr>
                      <w:rFonts w:hint="default"/>
                      <w:color w:val="auto"/>
                      <w:sz w:val="21"/>
                      <w:szCs w:val="21"/>
                      <w:highlight w:val="none"/>
                    </w:rPr>
                  </w:pPr>
                  <w:r>
                    <w:rPr>
                      <w:rFonts w:hint="default"/>
                      <w:color w:val="auto"/>
                      <w:sz w:val="21"/>
                      <w:szCs w:val="21"/>
                      <w:highlight w:val="none"/>
                    </w:rPr>
                    <w:t>空间相对位置</w:t>
                  </w:r>
                </w:p>
              </w:tc>
              <w:tc>
                <w:tcPr>
                  <w:tcW w:w="273" w:type="pct"/>
                  <w:vMerge w:val="restart"/>
                  <w:vAlign w:val="center"/>
                </w:tcPr>
                <w:p w14:paraId="0593AF88">
                  <w:pPr>
                    <w:bidi w:val="0"/>
                    <w:jc w:val="center"/>
                    <w:rPr>
                      <w:rFonts w:hint="default"/>
                      <w:color w:val="auto"/>
                      <w:sz w:val="21"/>
                      <w:szCs w:val="21"/>
                      <w:highlight w:val="none"/>
                    </w:rPr>
                  </w:pPr>
                  <w:r>
                    <w:rPr>
                      <w:rFonts w:hint="default"/>
                      <w:color w:val="auto"/>
                      <w:sz w:val="21"/>
                      <w:szCs w:val="21"/>
                      <w:highlight w:val="none"/>
                    </w:rPr>
                    <w:t>距室内边界距离/m</w:t>
                  </w:r>
                </w:p>
              </w:tc>
              <w:tc>
                <w:tcPr>
                  <w:tcW w:w="507" w:type="pct"/>
                  <w:vMerge w:val="restart"/>
                  <w:vAlign w:val="center"/>
                </w:tcPr>
                <w:p w14:paraId="0A4D58D7">
                  <w:pPr>
                    <w:bidi w:val="0"/>
                    <w:jc w:val="center"/>
                    <w:rPr>
                      <w:rFonts w:hint="default"/>
                      <w:color w:val="auto"/>
                      <w:sz w:val="21"/>
                      <w:szCs w:val="21"/>
                      <w:highlight w:val="none"/>
                    </w:rPr>
                  </w:pPr>
                  <w:r>
                    <w:rPr>
                      <w:rFonts w:hint="default"/>
                      <w:color w:val="auto"/>
                      <w:sz w:val="21"/>
                      <w:szCs w:val="21"/>
                      <w:highlight w:val="none"/>
                    </w:rPr>
                    <w:t>室内边界声级/dB(A)</w:t>
                  </w:r>
                </w:p>
              </w:tc>
              <w:tc>
                <w:tcPr>
                  <w:tcW w:w="266" w:type="pct"/>
                  <w:vMerge w:val="restart"/>
                  <w:vAlign w:val="center"/>
                </w:tcPr>
                <w:p w14:paraId="7CAE226D">
                  <w:pPr>
                    <w:bidi w:val="0"/>
                    <w:jc w:val="center"/>
                    <w:rPr>
                      <w:rFonts w:hint="default"/>
                      <w:color w:val="auto"/>
                      <w:sz w:val="21"/>
                      <w:szCs w:val="21"/>
                      <w:highlight w:val="none"/>
                    </w:rPr>
                  </w:pPr>
                  <w:r>
                    <w:rPr>
                      <w:rFonts w:hint="default"/>
                      <w:color w:val="auto"/>
                      <w:sz w:val="21"/>
                      <w:szCs w:val="21"/>
                      <w:highlight w:val="none"/>
                    </w:rPr>
                    <w:t>运行时段</w:t>
                  </w:r>
                </w:p>
              </w:tc>
              <w:tc>
                <w:tcPr>
                  <w:tcW w:w="507" w:type="pct"/>
                  <w:vMerge w:val="restart"/>
                  <w:vAlign w:val="center"/>
                </w:tcPr>
                <w:p w14:paraId="73603CD3">
                  <w:pPr>
                    <w:bidi w:val="0"/>
                    <w:jc w:val="center"/>
                    <w:rPr>
                      <w:rFonts w:hint="default"/>
                      <w:color w:val="auto"/>
                      <w:sz w:val="21"/>
                      <w:szCs w:val="21"/>
                      <w:highlight w:val="none"/>
                    </w:rPr>
                  </w:pPr>
                  <w:r>
                    <w:rPr>
                      <w:rFonts w:hint="default"/>
                      <w:color w:val="auto"/>
                      <w:sz w:val="21"/>
                      <w:szCs w:val="21"/>
                      <w:highlight w:val="none"/>
                    </w:rPr>
                    <w:t>建筑物插入损失/dB(A)</w:t>
                  </w:r>
                </w:p>
              </w:tc>
              <w:tc>
                <w:tcPr>
                  <w:tcW w:w="507" w:type="pct"/>
                  <w:vMerge w:val="restart"/>
                  <w:vAlign w:val="center"/>
                </w:tcPr>
                <w:p w14:paraId="6165FA66">
                  <w:pPr>
                    <w:bidi w:val="0"/>
                    <w:jc w:val="center"/>
                    <w:rPr>
                      <w:rFonts w:hint="default"/>
                      <w:color w:val="auto"/>
                      <w:sz w:val="21"/>
                      <w:szCs w:val="21"/>
                      <w:highlight w:val="none"/>
                    </w:rPr>
                  </w:pPr>
                  <w:r>
                    <w:rPr>
                      <w:rFonts w:hint="default"/>
                      <w:color w:val="auto"/>
                      <w:sz w:val="21"/>
                      <w:szCs w:val="21"/>
                      <w:highlight w:val="none"/>
                    </w:rPr>
                    <w:t>声压级/dB(A)</w:t>
                  </w:r>
                </w:p>
              </w:tc>
              <w:tc>
                <w:tcPr>
                  <w:tcW w:w="274" w:type="pct"/>
                  <w:vMerge w:val="restart"/>
                  <w:vAlign w:val="center"/>
                </w:tcPr>
                <w:p w14:paraId="7FB6A428">
                  <w:pPr>
                    <w:bidi w:val="0"/>
                    <w:jc w:val="center"/>
                    <w:rPr>
                      <w:rFonts w:hint="default"/>
                      <w:color w:val="auto"/>
                      <w:sz w:val="21"/>
                      <w:szCs w:val="21"/>
                      <w:highlight w:val="none"/>
                    </w:rPr>
                  </w:pPr>
                  <w:r>
                    <w:rPr>
                      <w:rFonts w:hint="default"/>
                      <w:color w:val="auto"/>
                      <w:sz w:val="21"/>
                      <w:szCs w:val="21"/>
                      <w:highlight w:val="none"/>
                    </w:rPr>
                    <w:t>建筑物外距离/m</w:t>
                  </w:r>
                </w:p>
              </w:tc>
            </w:tr>
            <w:tr w14:paraId="43E6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Merge w:val="continue"/>
                  <w:vAlign w:val="center"/>
                </w:tcPr>
                <w:p w14:paraId="17A8DB97">
                  <w:pPr>
                    <w:bidi w:val="0"/>
                    <w:jc w:val="center"/>
                    <w:rPr>
                      <w:rFonts w:hint="default"/>
                      <w:color w:val="auto"/>
                      <w:sz w:val="21"/>
                      <w:szCs w:val="21"/>
                      <w:highlight w:val="none"/>
                    </w:rPr>
                  </w:pPr>
                </w:p>
              </w:tc>
              <w:tc>
                <w:tcPr>
                  <w:tcW w:w="262" w:type="pct"/>
                  <w:vMerge w:val="continue"/>
                  <w:vAlign w:val="center"/>
                </w:tcPr>
                <w:p w14:paraId="64A5CF4C">
                  <w:pPr>
                    <w:bidi w:val="0"/>
                    <w:jc w:val="center"/>
                    <w:rPr>
                      <w:rFonts w:hint="default"/>
                      <w:color w:val="auto"/>
                      <w:sz w:val="21"/>
                      <w:szCs w:val="21"/>
                      <w:highlight w:val="none"/>
                    </w:rPr>
                  </w:pPr>
                </w:p>
              </w:tc>
              <w:tc>
                <w:tcPr>
                  <w:tcW w:w="669" w:type="pct"/>
                  <w:vMerge w:val="continue"/>
                  <w:vAlign w:val="center"/>
                </w:tcPr>
                <w:p w14:paraId="775EF3AB">
                  <w:pPr>
                    <w:bidi w:val="0"/>
                    <w:jc w:val="center"/>
                    <w:rPr>
                      <w:rFonts w:hint="default"/>
                      <w:color w:val="auto"/>
                      <w:sz w:val="21"/>
                      <w:szCs w:val="21"/>
                      <w:highlight w:val="none"/>
                    </w:rPr>
                  </w:pPr>
                </w:p>
              </w:tc>
              <w:tc>
                <w:tcPr>
                  <w:tcW w:w="338" w:type="pct"/>
                  <w:vMerge w:val="continue"/>
                  <w:vAlign w:val="center"/>
                </w:tcPr>
                <w:p w14:paraId="01FC5EB5">
                  <w:pPr>
                    <w:bidi w:val="0"/>
                    <w:jc w:val="center"/>
                    <w:rPr>
                      <w:rFonts w:hint="default"/>
                      <w:color w:val="auto"/>
                      <w:sz w:val="21"/>
                      <w:szCs w:val="21"/>
                      <w:highlight w:val="none"/>
                    </w:rPr>
                  </w:pPr>
                </w:p>
              </w:tc>
              <w:tc>
                <w:tcPr>
                  <w:tcW w:w="266" w:type="pct"/>
                  <w:vAlign w:val="center"/>
                </w:tcPr>
                <w:p w14:paraId="504AE884">
                  <w:pPr>
                    <w:bidi w:val="0"/>
                    <w:jc w:val="center"/>
                    <w:rPr>
                      <w:rFonts w:hint="default"/>
                      <w:color w:val="auto"/>
                      <w:sz w:val="21"/>
                      <w:szCs w:val="21"/>
                      <w:highlight w:val="none"/>
                    </w:rPr>
                  </w:pPr>
                  <w:r>
                    <w:rPr>
                      <w:rFonts w:hint="default"/>
                      <w:color w:val="auto"/>
                      <w:sz w:val="21"/>
                      <w:szCs w:val="21"/>
                      <w:highlight w:val="none"/>
                    </w:rPr>
                    <w:t>声功率级</w:t>
                  </w:r>
                </w:p>
              </w:tc>
              <w:tc>
                <w:tcPr>
                  <w:tcW w:w="298" w:type="pct"/>
                  <w:vAlign w:val="center"/>
                </w:tcPr>
                <w:p w14:paraId="29AF6480">
                  <w:pPr>
                    <w:bidi w:val="0"/>
                    <w:jc w:val="center"/>
                    <w:rPr>
                      <w:rFonts w:hint="default"/>
                      <w:color w:val="auto"/>
                      <w:sz w:val="21"/>
                      <w:szCs w:val="21"/>
                      <w:highlight w:val="none"/>
                    </w:rPr>
                  </w:pPr>
                  <w:r>
                    <w:rPr>
                      <w:rFonts w:hint="default"/>
                      <w:color w:val="auto"/>
                      <w:sz w:val="21"/>
                      <w:szCs w:val="21"/>
                      <w:highlight w:val="none"/>
                    </w:rPr>
                    <w:t>X</w:t>
                  </w:r>
                </w:p>
              </w:tc>
              <w:tc>
                <w:tcPr>
                  <w:tcW w:w="342" w:type="pct"/>
                  <w:vAlign w:val="center"/>
                </w:tcPr>
                <w:p w14:paraId="5C7AFCE7">
                  <w:pPr>
                    <w:bidi w:val="0"/>
                    <w:jc w:val="center"/>
                    <w:rPr>
                      <w:rFonts w:hint="default"/>
                      <w:color w:val="auto"/>
                      <w:sz w:val="21"/>
                      <w:szCs w:val="21"/>
                      <w:highlight w:val="none"/>
                    </w:rPr>
                  </w:pPr>
                  <w:r>
                    <w:rPr>
                      <w:rFonts w:hint="default"/>
                      <w:color w:val="auto"/>
                      <w:sz w:val="21"/>
                      <w:szCs w:val="21"/>
                      <w:highlight w:val="none"/>
                    </w:rPr>
                    <w:t>Y</w:t>
                  </w:r>
                </w:p>
              </w:tc>
              <w:tc>
                <w:tcPr>
                  <w:tcW w:w="224" w:type="pct"/>
                  <w:vAlign w:val="center"/>
                </w:tcPr>
                <w:p w14:paraId="3C1975E5">
                  <w:pPr>
                    <w:bidi w:val="0"/>
                    <w:jc w:val="center"/>
                    <w:rPr>
                      <w:rFonts w:hint="default"/>
                      <w:color w:val="auto"/>
                      <w:sz w:val="21"/>
                      <w:szCs w:val="21"/>
                      <w:highlight w:val="none"/>
                    </w:rPr>
                  </w:pPr>
                  <w:r>
                    <w:rPr>
                      <w:rFonts w:hint="default"/>
                      <w:color w:val="auto"/>
                      <w:sz w:val="21"/>
                      <w:szCs w:val="21"/>
                      <w:highlight w:val="none"/>
                    </w:rPr>
                    <w:t>Z</w:t>
                  </w:r>
                </w:p>
              </w:tc>
              <w:tc>
                <w:tcPr>
                  <w:tcW w:w="273" w:type="pct"/>
                  <w:vMerge w:val="continue"/>
                  <w:vAlign w:val="center"/>
                </w:tcPr>
                <w:p w14:paraId="3FE05B5F">
                  <w:pPr>
                    <w:bidi w:val="0"/>
                    <w:jc w:val="center"/>
                    <w:rPr>
                      <w:rFonts w:hint="default"/>
                      <w:color w:val="auto"/>
                      <w:sz w:val="21"/>
                      <w:szCs w:val="21"/>
                      <w:highlight w:val="none"/>
                    </w:rPr>
                  </w:pPr>
                </w:p>
              </w:tc>
              <w:tc>
                <w:tcPr>
                  <w:tcW w:w="507" w:type="pct"/>
                  <w:vMerge w:val="continue"/>
                  <w:vAlign w:val="center"/>
                </w:tcPr>
                <w:p w14:paraId="2C05FCF4">
                  <w:pPr>
                    <w:bidi w:val="0"/>
                    <w:jc w:val="center"/>
                    <w:rPr>
                      <w:rFonts w:hint="default"/>
                      <w:color w:val="auto"/>
                      <w:sz w:val="21"/>
                      <w:szCs w:val="21"/>
                      <w:highlight w:val="none"/>
                    </w:rPr>
                  </w:pPr>
                </w:p>
              </w:tc>
              <w:tc>
                <w:tcPr>
                  <w:tcW w:w="266" w:type="pct"/>
                  <w:vMerge w:val="continue"/>
                  <w:vAlign w:val="center"/>
                </w:tcPr>
                <w:p w14:paraId="53814D3A">
                  <w:pPr>
                    <w:bidi w:val="0"/>
                    <w:jc w:val="center"/>
                    <w:rPr>
                      <w:rFonts w:hint="default"/>
                      <w:color w:val="auto"/>
                      <w:sz w:val="21"/>
                      <w:szCs w:val="21"/>
                      <w:highlight w:val="none"/>
                    </w:rPr>
                  </w:pPr>
                </w:p>
              </w:tc>
              <w:tc>
                <w:tcPr>
                  <w:tcW w:w="507" w:type="pct"/>
                  <w:vMerge w:val="continue"/>
                  <w:vAlign w:val="center"/>
                </w:tcPr>
                <w:p w14:paraId="4FB79969">
                  <w:pPr>
                    <w:bidi w:val="0"/>
                    <w:jc w:val="center"/>
                    <w:rPr>
                      <w:rFonts w:hint="default"/>
                      <w:color w:val="auto"/>
                      <w:sz w:val="21"/>
                      <w:szCs w:val="21"/>
                      <w:highlight w:val="none"/>
                    </w:rPr>
                  </w:pPr>
                </w:p>
              </w:tc>
              <w:tc>
                <w:tcPr>
                  <w:tcW w:w="507" w:type="pct"/>
                  <w:vMerge w:val="continue"/>
                  <w:vAlign w:val="center"/>
                </w:tcPr>
                <w:p w14:paraId="79C1C335">
                  <w:pPr>
                    <w:bidi w:val="0"/>
                    <w:jc w:val="center"/>
                    <w:rPr>
                      <w:rFonts w:hint="default"/>
                      <w:color w:val="auto"/>
                      <w:sz w:val="21"/>
                      <w:szCs w:val="21"/>
                      <w:highlight w:val="none"/>
                    </w:rPr>
                  </w:pPr>
                </w:p>
              </w:tc>
              <w:tc>
                <w:tcPr>
                  <w:tcW w:w="274" w:type="pct"/>
                  <w:vMerge w:val="continue"/>
                  <w:vAlign w:val="center"/>
                </w:tcPr>
                <w:p w14:paraId="08089956">
                  <w:pPr>
                    <w:bidi w:val="0"/>
                    <w:jc w:val="center"/>
                    <w:rPr>
                      <w:rFonts w:hint="default"/>
                      <w:color w:val="auto"/>
                      <w:sz w:val="21"/>
                      <w:szCs w:val="21"/>
                      <w:highlight w:val="none"/>
                    </w:rPr>
                  </w:pPr>
                </w:p>
              </w:tc>
            </w:tr>
            <w:tr w14:paraId="2A89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14:paraId="4FCE6434">
                  <w:pPr>
                    <w:bidi w:val="0"/>
                    <w:jc w:val="center"/>
                    <w:rPr>
                      <w:rFonts w:hint="default"/>
                      <w:color w:val="auto"/>
                      <w:sz w:val="21"/>
                      <w:szCs w:val="21"/>
                      <w:highlight w:val="none"/>
                    </w:rPr>
                  </w:pPr>
                  <w:r>
                    <w:rPr>
                      <w:rFonts w:hint="default"/>
                      <w:color w:val="auto"/>
                      <w:sz w:val="21"/>
                      <w:szCs w:val="21"/>
                      <w:highlight w:val="none"/>
                    </w:rPr>
                    <w:t>1</w:t>
                  </w:r>
                </w:p>
              </w:tc>
              <w:tc>
                <w:tcPr>
                  <w:tcW w:w="262" w:type="pct"/>
                  <w:vMerge w:val="restart"/>
                  <w:vAlign w:val="center"/>
                </w:tcPr>
                <w:p w14:paraId="653E5D16">
                  <w:pPr>
                    <w:bidi w:val="0"/>
                    <w:jc w:val="center"/>
                    <w:rPr>
                      <w:rFonts w:hint="eastAsia"/>
                      <w:color w:val="auto"/>
                      <w:sz w:val="21"/>
                      <w:szCs w:val="21"/>
                      <w:highlight w:val="none"/>
                      <w:lang w:eastAsia="zh-CN"/>
                    </w:rPr>
                  </w:pPr>
                  <w:r>
                    <w:rPr>
                      <w:rFonts w:hint="eastAsia"/>
                      <w:color w:val="auto"/>
                      <w:sz w:val="21"/>
                      <w:szCs w:val="21"/>
                      <w:highlight w:val="none"/>
                      <w:lang w:eastAsia="zh-CN"/>
                    </w:rPr>
                    <w:t>水处理间</w:t>
                  </w:r>
                </w:p>
              </w:tc>
              <w:tc>
                <w:tcPr>
                  <w:tcW w:w="669" w:type="pct"/>
                  <w:vAlign w:val="center"/>
                </w:tcPr>
                <w:p w14:paraId="5EEB7C5D">
                  <w:pPr>
                    <w:bidi w:val="0"/>
                    <w:jc w:val="center"/>
                    <w:rPr>
                      <w:rFonts w:hint="default"/>
                      <w:color w:val="auto"/>
                      <w:sz w:val="21"/>
                      <w:szCs w:val="21"/>
                      <w:highlight w:val="none"/>
                    </w:rPr>
                  </w:pPr>
                  <w:r>
                    <w:rPr>
                      <w:rFonts w:hint="eastAsia"/>
                      <w:color w:val="auto"/>
                      <w:sz w:val="21"/>
                      <w:szCs w:val="21"/>
                      <w:highlight w:val="none"/>
                      <w:lang w:val="en-US" w:eastAsia="zh-CN"/>
                    </w:rPr>
                    <w:t>活性炭过滤器</w:t>
                  </w:r>
                </w:p>
              </w:tc>
              <w:tc>
                <w:tcPr>
                  <w:tcW w:w="338" w:type="pct"/>
                  <w:vAlign w:val="center"/>
                </w:tcPr>
                <w:p w14:paraId="5B5EEA00">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5D5924F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c>
                <w:tcPr>
                  <w:tcW w:w="298" w:type="pct"/>
                  <w:vAlign w:val="center"/>
                </w:tcPr>
                <w:p w14:paraId="5B78996F">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w:t>
                  </w:r>
                </w:p>
              </w:tc>
              <w:tc>
                <w:tcPr>
                  <w:tcW w:w="342" w:type="pct"/>
                  <w:vAlign w:val="center"/>
                </w:tcPr>
                <w:p w14:paraId="14417FD3">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7</w:t>
                  </w:r>
                </w:p>
              </w:tc>
              <w:tc>
                <w:tcPr>
                  <w:tcW w:w="224" w:type="pct"/>
                  <w:vAlign w:val="center"/>
                </w:tcPr>
                <w:p w14:paraId="39E708C5">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09D17F19">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507" w:type="pct"/>
                  <w:vAlign w:val="center"/>
                </w:tcPr>
                <w:p w14:paraId="0445F964">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54.0</w:t>
                  </w:r>
                </w:p>
              </w:tc>
              <w:tc>
                <w:tcPr>
                  <w:tcW w:w="266" w:type="pct"/>
                  <w:vMerge w:val="restart"/>
                  <w:vAlign w:val="center"/>
                </w:tcPr>
                <w:p w14:paraId="7406EC9B">
                  <w:pPr>
                    <w:bidi w:val="0"/>
                    <w:jc w:val="center"/>
                    <w:rPr>
                      <w:rFonts w:hint="default"/>
                      <w:color w:val="auto"/>
                      <w:sz w:val="21"/>
                      <w:szCs w:val="21"/>
                      <w:highlight w:val="none"/>
                    </w:rPr>
                  </w:pPr>
                  <w:r>
                    <w:rPr>
                      <w:rFonts w:hint="default"/>
                      <w:color w:val="auto"/>
                      <w:sz w:val="21"/>
                      <w:szCs w:val="21"/>
                      <w:highlight w:val="none"/>
                    </w:rPr>
                    <w:t>昼</w:t>
                  </w:r>
                </w:p>
              </w:tc>
              <w:tc>
                <w:tcPr>
                  <w:tcW w:w="507" w:type="pct"/>
                  <w:vMerge w:val="restart"/>
                  <w:vAlign w:val="center"/>
                </w:tcPr>
                <w:p w14:paraId="062EAAE7">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20</w:t>
                  </w:r>
                </w:p>
              </w:tc>
              <w:tc>
                <w:tcPr>
                  <w:tcW w:w="507" w:type="pct"/>
                  <w:vAlign w:val="center"/>
                </w:tcPr>
                <w:p w14:paraId="376CF431">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34.0</w:t>
                  </w:r>
                </w:p>
              </w:tc>
              <w:tc>
                <w:tcPr>
                  <w:tcW w:w="274" w:type="pct"/>
                  <w:vAlign w:val="center"/>
                </w:tcPr>
                <w:p w14:paraId="2CA2C65E">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630B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62" w:type="pct"/>
                  <w:vAlign w:val="center"/>
                </w:tcPr>
                <w:p w14:paraId="1974747B">
                  <w:pPr>
                    <w:bidi w:val="0"/>
                    <w:jc w:val="center"/>
                    <w:rPr>
                      <w:rFonts w:hint="default"/>
                      <w:color w:val="auto"/>
                      <w:sz w:val="21"/>
                      <w:szCs w:val="21"/>
                      <w:highlight w:val="none"/>
                    </w:rPr>
                  </w:pPr>
                  <w:r>
                    <w:rPr>
                      <w:rFonts w:hint="default"/>
                      <w:color w:val="auto"/>
                      <w:sz w:val="21"/>
                      <w:szCs w:val="21"/>
                      <w:highlight w:val="none"/>
                    </w:rPr>
                    <w:t>2</w:t>
                  </w:r>
                </w:p>
              </w:tc>
              <w:tc>
                <w:tcPr>
                  <w:tcW w:w="262" w:type="pct"/>
                  <w:vMerge w:val="continue"/>
                  <w:vAlign w:val="center"/>
                </w:tcPr>
                <w:p w14:paraId="6B237393">
                  <w:pPr>
                    <w:bidi w:val="0"/>
                    <w:jc w:val="center"/>
                    <w:rPr>
                      <w:rFonts w:hint="default"/>
                      <w:color w:val="auto"/>
                      <w:sz w:val="21"/>
                      <w:szCs w:val="21"/>
                      <w:highlight w:val="none"/>
                    </w:rPr>
                  </w:pPr>
                </w:p>
              </w:tc>
              <w:tc>
                <w:tcPr>
                  <w:tcW w:w="669" w:type="pct"/>
                  <w:vAlign w:val="center"/>
                </w:tcPr>
                <w:p w14:paraId="2B352581">
                  <w:pPr>
                    <w:bidi w:val="0"/>
                    <w:jc w:val="center"/>
                    <w:rPr>
                      <w:rFonts w:hint="default"/>
                      <w:color w:val="auto"/>
                      <w:sz w:val="21"/>
                      <w:szCs w:val="21"/>
                      <w:highlight w:val="none"/>
                    </w:rPr>
                  </w:pPr>
                  <w:r>
                    <w:rPr>
                      <w:rFonts w:hint="eastAsia"/>
                      <w:color w:val="auto"/>
                      <w:sz w:val="21"/>
                      <w:szCs w:val="21"/>
                      <w:highlight w:val="none"/>
                      <w:lang w:val="en-US" w:eastAsia="zh-CN"/>
                    </w:rPr>
                    <w:t>布袋过滤器</w:t>
                  </w:r>
                </w:p>
              </w:tc>
              <w:tc>
                <w:tcPr>
                  <w:tcW w:w="338" w:type="pct"/>
                  <w:vAlign w:val="center"/>
                </w:tcPr>
                <w:p w14:paraId="00839159">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4A0C650E">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c>
                <w:tcPr>
                  <w:tcW w:w="298" w:type="pct"/>
                  <w:vAlign w:val="center"/>
                </w:tcPr>
                <w:p w14:paraId="3DFB13F1">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342" w:type="pct"/>
                  <w:vAlign w:val="center"/>
                </w:tcPr>
                <w:p w14:paraId="5423929A">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w:t>
                  </w:r>
                </w:p>
              </w:tc>
              <w:tc>
                <w:tcPr>
                  <w:tcW w:w="224" w:type="pct"/>
                  <w:vAlign w:val="center"/>
                </w:tcPr>
                <w:p w14:paraId="2EEB1AA9">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0965A71B">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507" w:type="pct"/>
                  <w:vAlign w:val="center"/>
                </w:tcPr>
                <w:p w14:paraId="0C72636D">
                  <w:pPr>
                    <w:bidi w:val="0"/>
                    <w:jc w:val="center"/>
                    <w:rPr>
                      <w:rFonts w:hint="default"/>
                      <w:color w:val="auto"/>
                      <w:sz w:val="21"/>
                      <w:szCs w:val="21"/>
                      <w:highlight w:val="none"/>
                    </w:rPr>
                  </w:pPr>
                  <w:r>
                    <w:rPr>
                      <w:rFonts w:hint="eastAsia"/>
                      <w:color w:val="auto"/>
                      <w:sz w:val="21"/>
                      <w:szCs w:val="21"/>
                      <w:highlight w:val="none"/>
                      <w:lang w:val="en-US" w:eastAsia="zh-CN"/>
                    </w:rPr>
                    <w:t>54.0</w:t>
                  </w:r>
                </w:p>
              </w:tc>
              <w:tc>
                <w:tcPr>
                  <w:tcW w:w="266" w:type="pct"/>
                  <w:vMerge w:val="continue"/>
                  <w:vAlign w:val="center"/>
                </w:tcPr>
                <w:p w14:paraId="797A93A7">
                  <w:pPr>
                    <w:bidi w:val="0"/>
                    <w:jc w:val="center"/>
                    <w:rPr>
                      <w:rFonts w:hint="default"/>
                      <w:color w:val="auto"/>
                      <w:sz w:val="21"/>
                      <w:szCs w:val="21"/>
                      <w:highlight w:val="none"/>
                    </w:rPr>
                  </w:pPr>
                </w:p>
              </w:tc>
              <w:tc>
                <w:tcPr>
                  <w:tcW w:w="507" w:type="pct"/>
                  <w:vMerge w:val="continue"/>
                  <w:vAlign w:val="center"/>
                </w:tcPr>
                <w:p w14:paraId="10ED7500">
                  <w:pPr>
                    <w:bidi w:val="0"/>
                    <w:jc w:val="center"/>
                    <w:rPr>
                      <w:rFonts w:hint="default"/>
                      <w:color w:val="auto"/>
                      <w:sz w:val="21"/>
                      <w:szCs w:val="21"/>
                      <w:highlight w:val="none"/>
                    </w:rPr>
                  </w:pPr>
                </w:p>
              </w:tc>
              <w:tc>
                <w:tcPr>
                  <w:tcW w:w="507" w:type="pct"/>
                  <w:vAlign w:val="center"/>
                </w:tcPr>
                <w:p w14:paraId="2BFA6D93">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34.0</w:t>
                  </w:r>
                </w:p>
              </w:tc>
              <w:tc>
                <w:tcPr>
                  <w:tcW w:w="274" w:type="pct"/>
                  <w:vAlign w:val="center"/>
                </w:tcPr>
                <w:p w14:paraId="17FF01F8">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7CCC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14:paraId="0DEAF4A0">
                  <w:pPr>
                    <w:bidi w:val="0"/>
                    <w:jc w:val="center"/>
                    <w:rPr>
                      <w:rFonts w:hint="default"/>
                      <w:color w:val="auto"/>
                      <w:sz w:val="21"/>
                      <w:szCs w:val="21"/>
                      <w:highlight w:val="none"/>
                    </w:rPr>
                  </w:pPr>
                  <w:r>
                    <w:rPr>
                      <w:rFonts w:hint="default"/>
                      <w:color w:val="auto"/>
                      <w:sz w:val="21"/>
                      <w:szCs w:val="21"/>
                      <w:highlight w:val="none"/>
                    </w:rPr>
                    <w:t>3</w:t>
                  </w:r>
                </w:p>
              </w:tc>
              <w:tc>
                <w:tcPr>
                  <w:tcW w:w="262" w:type="pct"/>
                  <w:vMerge w:val="continue"/>
                  <w:vAlign w:val="center"/>
                </w:tcPr>
                <w:p w14:paraId="6A3C52BF">
                  <w:pPr>
                    <w:bidi w:val="0"/>
                    <w:jc w:val="center"/>
                    <w:rPr>
                      <w:rFonts w:hint="default"/>
                      <w:color w:val="auto"/>
                      <w:sz w:val="21"/>
                      <w:szCs w:val="21"/>
                      <w:highlight w:val="none"/>
                    </w:rPr>
                  </w:pPr>
                </w:p>
              </w:tc>
              <w:tc>
                <w:tcPr>
                  <w:tcW w:w="669" w:type="pct"/>
                  <w:vAlign w:val="center"/>
                </w:tcPr>
                <w:p w14:paraId="012A399C">
                  <w:pPr>
                    <w:bidi w:val="0"/>
                    <w:jc w:val="center"/>
                    <w:rPr>
                      <w:rFonts w:hint="default"/>
                      <w:color w:val="auto"/>
                      <w:sz w:val="21"/>
                      <w:szCs w:val="21"/>
                      <w:highlight w:val="none"/>
                    </w:rPr>
                  </w:pPr>
                  <w:r>
                    <w:rPr>
                      <w:rFonts w:hint="eastAsia"/>
                      <w:color w:val="auto"/>
                      <w:sz w:val="21"/>
                      <w:szCs w:val="21"/>
                      <w:highlight w:val="none"/>
                      <w:lang w:eastAsia="zh-CN"/>
                    </w:rPr>
                    <w:t>石英砂过滤器</w:t>
                  </w:r>
                </w:p>
              </w:tc>
              <w:tc>
                <w:tcPr>
                  <w:tcW w:w="338" w:type="pct"/>
                  <w:vAlign w:val="center"/>
                </w:tcPr>
                <w:p w14:paraId="3202F96E">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64581DE3">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c>
                <w:tcPr>
                  <w:tcW w:w="298" w:type="pct"/>
                  <w:vAlign w:val="center"/>
                </w:tcPr>
                <w:p w14:paraId="52DF6165">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342" w:type="pct"/>
                  <w:vAlign w:val="center"/>
                </w:tcPr>
                <w:p w14:paraId="01DEEB10">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5</w:t>
                  </w:r>
                </w:p>
              </w:tc>
              <w:tc>
                <w:tcPr>
                  <w:tcW w:w="224" w:type="pct"/>
                  <w:vAlign w:val="center"/>
                </w:tcPr>
                <w:p w14:paraId="71CC6374">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5552C6B4">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507" w:type="pct"/>
                  <w:vAlign w:val="center"/>
                </w:tcPr>
                <w:p w14:paraId="39CE96D2">
                  <w:pPr>
                    <w:bidi w:val="0"/>
                    <w:jc w:val="center"/>
                    <w:rPr>
                      <w:rFonts w:hint="default"/>
                      <w:color w:val="auto"/>
                      <w:sz w:val="21"/>
                      <w:szCs w:val="21"/>
                      <w:highlight w:val="none"/>
                    </w:rPr>
                  </w:pPr>
                  <w:r>
                    <w:rPr>
                      <w:rFonts w:hint="eastAsia"/>
                      <w:color w:val="auto"/>
                      <w:sz w:val="21"/>
                      <w:szCs w:val="21"/>
                      <w:highlight w:val="none"/>
                      <w:lang w:val="en-US" w:eastAsia="zh-CN"/>
                    </w:rPr>
                    <w:t>54.0</w:t>
                  </w:r>
                </w:p>
              </w:tc>
              <w:tc>
                <w:tcPr>
                  <w:tcW w:w="266" w:type="pct"/>
                  <w:vMerge w:val="continue"/>
                  <w:vAlign w:val="center"/>
                </w:tcPr>
                <w:p w14:paraId="37425BD3">
                  <w:pPr>
                    <w:bidi w:val="0"/>
                    <w:jc w:val="center"/>
                    <w:rPr>
                      <w:rFonts w:hint="default"/>
                      <w:color w:val="auto"/>
                      <w:sz w:val="21"/>
                      <w:szCs w:val="21"/>
                      <w:highlight w:val="none"/>
                    </w:rPr>
                  </w:pPr>
                </w:p>
              </w:tc>
              <w:tc>
                <w:tcPr>
                  <w:tcW w:w="507" w:type="pct"/>
                  <w:vMerge w:val="continue"/>
                  <w:vAlign w:val="center"/>
                </w:tcPr>
                <w:p w14:paraId="4CC2ED1F">
                  <w:pPr>
                    <w:bidi w:val="0"/>
                    <w:jc w:val="center"/>
                    <w:rPr>
                      <w:rFonts w:hint="default"/>
                      <w:color w:val="auto"/>
                      <w:sz w:val="21"/>
                      <w:szCs w:val="21"/>
                      <w:highlight w:val="none"/>
                    </w:rPr>
                  </w:pPr>
                </w:p>
              </w:tc>
              <w:tc>
                <w:tcPr>
                  <w:tcW w:w="507" w:type="pct"/>
                  <w:vAlign w:val="center"/>
                </w:tcPr>
                <w:p w14:paraId="320B1619">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34.0</w:t>
                  </w:r>
                </w:p>
              </w:tc>
              <w:tc>
                <w:tcPr>
                  <w:tcW w:w="274" w:type="pct"/>
                  <w:vAlign w:val="center"/>
                </w:tcPr>
                <w:p w14:paraId="359A0038">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6636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14:paraId="076F6B43">
                  <w:pPr>
                    <w:bidi w:val="0"/>
                    <w:jc w:val="center"/>
                    <w:rPr>
                      <w:rFonts w:hint="default"/>
                      <w:color w:val="auto"/>
                      <w:sz w:val="21"/>
                      <w:szCs w:val="21"/>
                      <w:highlight w:val="none"/>
                    </w:rPr>
                  </w:pPr>
                  <w:r>
                    <w:rPr>
                      <w:rFonts w:hint="default"/>
                      <w:color w:val="auto"/>
                      <w:sz w:val="21"/>
                      <w:szCs w:val="21"/>
                      <w:highlight w:val="none"/>
                    </w:rPr>
                    <w:t>4</w:t>
                  </w:r>
                </w:p>
              </w:tc>
              <w:tc>
                <w:tcPr>
                  <w:tcW w:w="262" w:type="pct"/>
                  <w:vMerge w:val="continue"/>
                  <w:vAlign w:val="center"/>
                </w:tcPr>
                <w:p w14:paraId="1E571ADD">
                  <w:pPr>
                    <w:bidi w:val="0"/>
                    <w:jc w:val="center"/>
                    <w:rPr>
                      <w:rFonts w:hint="default"/>
                      <w:color w:val="auto"/>
                      <w:sz w:val="21"/>
                      <w:szCs w:val="21"/>
                      <w:highlight w:val="none"/>
                    </w:rPr>
                  </w:pPr>
                </w:p>
              </w:tc>
              <w:tc>
                <w:tcPr>
                  <w:tcW w:w="669" w:type="pct"/>
                  <w:vAlign w:val="center"/>
                </w:tcPr>
                <w:p w14:paraId="4A6F2E2C">
                  <w:pPr>
                    <w:bidi w:val="0"/>
                    <w:jc w:val="center"/>
                    <w:rPr>
                      <w:rFonts w:hint="default"/>
                      <w:color w:val="auto"/>
                      <w:sz w:val="21"/>
                      <w:szCs w:val="21"/>
                      <w:highlight w:val="none"/>
                    </w:rPr>
                  </w:pPr>
                  <w:r>
                    <w:rPr>
                      <w:rFonts w:hint="eastAsia"/>
                      <w:color w:val="auto"/>
                      <w:sz w:val="21"/>
                      <w:szCs w:val="21"/>
                      <w:highlight w:val="none"/>
                      <w:lang w:eastAsia="zh-CN"/>
                    </w:rPr>
                    <w:t>精密过滤器</w:t>
                  </w:r>
                </w:p>
              </w:tc>
              <w:tc>
                <w:tcPr>
                  <w:tcW w:w="338" w:type="pct"/>
                  <w:vAlign w:val="center"/>
                </w:tcPr>
                <w:p w14:paraId="56E96CF4">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20CAB4B3">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c>
                <w:tcPr>
                  <w:tcW w:w="298" w:type="pct"/>
                  <w:vAlign w:val="center"/>
                </w:tcPr>
                <w:p w14:paraId="39CF0B45">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342" w:type="pct"/>
                  <w:vAlign w:val="center"/>
                </w:tcPr>
                <w:p w14:paraId="6889D934">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9</w:t>
                  </w:r>
                </w:p>
              </w:tc>
              <w:tc>
                <w:tcPr>
                  <w:tcW w:w="224" w:type="pct"/>
                  <w:vAlign w:val="center"/>
                </w:tcPr>
                <w:p w14:paraId="05A3BB97">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45CE3C99">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507" w:type="pct"/>
                  <w:vAlign w:val="center"/>
                </w:tcPr>
                <w:p w14:paraId="0370E796">
                  <w:pPr>
                    <w:bidi w:val="0"/>
                    <w:jc w:val="center"/>
                    <w:rPr>
                      <w:rFonts w:hint="default"/>
                      <w:color w:val="auto"/>
                      <w:sz w:val="21"/>
                      <w:szCs w:val="21"/>
                      <w:highlight w:val="none"/>
                    </w:rPr>
                  </w:pPr>
                  <w:r>
                    <w:rPr>
                      <w:rFonts w:hint="eastAsia"/>
                      <w:color w:val="auto"/>
                      <w:sz w:val="21"/>
                      <w:szCs w:val="21"/>
                      <w:highlight w:val="none"/>
                      <w:lang w:val="en-US" w:eastAsia="zh-CN"/>
                    </w:rPr>
                    <w:t>54.0</w:t>
                  </w:r>
                </w:p>
              </w:tc>
              <w:tc>
                <w:tcPr>
                  <w:tcW w:w="266" w:type="pct"/>
                  <w:vMerge w:val="continue"/>
                  <w:vAlign w:val="center"/>
                </w:tcPr>
                <w:p w14:paraId="63F32D29">
                  <w:pPr>
                    <w:bidi w:val="0"/>
                    <w:jc w:val="center"/>
                    <w:rPr>
                      <w:rFonts w:hint="default"/>
                      <w:color w:val="auto"/>
                      <w:sz w:val="21"/>
                      <w:szCs w:val="21"/>
                      <w:highlight w:val="none"/>
                    </w:rPr>
                  </w:pPr>
                </w:p>
              </w:tc>
              <w:tc>
                <w:tcPr>
                  <w:tcW w:w="507" w:type="pct"/>
                  <w:vMerge w:val="continue"/>
                  <w:vAlign w:val="center"/>
                </w:tcPr>
                <w:p w14:paraId="6B408706">
                  <w:pPr>
                    <w:bidi w:val="0"/>
                    <w:jc w:val="center"/>
                    <w:rPr>
                      <w:rFonts w:hint="default"/>
                      <w:color w:val="auto"/>
                      <w:sz w:val="21"/>
                      <w:szCs w:val="21"/>
                      <w:highlight w:val="none"/>
                    </w:rPr>
                  </w:pPr>
                </w:p>
              </w:tc>
              <w:tc>
                <w:tcPr>
                  <w:tcW w:w="507" w:type="pct"/>
                  <w:vAlign w:val="center"/>
                </w:tcPr>
                <w:p w14:paraId="4EC8A3F6">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34.0</w:t>
                  </w:r>
                </w:p>
              </w:tc>
              <w:tc>
                <w:tcPr>
                  <w:tcW w:w="274" w:type="pct"/>
                  <w:vAlign w:val="center"/>
                </w:tcPr>
                <w:p w14:paraId="69EFF219">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15E8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14:paraId="47D40003">
                  <w:pPr>
                    <w:bidi w:val="0"/>
                    <w:jc w:val="center"/>
                    <w:rPr>
                      <w:rFonts w:hint="default"/>
                      <w:color w:val="auto"/>
                      <w:sz w:val="21"/>
                      <w:szCs w:val="21"/>
                      <w:highlight w:val="none"/>
                    </w:rPr>
                  </w:pPr>
                  <w:r>
                    <w:rPr>
                      <w:rFonts w:hint="default"/>
                      <w:color w:val="auto"/>
                      <w:sz w:val="21"/>
                      <w:szCs w:val="21"/>
                      <w:highlight w:val="none"/>
                    </w:rPr>
                    <w:t>5</w:t>
                  </w:r>
                </w:p>
              </w:tc>
              <w:tc>
                <w:tcPr>
                  <w:tcW w:w="262" w:type="pct"/>
                  <w:vMerge w:val="continue"/>
                  <w:vAlign w:val="center"/>
                </w:tcPr>
                <w:p w14:paraId="39D9B357">
                  <w:pPr>
                    <w:bidi w:val="0"/>
                    <w:jc w:val="center"/>
                    <w:rPr>
                      <w:rFonts w:hint="default"/>
                      <w:color w:val="auto"/>
                      <w:sz w:val="21"/>
                      <w:szCs w:val="21"/>
                      <w:highlight w:val="none"/>
                    </w:rPr>
                  </w:pPr>
                </w:p>
              </w:tc>
              <w:tc>
                <w:tcPr>
                  <w:tcW w:w="669" w:type="pct"/>
                  <w:vAlign w:val="center"/>
                </w:tcPr>
                <w:p w14:paraId="5EBE4BD1">
                  <w:pPr>
                    <w:bidi w:val="0"/>
                    <w:jc w:val="center"/>
                    <w:rPr>
                      <w:rFonts w:hint="default"/>
                      <w:color w:val="auto"/>
                      <w:sz w:val="21"/>
                      <w:szCs w:val="21"/>
                      <w:highlight w:val="none"/>
                    </w:rPr>
                  </w:pPr>
                  <w:r>
                    <w:rPr>
                      <w:rFonts w:hint="eastAsia"/>
                      <w:color w:val="auto"/>
                      <w:sz w:val="21"/>
                      <w:szCs w:val="21"/>
                      <w:highlight w:val="none"/>
                      <w:lang w:eastAsia="zh-CN"/>
                    </w:rPr>
                    <w:t>纳滤</w:t>
                  </w:r>
                </w:p>
              </w:tc>
              <w:tc>
                <w:tcPr>
                  <w:tcW w:w="338" w:type="pct"/>
                  <w:vAlign w:val="center"/>
                </w:tcPr>
                <w:p w14:paraId="283EFE78">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06082B1C">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c>
                <w:tcPr>
                  <w:tcW w:w="298" w:type="pct"/>
                  <w:vAlign w:val="center"/>
                </w:tcPr>
                <w:p w14:paraId="061716A6">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342" w:type="pct"/>
                  <w:vAlign w:val="center"/>
                </w:tcPr>
                <w:p w14:paraId="566CFCF1">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224" w:type="pct"/>
                  <w:vAlign w:val="center"/>
                </w:tcPr>
                <w:p w14:paraId="013E2BFC">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76CD7AD4">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507" w:type="pct"/>
                  <w:vAlign w:val="center"/>
                </w:tcPr>
                <w:p w14:paraId="3B26CEF6">
                  <w:pPr>
                    <w:bidi w:val="0"/>
                    <w:jc w:val="center"/>
                    <w:rPr>
                      <w:rFonts w:hint="default"/>
                      <w:color w:val="auto"/>
                      <w:sz w:val="21"/>
                      <w:szCs w:val="21"/>
                      <w:highlight w:val="none"/>
                    </w:rPr>
                  </w:pPr>
                  <w:r>
                    <w:rPr>
                      <w:rFonts w:hint="eastAsia"/>
                      <w:color w:val="auto"/>
                      <w:sz w:val="21"/>
                      <w:szCs w:val="21"/>
                      <w:highlight w:val="none"/>
                      <w:lang w:val="en-US" w:eastAsia="zh-CN"/>
                    </w:rPr>
                    <w:t>54.0</w:t>
                  </w:r>
                </w:p>
              </w:tc>
              <w:tc>
                <w:tcPr>
                  <w:tcW w:w="266" w:type="pct"/>
                  <w:vMerge w:val="continue"/>
                  <w:vAlign w:val="center"/>
                </w:tcPr>
                <w:p w14:paraId="78B39A28">
                  <w:pPr>
                    <w:bidi w:val="0"/>
                    <w:jc w:val="center"/>
                    <w:rPr>
                      <w:rFonts w:hint="default"/>
                      <w:color w:val="auto"/>
                      <w:sz w:val="21"/>
                      <w:szCs w:val="21"/>
                      <w:highlight w:val="none"/>
                    </w:rPr>
                  </w:pPr>
                </w:p>
              </w:tc>
              <w:tc>
                <w:tcPr>
                  <w:tcW w:w="507" w:type="pct"/>
                  <w:vMerge w:val="continue"/>
                  <w:vAlign w:val="center"/>
                </w:tcPr>
                <w:p w14:paraId="339FB18E">
                  <w:pPr>
                    <w:bidi w:val="0"/>
                    <w:jc w:val="center"/>
                    <w:rPr>
                      <w:rFonts w:hint="default"/>
                      <w:color w:val="auto"/>
                      <w:sz w:val="21"/>
                      <w:szCs w:val="21"/>
                      <w:highlight w:val="none"/>
                    </w:rPr>
                  </w:pPr>
                </w:p>
              </w:tc>
              <w:tc>
                <w:tcPr>
                  <w:tcW w:w="507" w:type="pct"/>
                  <w:vAlign w:val="center"/>
                </w:tcPr>
                <w:p w14:paraId="516FF275">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34.0</w:t>
                  </w:r>
                </w:p>
              </w:tc>
              <w:tc>
                <w:tcPr>
                  <w:tcW w:w="274" w:type="pct"/>
                  <w:vAlign w:val="center"/>
                </w:tcPr>
                <w:p w14:paraId="37818C2D">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0446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62" w:type="pct"/>
                  <w:vAlign w:val="center"/>
                </w:tcPr>
                <w:p w14:paraId="78331E05">
                  <w:pPr>
                    <w:bidi w:val="0"/>
                    <w:jc w:val="center"/>
                    <w:rPr>
                      <w:rFonts w:hint="default"/>
                      <w:color w:val="auto"/>
                      <w:sz w:val="21"/>
                      <w:szCs w:val="21"/>
                      <w:highlight w:val="none"/>
                    </w:rPr>
                  </w:pPr>
                  <w:r>
                    <w:rPr>
                      <w:rFonts w:hint="default"/>
                      <w:color w:val="auto"/>
                      <w:sz w:val="21"/>
                      <w:szCs w:val="21"/>
                      <w:highlight w:val="none"/>
                    </w:rPr>
                    <w:t>6</w:t>
                  </w:r>
                </w:p>
              </w:tc>
              <w:tc>
                <w:tcPr>
                  <w:tcW w:w="262" w:type="pct"/>
                  <w:vMerge w:val="continue"/>
                  <w:vAlign w:val="center"/>
                </w:tcPr>
                <w:p w14:paraId="5B69F6B2">
                  <w:pPr>
                    <w:bidi w:val="0"/>
                    <w:jc w:val="center"/>
                    <w:rPr>
                      <w:rFonts w:hint="default"/>
                      <w:color w:val="auto"/>
                      <w:sz w:val="21"/>
                      <w:szCs w:val="21"/>
                      <w:highlight w:val="none"/>
                    </w:rPr>
                  </w:pPr>
                </w:p>
              </w:tc>
              <w:tc>
                <w:tcPr>
                  <w:tcW w:w="669" w:type="pct"/>
                  <w:vAlign w:val="center"/>
                </w:tcPr>
                <w:p w14:paraId="66ABBCE6">
                  <w:pPr>
                    <w:bidi w:val="0"/>
                    <w:jc w:val="center"/>
                    <w:rPr>
                      <w:rFonts w:hint="default"/>
                      <w:color w:val="auto"/>
                      <w:sz w:val="21"/>
                      <w:szCs w:val="21"/>
                      <w:highlight w:val="none"/>
                    </w:rPr>
                  </w:pPr>
                  <w:r>
                    <w:rPr>
                      <w:rFonts w:hint="eastAsia"/>
                      <w:color w:val="auto"/>
                      <w:sz w:val="21"/>
                      <w:szCs w:val="21"/>
                      <w:highlight w:val="none"/>
                      <w:lang w:eastAsia="zh-CN"/>
                    </w:rPr>
                    <w:t>反渗透</w:t>
                  </w:r>
                </w:p>
              </w:tc>
              <w:tc>
                <w:tcPr>
                  <w:tcW w:w="338" w:type="pct"/>
                  <w:vAlign w:val="center"/>
                </w:tcPr>
                <w:p w14:paraId="65BC5956">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061C84E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c>
                <w:tcPr>
                  <w:tcW w:w="298" w:type="pct"/>
                  <w:vAlign w:val="center"/>
                </w:tcPr>
                <w:p w14:paraId="16773735">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w:t>
                  </w:r>
                </w:p>
              </w:tc>
              <w:tc>
                <w:tcPr>
                  <w:tcW w:w="342" w:type="pct"/>
                  <w:vAlign w:val="center"/>
                </w:tcPr>
                <w:p w14:paraId="6699B27C">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224" w:type="pct"/>
                  <w:vAlign w:val="center"/>
                </w:tcPr>
                <w:p w14:paraId="5DE2324B">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094C7E1C">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w:t>
                  </w:r>
                </w:p>
              </w:tc>
              <w:tc>
                <w:tcPr>
                  <w:tcW w:w="507" w:type="pct"/>
                  <w:vAlign w:val="center"/>
                </w:tcPr>
                <w:p w14:paraId="4C0FE7EF">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50.5</w:t>
                  </w:r>
                </w:p>
              </w:tc>
              <w:tc>
                <w:tcPr>
                  <w:tcW w:w="266" w:type="pct"/>
                  <w:vMerge w:val="continue"/>
                  <w:vAlign w:val="center"/>
                </w:tcPr>
                <w:p w14:paraId="25C3B549">
                  <w:pPr>
                    <w:bidi w:val="0"/>
                    <w:jc w:val="center"/>
                    <w:rPr>
                      <w:rFonts w:hint="default"/>
                      <w:color w:val="auto"/>
                      <w:sz w:val="21"/>
                      <w:szCs w:val="21"/>
                      <w:highlight w:val="none"/>
                    </w:rPr>
                  </w:pPr>
                </w:p>
              </w:tc>
              <w:tc>
                <w:tcPr>
                  <w:tcW w:w="507" w:type="pct"/>
                  <w:vMerge w:val="continue"/>
                  <w:vAlign w:val="center"/>
                </w:tcPr>
                <w:p w14:paraId="55BF4A96">
                  <w:pPr>
                    <w:bidi w:val="0"/>
                    <w:jc w:val="center"/>
                    <w:rPr>
                      <w:rFonts w:hint="default"/>
                      <w:color w:val="auto"/>
                      <w:sz w:val="21"/>
                      <w:szCs w:val="21"/>
                      <w:highlight w:val="none"/>
                    </w:rPr>
                  </w:pPr>
                </w:p>
              </w:tc>
              <w:tc>
                <w:tcPr>
                  <w:tcW w:w="507" w:type="pct"/>
                  <w:vAlign w:val="center"/>
                </w:tcPr>
                <w:p w14:paraId="2C069AB2">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30.5</w:t>
                  </w:r>
                </w:p>
              </w:tc>
              <w:tc>
                <w:tcPr>
                  <w:tcW w:w="274" w:type="pct"/>
                  <w:vAlign w:val="center"/>
                </w:tcPr>
                <w:p w14:paraId="19334810">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7740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62" w:type="pct"/>
                  <w:vAlign w:val="center"/>
                </w:tcPr>
                <w:p w14:paraId="4579998E">
                  <w:pPr>
                    <w:bidi w:val="0"/>
                    <w:jc w:val="center"/>
                    <w:rPr>
                      <w:rFonts w:hint="default"/>
                      <w:color w:val="auto"/>
                      <w:sz w:val="21"/>
                      <w:szCs w:val="21"/>
                      <w:highlight w:val="none"/>
                    </w:rPr>
                  </w:pPr>
                  <w:r>
                    <w:rPr>
                      <w:rFonts w:hint="default"/>
                      <w:color w:val="auto"/>
                      <w:sz w:val="21"/>
                      <w:szCs w:val="21"/>
                      <w:highlight w:val="none"/>
                    </w:rPr>
                    <w:t>7</w:t>
                  </w:r>
                </w:p>
              </w:tc>
              <w:tc>
                <w:tcPr>
                  <w:tcW w:w="262" w:type="pct"/>
                  <w:vMerge w:val="continue"/>
                  <w:vAlign w:val="center"/>
                </w:tcPr>
                <w:p w14:paraId="01A88C2E">
                  <w:pPr>
                    <w:bidi w:val="0"/>
                    <w:jc w:val="center"/>
                    <w:rPr>
                      <w:rFonts w:hint="default"/>
                      <w:color w:val="auto"/>
                      <w:sz w:val="21"/>
                      <w:szCs w:val="21"/>
                      <w:highlight w:val="none"/>
                    </w:rPr>
                  </w:pPr>
                </w:p>
              </w:tc>
              <w:tc>
                <w:tcPr>
                  <w:tcW w:w="669" w:type="pct"/>
                  <w:vAlign w:val="center"/>
                </w:tcPr>
                <w:p w14:paraId="4B29ADF6">
                  <w:pPr>
                    <w:bidi w:val="0"/>
                    <w:jc w:val="center"/>
                    <w:rPr>
                      <w:rFonts w:hint="default"/>
                      <w:color w:val="auto"/>
                      <w:sz w:val="21"/>
                      <w:szCs w:val="21"/>
                      <w:highlight w:val="none"/>
                    </w:rPr>
                  </w:pPr>
                  <w:r>
                    <w:rPr>
                      <w:rFonts w:hint="eastAsia"/>
                      <w:color w:val="auto"/>
                      <w:sz w:val="21"/>
                      <w:szCs w:val="21"/>
                      <w:highlight w:val="none"/>
                      <w:lang w:eastAsia="zh-CN"/>
                    </w:rPr>
                    <w:t>保安过滤器</w:t>
                  </w:r>
                </w:p>
              </w:tc>
              <w:tc>
                <w:tcPr>
                  <w:tcW w:w="338" w:type="pct"/>
                  <w:vAlign w:val="center"/>
                </w:tcPr>
                <w:p w14:paraId="4C420467">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6DA2CABC">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w:t>
                  </w:r>
                </w:p>
              </w:tc>
              <w:tc>
                <w:tcPr>
                  <w:tcW w:w="298" w:type="pct"/>
                  <w:vAlign w:val="center"/>
                </w:tcPr>
                <w:p w14:paraId="20CE94C0">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342" w:type="pct"/>
                  <w:vAlign w:val="center"/>
                </w:tcPr>
                <w:p w14:paraId="01DC363C">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12</w:t>
                  </w:r>
                </w:p>
              </w:tc>
              <w:tc>
                <w:tcPr>
                  <w:tcW w:w="224" w:type="pct"/>
                  <w:vAlign w:val="center"/>
                </w:tcPr>
                <w:p w14:paraId="2CAEB3CE">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4D58F418">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507" w:type="pct"/>
                  <w:vAlign w:val="center"/>
                </w:tcPr>
                <w:p w14:paraId="06FC298F">
                  <w:pPr>
                    <w:bidi w:val="0"/>
                    <w:jc w:val="center"/>
                    <w:rPr>
                      <w:rFonts w:hint="default"/>
                      <w:color w:val="auto"/>
                      <w:sz w:val="21"/>
                      <w:szCs w:val="21"/>
                      <w:highlight w:val="none"/>
                    </w:rPr>
                  </w:pPr>
                  <w:r>
                    <w:rPr>
                      <w:rFonts w:hint="eastAsia"/>
                      <w:color w:val="auto"/>
                      <w:sz w:val="21"/>
                      <w:szCs w:val="21"/>
                      <w:highlight w:val="none"/>
                      <w:lang w:val="en-US" w:eastAsia="zh-CN"/>
                    </w:rPr>
                    <w:t>50.5</w:t>
                  </w:r>
                </w:p>
              </w:tc>
              <w:tc>
                <w:tcPr>
                  <w:tcW w:w="266" w:type="pct"/>
                  <w:vMerge w:val="continue"/>
                  <w:vAlign w:val="center"/>
                </w:tcPr>
                <w:p w14:paraId="3B49E881">
                  <w:pPr>
                    <w:bidi w:val="0"/>
                    <w:jc w:val="center"/>
                    <w:rPr>
                      <w:rFonts w:hint="default"/>
                      <w:color w:val="auto"/>
                      <w:sz w:val="21"/>
                      <w:szCs w:val="21"/>
                      <w:highlight w:val="none"/>
                    </w:rPr>
                  </w:pPr>
                </w:p>
              </w:tc>
              <w:tc>
                <w:tcPr>
                  <w:tcW w:w="507" w:type="pct"/>
                  <w:vMerge w:val="continue"/>
                  <w:vAlign w:val="center"/>
                </w:tcPr>
                <w:p w14:paraId="58D7D1FC">
                  <w:pPr>
                    <w:bidi w:val="0"/>
                    <w:jc w:val="center"/>
                    <w:rPr>
                      <w:rFonts w:hint="default"/>
                      <w:color w:val="auto"/>
                      <w:sz w:val="21"/>
                      <w:szCs w:val="21"/>
                      <w:highlight w:val="none"/>
                    </w:rPr>
                  </w:pPr>
                </w:p>
              </w:tc>
              <w:tc>
                <w:tcPr>
                  <w:tcW w:w="507" w:type="pct"/>
                  <w:vAlign w:val="center"/>
                </w:tcPr>
                <w:p w14:paraId="4CFA7366">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30.5</w:t>
                  </w:r>
                </w:p>
              </w:tc>
              <w:tc>
                <w:tcPr>
                  <w:tcW w:w="274" w:type="pct"/>
                  <w:vAlign w:val="center"/>
                </w:tcPr>
                <w:p w14:paraId="24797649">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706D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14:paraId="547202A8">
                  <w:pPr>
                    <w:bidi w:val="0"/>
                    <w:jc w:val="center"/>
                    <w:rPr>
                      <w:rFonts w:hint="default"/>
                      <w:color w:val="auto"/>
                      <w:sz w:val="21"/>
                      <w:szCs w:val="21"/>
                      <w:highlight w:val="none"/>
                    </w:rPr>
                  </w:pPr>
                  <w:r>
                    <w:rPr>
                      <w:rFonts w:hint="default"/>
                      <w:color w:val="auto"/>
                      <w:sz w:val="21"/>
                      <w:szCs w:val="21"/>
                      <w:highlight w:val="none"/>
                    </w:rPr>
                    <w:t>8</w:t>
                  </w:r>
                </w:p>
              </w:tc>
              <w:tc>
                <w:tcPr>
                  <w:tcW w:w="262" w:type="pct"/>
                  <w:vMerge w:val="continue"/>
                  <w:vAlign w:val="center"/>
                </w:tcPr>
                <w:p w14:paraId="49A796A0">
                  <w:pPr>
                    <w:bidi w:val="0"/>
                    <w:jc w:val="center"/>
                    <w:rPr>
                      <w:rFonts w:hint="default"/>
                      <w:color w:val="auto"/>
                      <w:sz w:val="21"/>
                      <w:szCs w:val="21"/>
                      <w:highlight w:val="none"/>
                    </w:rPr>
                  </w:pPr>
                </w:p>
              </w:tc>
              <w:tc>
                <w:tcPr>
                  <w:tcW w:w="669" w:type="pct"/>
                  <w:vAlign w:val="center"/>
                </w:tcPr>
                <w:p w14:paraId="43643700">
                  <w:pPr>
                    <w:bidi w:val="0"/>
                    <w:jc w:val="center"/>
                    <w:rPr>
                      <w:rFonts w:hint="default"/>
                      <w:color w:val="auto"/>
                      <w:sz w:val="21"/>
                      <w:szCs w:val="21"/>
                      <w:highlight w:val="none"/>
                    </w:rPr>
                  </w:pPr>
                  <w:r>
                    <w:rPr>
                      <w:rFonts w:hint="eastAsia"/>
                      <w:color w:val="auto"/>
                      <w:sz w:val="21"/>
                      <w:szCs w:val="21"/>
                      <w:highlight w:val="none"/>
                      <w:lang w:eastAsia="zh-CN"/>
                    </w:rPr>
                    <w:t>臭氧混合系统</w:t>
                  </w:r>
                </w:p>
              </w:tc>
              <w:tc>
                <w:tcPr>
                  <w:tcW w:w="338" w:type="pct"/>
                  <w:vAlign w:val="center"/>
                </w:tcPr>
                <w:p w14:paraId="52122750">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30BCEBC4">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55</w:t>
                  </w:r>
                </w:p>
              </w:tc>
              <w:tc>
                <w:tcPr>
                  <w:tcW w:w="298" w:type="pct"/>
                  <w:vAlign w:val="center"/>
                </w:tcPr>
                <w:p w14:paraId="477978B7">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342" w:type="pct"/>
                  <w:vAlign w:val="center"/>
                </w:tcPr>
                <w:p w14:paraId="663B1422">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14</w:t>
                  </w:r>
                </w:p>
              </w:tc>
              <w:tc>
                <w:tcPr>
                  <w:tcW w:w="224" w:type="pct"/>
                  <w:vAlign w:val="center"/>
                </w:tcPr>
                <w:p w14:paraId="10EFE4E2">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0795C6A2">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507" w:type="pct"/>
                  <w:vAlign w:val="center"/>
                </w:tcPr>
                <w:p w14:paraId="64DE3CCB">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45.5</w:t>
                  </w:r>
                </w:p>
              </w:tc>
              <w:tc>
                <w:tcPr>
                  <w:tcW w:w="266" w:type="pct"/>
                  <w:vMerge w:val="continue"/>
                  <w:vAlign w:val="center"/>
                </w:tcPr>
                <w:p w14:paraId="101C76BA">
                  <w:pPr>
                    <w:bidi w:val="0"/>
                    <w:jc w:val="center"/>
                    <w:rPr>
                      <w:rFonts w:hint="default"/>
                      <w:color w:val="auto"/>
                      <w:sz w:val="21"/>
                      <w:szCs w:val="21"/>
                      <w:highlight w:val="none"/>
                    </w:rPr>
                  </w:pPr>
                </w:p>
              </w:tc>
              <w:tc>
                <w:tcPr>
                  <w:tcW w:w="507" w:type="pct"/>
                  <w:vMerge w:val="continue"/>
                  <w:vAlign w:val="center"/>
                </w:tcPr>
                <w:p w14:paraId="4F94B4A1">
                  <w:pPr>
                    <w:bidi w:val="0"/>
                    <w:jc w:val="center"/>
                    <w:rPr>
                      <w:rFonts w:hint="default"/>
                      <w:color w:val="auto"/>
                      <w:sz w:val="21"/>
                      <w:szCs w:val="21"/>
                      <w:highlight w:val="none"/>
                    </w:rPr>
                  </w:pPr>
                </w:p>
              </w:tc>
              <w:tc>
                <w:tcPr>
                  <w:tcW w:w="507" w:type="pct"/>
                  <w:vAlign w:val="center"/>
                </w:tcPr>
                <w:p w14:paraId="4A444D04">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25.5</w:t>
                  </w:r>
                </w:p>
              </w:tc>
              <w:tc>
                <w:tcPr>
                  <w:tcW w:w="274" w:type="pct"/>
                  <w:vAlign w:val="center"/>
                </w:tcPr>
                <w:p w14:paraId="4C980EDD">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3933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14:paraId="08E93A46">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9</w:t>
                  </w:r>
                </w:p>
              </w:tc>
              <w:tc>
                <w:tcPr>
                  <w:tcW w:w="262" w:type="pct"/>
                  <w:vMerge w:val="restart"/>
                  <w:vAlign w:val="center"/>
                </w:tcPr>
                <w:p w14:paraId="7D7A4CF5">
                  <w:pPr>
                    <w:bidi w:val="0"/>
                    <w:jc w:val="center"/>
                    <w:rPr>
                      <w:rFonts w:hint="eastAsia"/>
                      <w:color w:val="auto"/>
                      <w:sz w:val="21"/>
                      <w:szCs w:val="21"/>
                      <w:highlight w:val="none"/>
                      <w:lang w:eastAsia="zh-CN"/>
                    </w:rPr>
                  </w:pPr>
                  <w:r>
                    <w:rPr>
                      <w:rFonts w:hint="eastAsia"/>
                      <w:color w:val="auto"/>
                      <w:sz w:val="21"/>
                      <w:szCs w:val="21"/>
                      <w:highlight w:val="none"/>
                      <w:lang w:eastAsia="zh-CN"/>
                    </w:rPr>
                    <w:t>灌装区</w:t>
                  </w:r>
                </w:p>
              </w:tc>
              <w:tc>
                <w:tcPr>
                  <w:tcW w:w="669" w:type="pct"/>
                  <w:vAlign w:val="center"/>
                </w:tcPr>
                <w:p w14:paraId="6874CC06">
                  <w:pPr>
                    <w:bidi w:val="0"/>
                    <w:jc w:val="center"/>
                    <w:rPr>
                      <w:rFonts w:hint="eastAsia"/>
                      <w:color w:val="auto"/>
                      <w:sz w:val="21"/>
                      <w:szCs w:val="21"/>
                      <w:highlight w:val="none"/>
                      <w:lang w:eastAsia="zh-CN"/>
                    </w:rPr>
                  </w:pPr>
                  <w:r>
                    <w:rPr>
                      <w:rFonts w:hint="eastAsia"/>
                      <w:color w:val="auto"/>
                      <w:sz w:val="21"/>
                      <w:szCs w:val="21"/>
                      <w:highlight w:val="none"/>
                      <w:lang w:eastAsia="zh-CN"/>
                    </w:rPr>
                    <w:t>割膜拔盖机</w:t>
                  </w:r>
                </w:p>
              </w:tc>
              <w:tc>
                <w:tcPr>
                  <w:tcW w:w="338" w:type="pct"/>
                  <w:vAlign w:val="center"/>
                </w:tcPr>
                <w:p w14:paraId="6AD73DC4">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6A7A956A">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55</w:t>
                  </w:r>
                </w:p>
              </w:tc>
              <w:tc>
                <w:tcPr>
                  <w:tcW w:w="298" w:type="pct"/>
                  <w:vAlign w:val="center"/>
                </w:tcPr>
                <w:p w14:paraId="012F7D5A">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17</w:t>
                  </w:r>
                </w:p>
              </w:tc>
              <w:tc>
                <w:tcPr>
                  <w:tcW w:w="342" w:type="pct"/>
                  <w:vAlign w:val="center"/>
                </w:tcPr>
                <w:p w14:paraId="0E0F9D5B">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w:t>
                  </w:r>
                </w:p>
              </w:tc>
              <w:tc>
                <w:tcPr>
                  <w:tcW w:w="224" w:type="pct"/>
                  <w:vAlign w:val="center"/>
                </w:tcPr>
                <w:p w14:paraId="6EA419E1">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3DBF4189">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w:t>
                  </w:r>
                </w:p>
              </w:tc>
              <w:tc>
                <w:tcPr>
                  <w:tcW w:w="507" w:type="pct"/>
                  <w:vAlign w:val="center"/>
                </w:tcPr>
                <w:p w14:paraId="19FBF724">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43.0</w:t>
                  </w:r>
                </w:p>
              </w:tc>
              <w:tc>
                <w:tcPr>
                  <w:tcW w:w="266" w:type="pct"/>
                  <w:vMerge w:val="continue"/>
                  <w:vAlign w:val="center"/>
                </w:tcPr>
                <w:p w14:paraId="60A83A06">
                  <w:pPr>
                    <w:bidi w:val="0"/>
                    <w:jc w:val="center"/>
                    <w:rPr>
                      <w:rFonts w:hint="default"/>
                      <w:color w:val="auto"/>
                      <w:sz w:val="21"/>
                      <w:szCs w:val="21"/>
                      <w:highlight w:val="none"/>
                    </w:rPr>
                  </w:pPr>
                </w:p>
              </w:tc>
              <w:tc>
                <w:tcPr>
                  <w:tcW w:w="507" w:type="pct"/>
                  <w:vMerge w:val="continue"/>
                  <w:vAlign w:val="center"/>
                </w:tcPr>
                <w:p w14:paraId="4D99C93A">
                  <w:pPr>
                    <w:bidi w:val="0"/>
                    <w:jc w:val="center"/>
                    <w:rPr>
                      <w:rFonts w:hint="default"/>
                      <w:color w:val="auto"/>
                      <w:sz w:val="21"/>
                      <w:szCs w:val="21"/>
                      <w:highlight w:val="none"/>
                    </w:rPr>
                  </w:pPr>
                </w:p>
              </w:tc>
              <w:tc>
                <w:tcPr>
                  <w:tcW w:w="507" w:type="pct"/>
                  <w:vAlign w:val="center"/>
                </w:tcPr>
                <w:p w14:paraId="0E65B27C">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23.0</w:t>
                  </w:r>
                </w:p>
              </w:tc>
              <w:tc>
                <w:tcPr>
                  <w:tcW w:w="274" w:type="pct"/>
                  <w:vAlign w:val="center"/>
                </w:tcPr>
                <w:p w14:paraId="1A9D9CBF">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4191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14:paraId="64C15FE7">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262" w:type="pct"/>
                  <w:vMerge w:val="continue"/>
                  <w:vAlign w:val="center"/>
                </w:tcPr>
                <w:p w14:paraId="03F0C7CE">
                  <w:pPr>
                    <w:bidi w:val="0"/>
                    <w:jc w:val="center"/>
                    <w:rPr>
                      <w:rFonts w:hint="default"/>
                      <w:color w:val="auto"/>
                      <w:sz w:val="21"/>
                      <w:szCs w:val="21"/>
                      <w:highlight w:val="none"/>
                    </w:rPr>
                  </w:pPr>
                </w:p>
              </w:tc>
              <w:tc>
                <w:tcPr>
                  <w:tcW w:w="669" w:type="pct"/>
                  <w:vAlign w:val="center"/>
                </w:tcPr>
                <w:p w14:paraId="30521D5D">
                  <w:pPr>
                    <w:bidi w:val="0"/>
                    <w:jc w:val="center"/>
                    <w:rPr>
                      <w:rFonts w:hint="eastAsia"/>
                      <w:color w:val="auto"/>
                      <w:sz w:val="21"/>
                      <w:szCs w:val="21"/>
                      <w:highlight w:val="none"/>
                      <w:lang w:eastAsia="zh-CN"/>
                    </w:rPr>
                  </w:pPr>
                  <w:r>
                    <w:rPr>
                      <w:rFonts w:hint="eastAsia"/>
                      <w:color w:val="auto"/>
                      <w:sz w:val="21"/>
                      <w:szCs w:val="21"/>
                      <w:highlight w:val="none"/>
                      <w:lang w:eastAsia="zh-CN"/>
                    </w:rPr>
                    <w:t>直线外刷机</w:t>
                  </w:r>
                </w:p>
              </w:tc>
              <w:tc>
                <w:tcPr>
                  <w:tcW w:w="338" w:type="pct"/>
                  <w:vAlign w:val="center"/>
                </w:tcPr>
                <w:p w14:paraId="69DBCE24">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58C8C2D6">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70</w:t>
                  </w:r>
                </w:p>
              </w:tc>
              <w:tc>
                <w:tcPr>
                  <w:tcW w:w="298" w:type="pct"/>
                  <w:vAlign w:val="center"/>
                </w:tcPr>
                <w:p w14:paraId="6D5E3BA6">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12</w:t>
                  </w:r>
                </w:p>
              </w:tc>
              <w:tc>
                <w:tcPr>
                  <w:tcW w:w="342" w:type="pct"/>
                  <w:vAlign w:val="center"/>
                </w:tcPr>
                <w:p w14:paraId="1010FC46">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w:t>
                  </w:r>
                </w:p>
              </w:tc>
              <w:tc>
                <w:tcPr>
                  <w:tcW w:w="224" w:type="pct"/>
                  <w:vAlign w:val="center"/>
                </w:tcPr>
                <w:p w14:paraId="19E7DA98">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2A588BDF">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4</w:t>
                  </w:r>
                </w:p>
              </w:tc>
              <w:tc>
                <w:tcPr>
                  <w:tcW w:w="507" w:type="pct"/>
                  <w:vAlign w:val="center"/>
                </w:tcPr>
                <w:p w14:paraId="556DE72C">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58.0</w:t>
                  </w:r>
                </w:p>
              </w:tc>
              <w:tc>
                <w:tcPr>
                  <w:tcW w:w="266" w:type="pct"/>
                  <w:vMerge w:val="continue"/>
                  <w:vAlign w:val="center"/>
                </w:tcPr>
                <w:p w14:paraId="09F01D6B">
                  <w:pPr>
                    <w:bidi w:val="0"/>
                    <w:jc w:val="center"/>
                    <w:rPr>
                      <w:rFonts w:hint="default"/>
                      <w:color w:val="auto"/>
                      <w:sz w:val="21"/>
                      <w:szCs w:val="21"/>
                      <w:highlight w:val="none"/>
                    </w:rPr>
                  </w:pPr>
                </w:p>
              </w:tc>
              <w:tc>
                <w:tcPr>
                  <w:tcW w:w="507" w:type="pct"/>
                  <w:vMerge w:val="continue"/>
                  <w:vAlign w:val="center"/>
                </w:tcPr>
                <w:p w14:paraId="326CB95D">
                  <w:pPr>
                    <w:bidi w:val="0"/>
                    <w:jc w:val="center"/>
                    <w:rPr>
                      <w:rFonts w:hint="default"/>
                      <w:color w:val="auto"/>
                      <w:sz w:val="21"/>
                      <w:szCs w:val="21"/>
                      <w:highlight w:val="none"/>
                    </w:rPr>
                  </w:pPr>
                </w:p>
              </w:tc>
              <w:tc>
                <w:tcPr>
                  <w:tcW w:w="507" w:type="pct"/>
                  <w:vAlign w:val="center"/>
                </w:tcPr>
                <w:p w14:paraId="34326922">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38.0</w:t>
                  </w:r>
                </w:p>
              </w:tc>
              <w:tc>
                <w:tcPr>
                  <w:tcW w:w="274" w:type="pct"/>
                  <w:vAlign w:val="center"/>
                </w:tcPr>
                <w:p w14:paraId="38608EF7">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57B9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14:paraId="3322D16C">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262" w:type="pct"/>
                  <w:vMerge w:val="continue"/>
                  <w:vAlign w:val="center"/>
                </w:tcPr>
                <w:p w14:paraId="0B845F94">
                  <w:pPr>
                    <w:bidi w:val="0"/>
                    <w:jc w:val="center"/>
                    <w:rPr>
                      <w:rFonts w:hint="default"/>
                      <w:color w:val="auto"/>
                      <w:sz w:val="21"/>
                      <w:szCs w:val="21"/>
                      <w:highlight w:val="none"/>
                    </w:rPr>
                  </w:pPr>
                </w:p>
              </w:tc>
              <w:tc>
                <w:tcPr>
                  <w:tcW w:w="669" w:type="pct"/>
                  <w:vAlign w:val="center"/>
                </w:tcPr>
                <w:p w14:paraId="018974A6">
                  <w:pPr>
                    <w:bidi w:val="0"/>
                    <w:jc w:val="center"/>
                    <w:rPr>
                      <w:rFonts w:hint="eastAsia"/>
                      <w:color w:val="auto"/>
                      <w:sz w:val="21"/>
                      <w:szCs w:val="21"/>
                      <w:highlight w:val="none"/>
                      <w:lang w:eastAsia="zh-CN"/>
                    </w:rPr>
                  </w:pPr>
                  <w:r>
                    <w:rPr>
                      <w:rFonts w:hint="eastAsia"/>
                      <w:color w:val="auto"/>
                      <w:sz w:val="21"/>
                      <w:szCs w:val="21"/>
                      <w:highlight w:val="none"/>
                      <w:lang w:eastAsia="zh-CN"/>
                    </w:rPr>
                    <w:t>高压内洗机</w:t>
                  </w:r>
                </w:p>
              </w:tc>
              <w:tc>
                <w:tcPr>
                  <w:tcW w:w="338" w:type="pct"/>
                  <w:vAlign w:val="center"/>
                </w:tcPr>
                <w:p w14:paraId="6307C6F8">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1F9C153B">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70</w:t>
                  </w:r>
                </w:p>
              </w:tc>
              <w:tc>
                <w:tcPr>
                  <w:tcW w:w="298" w:type="pct"/>
                  <w:vAlign w:val="center"/>
                </w:tcPr>
                <w:p w14:paraId="1AA2A130">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342" w:type="pct"/>
                  <w:vAlign w:val="center"/>
                </w:tcPr>
                <w:p w14:paraId="4449933D">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12</w:t>
                  </w:r>
                </w:p>
              </w:tc>
              <w:tc>
                <w:tcPr>
                  <w:tcW w:w="224" w:type="pct"/>
                  <w:vAlign w:val="center"/>
                </w:tcPr>
                <w:p w14:paraId="34951863">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w:t>
                  </w:r>
                </w:p>
              </w:tc>
              <w:tc>
                <w:tcPr>
                  <w:tcW w:w="273" w:type="pct"/>
                  <w:vAlign w:val="center"/>
                </w:tcPr>
                <w:p w14:paraId="3D8C0E7F">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507" w:type="pct"/>
                  <w:vAlign w:val="center"/>
                </w:tcPr>
                <w:p w14:paraId="18B61EDB">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50.0</w:t>
                  </w:r>
                </w:p>
              </w:tc>
              <w:tc>
                <w:tcPr>
                  <w:tcW w:w="266" w:type="pct"/>
                  <w:vMerge w:val="continue"/>
                  <w:vAlign w:val="center"/>
                </w:tcPr>
                <w:p w14:paraId="1C299BB4">
                  <w:pPr>
                    <w:bidi w:val="0"/>
                    <w:jc w:val="center"/>
                    <w:rPr>
                      <w:rFonts w:hint="default"/>
                      <w:color w:val="auto"/>
                      <w:sz w:val="21"/>
                      <w:szCs w:val="21"/>
                      <w:highlight w:val="none"/>
                    </w:rPr>
                  </w:pPr>
                </w:p>
              </w:tc>
              <w:tc>
                <w:tcPr>
                  <w:tcW w:w="507" w:type="pct"/>
                  <w:vMerge w:val="continue"/>
                  <w:vAlign w:val="center"/>
                </w:tcPr>
                <w:p w14:paraId="3953D214">
                  <w:pPr>
                    <w:bidi w:val="0"/>
                    <w:jc w:val="center"/>
                    <w:rPr>
                      <w:rFonts w:hint="default"/>
                      <w:color w:val="auto"/>
                      <w:sz w:val="21"/>
                      <w:szCs w:val="21"/>
                      <w:highlight w:val="none"/>
                    </w:rPr>
                  </w:pPr>
                </w:p>
              </w:tc>
              <w:tc>
                <w:tcPr>
                  <w:tcW w:w="507" w:type="pct"/>
                  <w:vAlign w:val="center"/>
                </w:tcPr>
                <w:p w14:paraId="458D27B2">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30.0</w:t>
                  </w:r>
                </w:p>
              </w:tc>
              <w:tc>
                <w:tcPr>
                  <w:tcW w:w="274" w:type="pct"/>
                  <w:vAlign w:val="center"/>
                </w:tcPr>
                <w:p w14:paraId="69C83A39">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5357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14:paraId="58554B3F">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262" w:type="pct"/>
                  <w:vMerge w:val="continue"/>
                  <w:vAlign w:val="center"/>
                </w:tcPr>
                <w:p w14:paraId="3CDBCA2D">
                  <w:pPr>
                    <w:bidi w:val="0"/>
                    <w:jc w:val="center"/>
                    <w:rPr>
                      <w:rFonts w:hint="default"/>
                      <w:color w:val="auto"/>
                      <w:sz w:val="21"/>
                      <w:szCs w:val="21"/>
                      <w:highlight w:val="none"/>
                    </w:rPr>
                  </w:pPr>
                </w:p>
              </w:tc>
              <w:tc>
                <w:tcPr>
                  <w:tcW w:w="669" w:type="pct"/>
                  <w:vAlign w:val="center"/>
                </w:tcPr>
                <w:p w14:paraId="79976C5E">
                  <w:pPr>
                    <w:bidi w:val="0"/>
                    <w:jc w:val="center"/>
                    <w:rPr>
                      <w:rFonts w:hint="eastAsia"/>
                      <w:color w:val="auto"/>
                      <w:sz w:val="21"/>
                      <w:szCs w:val="21"/>
                      <w:highlight w:val="none"/>
                      <w:lang w:eastAsia="zh-CN"/>
                    </w:rPr>
                  </w:pPr>
                  <w:r>
                    <w:rPr>
                      <w:rFonts w:hint="eastAsia"/>
                      <w:color w:val="auto"/>
                      <w:sz w:val="21"/>
                      <w:szCs w:val="21"/>
                      <w:highlight w:val="none"/>
                      <w:lang w:eastAsia="zh-CN"/>
                    </w:rPr>
                    <w:t>吹瓶机</w:t>
                  </w:r>
                </w:p>
              </w:tc>
              <w:tc>
                <w:tcPr>
                  <w:tcW w:w="338" w:type="pct"/>
                  <w:vAlign w:val="center"/>
                </w:tcPr>
                <w:p w14:paraId="3A5D0F8B">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77CBFEF1">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298" w:type="pct"/>
                  <w:vAlign w:val="center"/>
                </w:tcPr>
                <w:p w14:paraId="349BBF57">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17</w:t>
                  </w:r>
                </w:p>
              </w:tc>
              <w:tc>
                <w:tcPr>
                  <w:tcW w:w="342" w:type="pct"/>
                  <w:vAlign w:val="center"/>
                </w:tcPr>
                <w:p w14:paraId="4F485841">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224" w:type="pct"/>
                  <w:vAlign w:val="center"/>
                </w:tcPr>
                <w:p w14:paraId="7D37D3A2">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65FABC8E">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9</w:t>
                  </w:r>
                </w:p>
              </w:tc>
              <w:tc>
                <w:tcPr>
                  <w:tcW w:w="507" w:type="pct"/>
                  <w:vAlign w:val="center"/>
                </w:tcPr>
                <w:p w14:paraId="238D5038">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55.9</w:t>
                  </w:r>
                </w:p>
              </w:tc>
              <w:tc>
                <w:tcPr>
                  <w:tcW w:w="266" w:type="pct"/>
                  <w:vMerge w:val="continue"/>
                  <w:vAlign w:val="center"/>
                </w:tcPr>
                <w:p w14:paraId="6A406FC5">
                  <w:pPr>
                    <w:bidi w:val="0"/>
                    <w:jc w:val="center"/>
                    <w:rPr>
                      <w:rFonts w:hint="default"/>
                      <w:color w:val="auto"/>
                      <w:sz w:val="21"/>
                      <w:szCs w:val="21"/>
                      <w:highlight w:val="none"/>
                    </w:rPr>
                  </w:pPr>
                </w:p>
              </w:tc>
              <w:tc>
                <w:tcPr>
                  <w:tcW w:w="507" w:type="pct"/>
                  <w:vMerge w:val="continue"/>
                  <w:vAlign w:val="center"/>
                </w:tcPr>
                <w:p w14:paraId="6983A375">
                  <w:pPr>
                    <w:bidi w:val="0"/>
                    <w:jc w:val="center"/>
                    <w:rPr>
                      <w:rFonts w:hint="default"/>
                      <w:color w:val="auto"/>
                      <w:sz w:val="21"/>
                      <w:szCs w:val="21"/>
                      <w:highlight w:val="none"/>
                    </w:rPr>
                  </w:pPr>
                </w:p>
              </w:tc>
              <w:tc>
                <w:tcPr>
                  <w:tcW w:w="507" w:type="pct"/>
                  <w:vAlign w:val="center"/>
                </w:tcPr>
                <w:p w14:paraId="23AC6755">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35.9</w:t>
                  </w:r>
                </w:p>
              </w:tc>
              <w:tc>
                <w:tcPr>
                  <w:tcW w:w="274" w:type="pct"/>
                  <w:vAlign w:val="center"/>
                </w:tcPr>
                <w:p w14:paraId="46126931">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7564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shd w:val="clear" w:color="auto" w:fill="auto"/>
                  <w:vAlign w:val="center"/>
                </w:tcPr>
                <w:p w14:paraId="2D3A5CE9">
                  <w:pPr>
                    <w:bidi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14</w:t>
                  </w:r>
                </w:p>
              </w:tc>
              <w:tc>
                <w:tcPr>
                  <w:tcW w:w="262" w:type="pct"/>
                  <w:vMerge w:val="continue"/>
                  <w:vAlign w:val="center"/>
                </w:tcPr>
                <w:p w14:paraId="2252891D">
                  <w:pPr>
                    <w:bidi w:val="0"/>
                    <w:jc w:val="center"/>
                    <w:rPr>
                      <w:rFonts w:hint="default"/>
                      <w:color w:val="auto"/>
                      <w:sz w:val="21"/>
                      <w:szCs w:val="21"/>
                      <w:highlight w:val="none"/>
                    </w:rPr>
                  </w:pPr>
                </w:p>
              </w:tc>
              <w:tc>
                <w:tcPr>
                  <w:tcW w:w="669" w:type="pct"/>
                  <w:vAlign w:val="center"/>
                </w:tcPr>
                <w:p w14:paraId="56EB4EA6">
                  <w:pPr>
                    <w:bidi w:val="0"/>
                    <w:jc w:val="center"/>
                    <w:rPr>
                      <w:rFonts w:hint="eastAsia"/>
                      <w:color w:val="auto"/>
                      <w:sz w:val="21"/>
                      <w:szCs w:val="21"/>
                      <w:highlight w:val="none"/>
                      <w:lang w:eastAsia="zh-CN"/>
                    </w:rPr>
                  </w:pPr>
                  <w:r>
                    <w:rPr>
                      <w:rFonts w:hint="eastAsia"/>
                      <w:color w:val="auto"/>
                      <w:sz w:val="21"/>
                      <w:szCs w:val="21"/>
                      <w:highlight w:val="none"/>
                      <w:lang w:eastAsia="zh-CN"/>
                    </w:rPr>
                    <w:t>贴标机</w:t>
                  </w:r>
                </w:p>
              </w:tc>
              <w:tc>
                <w:tcPr>
                  <w:tcW w:w="338" w:type="pct"/>
                  <w:vAlign w:val="center"/>
                </w:tcPr>
                <w:p w14:paraId="3A63256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2ABCA7BB">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298" w:type="pct"/>
                  <w:vAlign w:val="center"/>
                </w:tcPr>
                <w:p w14:paraId="0EEF7D02">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16</w:t>
                  </w:r>
                </w:p>
              </w:tc>
              <w:tc>
                <w:tcPr>
                  <w:tcW w:w="342" w:type="pct"/>
                  <w:vAlign w:val="center"/>
                </w:tcPr>
                <w:p w14:paraId="081F02AB">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13</w:t>
                  </w:r>
                </w:p>
              </w:tc>
              <w:tc>
                <w:tcPr>
                  <w:tcW w:w="224" w:type="pct"/>
                  <w:vAlign w:val="center"/>
                </w:tcPr>
                <w:p w14:paraId="2E743166">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01E53413">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507" w:type="pct"/>
                  <w:vAlign w:val="center"/>
                </w:tcPr>
                <w:p w14:paraId="65DE74A6">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55.0</w:t>
                  </w:r>
                </w:p>
              </w:tc>
              <w:tc>
                <w:tcPr>
                  <w:tcW w:w="266" w:type="pct"/>
                  <w:vMerge w:val="continue"/>
                  <w:vAlign w:val="center"/>
                </w:tcPr>
                <w:p w14:paraId="430B2AAB">
                  <w:pPr>
                    <w:bidi w:val="0"/>
                    <w:jc w:val="center"/>
                    <w:rPr>
                      <w:rFonts w:hint="default"/>
                      <w:color w:val="auto"/>
                      <w:sz w:val="21"/>
                      <w:szCs w:val="21"/>
                      <w:highlight w:val="none"/>
                    </w:rPr>
                  </w:pPr>
                </w:p>
              </w:tc>
              <w:tc>
                <w:tcPr>
                  <w:tcW w:w="507" w:type="pct"/>
                  <w:vMerge w:val="continue"/>
                  <w:vAlign w:val="center"/>
                </w:tcPr>
                <w:p w14:paraId="4067FE9E">
                  <w:pPr>
                    <w:bidi w:val="0"/>
                    <w:jc w:val="center"/>
                    <w:rPr>
                      <w:rFonts w:hint="default"/>
                      <w:color w:val="auto"/>
                      <w:sz w:val="21"/>
                      <w:szCs w:val="21"/>
                      <w:highlight w:val="none"/>
                    </w:rPr>
                  </w:pPr>
                </w:p>
              </w:tc>
              <w:tc>
                <w:tcPr>
                  <w:tcW w:w="507" w:type="pct"/>
                  <w:vAlign w:val="center"/>
                </w:tcPr>
                <w:p w14:paraId="31C308F5">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35.0</w:t>
                  </w:r>
                </w:p>
              </w:tc>
              <w:tc>
                <w:tcPr>
                  <w:tcW w:w="274" w:type="pct"/>
                  <w:vAlign w:val="center"/>
                </w:tcPr>
                <w:p w14:paraId="7C86A44F">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r>
            <w:tr w14:paraId="2483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shd w:val="clear" w:color="auto" w:fill="auto"/>
                  <w:vAlign w:val="center"/>
                </w:tcPr>
                <w:p w14:paraId="71256D4D">
                  <w:pPr>
                    <w:bidi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15</w:t>
                  </w:r>
                </w:p>
              </w:tc>
              <w:tc>
                <w:tcPr>
                  <w:tcW w:w="262" w:type="pct"/>
                  <w:vMerge w:val="continue"/>
                  <w:vAlign w:val="center"/>
                </w:tcPr>
                <w:p w14:paraId="3469C5BE">
                  <w:pPr>
                    <w:bidi w:val="0"/>
                    <w:jc w:val="center"/>
                    <w:rPr>
                      <w:rFonts w:hint="default"/>
                      <w:color w:val="auto"/>
                      <w:sz w:val="21"/>
                      <w:szCs w:val="21"/>
                      <w:highlight w:val="none"/>
                    </w:rPr>
                  </w:pPr>
                </w:p>
              </w:tc>
              <w:tc>
                <w:tcPr>
                  <w:tcW w:w="669" w:type="pct"/>
                  <w:vMerge w:val="restart"/>
                  <w:vAlign w:val="center"/>
                </w:tcPr>
                <w:p w14:paraId="32EF0E1C">
                  <w:pPr>
                    <w:bidi w:val="0"/>
                    <w:jc w:val="center"/>
                    <w:rPr>
                      <w:rFonts w:hint="eastAsia"/>
                      <w:color w:val="auto"/>
                      <w:sz w:val="21"/>
                      <w:szCs w:val="21"/>
                      <w:highlight w:val="none"/>
                      <w:lang w:eastAsia="zh-CN"/>
                    </w:rPr>
                  </w:pPr>
                  <w:r>
                    <w:rPr>
                      <w:rFonts w:hint="eastAsia"/>
                      <w:color w:val="auto"/>
                      <w:sz w:val="21"/>
                      <w:szCs w:val="21"/>
                      <w:highlight w:val="none"/>
                      <w:lang w:eastAsia="zh-CN"/>
                    </w:rPr>
                    <w:t>套标机</w:t>
                  </w:r>
                </w:p>
              </w:tc>
              <w:tc>
                <w:tcPr>
                  <w:tcW w:w="338" w:type="pct"/>
                  <w:vAlign w:val="center"/>
                </w:tcPr>
                <w:p w14:paraId="29024B0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5DEDD661">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298" w:type="pct"/>
                  <w:vAlign w:val="center"/>
                </w:tcPr>
                <w:p w14:paraId="6AC48CE3">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342" w:type="pct"/>
                  <w:vAlign w:val="center"/>
                </w:tcPr>
                <w:p w14:paraId="20C544CB">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22</w:t>
                  </w:r>
                </w:p>
              </w:tc>
              <w:tc>
                <w:tcPr>
                  <w:tcW w:w="224" w:type="pct"/>
                  <w:vAlign w:val="center"/>
                </w:tcPr>
                <w:p w14:paraId="6AC3E2EE">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36B46722">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507" w:type="pct"/>
                  <w:vAlign w:val="center"/>
                </w:tcPr>
                <w:p w14:paraId="47CEBAE1">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54.2</w:t>
                  </w:r>
                </w:p>
              </w:tc>
              <w:tc>
                <w:tcPr>
                  <w:tcW w:w="266" w:type="pct"/>
                  <w:vMerge w:val="continue"/>
                  <w:vAlign w:val="center"/>
                </w:tcPr>
                <w:p w14:paraId="2A7F1199">
                  <w:pPr>
                    <w:bidi w:val="0"/>
                    <w:jc w:val="center"/>
                    <w:rPr>
                      <w:rFonts w:hint="default"/>
                      <w:color w:val="auto"/>
                      <w:sz w:val="21"/>
                      <w:szCs w:val="21"/>
                      <w:highlight w:val="none"/>
                    </w:rPr>
                  </w:pPr>
                </w:p>
              </w:tc>
              <w:tc>
                <w:tcPr>
                  <w:tcW w:w="507" w:type="pct"/>
                  <w:vMerge w:val="continue"/>
                  <w:vAlign w:val="center"/>
                </w:tcPr>
                <w:p w14:paraId="47CF7630">
                  <w:pPr>
                    <w:bidi w:val="0"/>
                    <w:jc w:val="center"/>
                    <w:rPr>
                      <w:rFonts w:hint="default"/>
                      <w:color w:val="auto"/>
                      <w:sz w:val="21"/>
                      <w:szCs w:val="21"/>
                      <w:highlight w:val="none"/>
                    </w:rPr>
                  </w:pPr>
                </w:p>
              </w:tc>
              <w:tc>
                <w:tcPr>
                  <w:tcW w:w="507" w:type="pct"/>
                  <w:vAlign w:val="center"/>
                </w:tcPr>
                <w:p w14:paraId="6F88520B">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34.2</w:t>
                  </w:r>
                </w:p>
              </w:tc>
              <w:tc>
                <w:tcPr>
                  <w:tcW w:w="274" w:type="pct"/>
                  <w:vAlign w:val="center"/>
                </w:tcPr>
                <w:p w14:paraId="2946F3C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r>
            <w:tr w14:paraId="7B0C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shd w:val="clear" w:color="auto" w:fill="auto"/>
                  <w:vAlign w:val="center"/>
                </w:tcPr>
                <w:p w14:paraId="6813CCF8">
                  <w:pPr>
                    <w:bidi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16</w:t>
                  </w:r>
                </w:p>
              </w:tc>
              <w:tc>
                <w:tcPr>
                  <w:tcW w:w="262" w:type="pct"/>
                  <w:vMerge w:val="continue"/>
                  <w:vAlign w:val="center"/>
                </w:tcPr>
                <w:p w14:paraId="2825A928">
                  <w:pPr>
                    <w:bidi w:val="0"/>
                    <w:jc w:val="center"/>
                    <w:rPr>
                      <w:rFonts w:hint="default"/>
                      <w:color w:val="auto"/>
                      <w:sz w:val="21"/>
                      <w:szCs w:val="21"/>
                      <w:highlight w:val="none"/>
                    </w:rPr>
                  </w:pPr>
                </w:p>
              </w:tc>
              <w:tc>
                <w:tcPr>
                  <w:tcW w:w="669" w:type="pct"/>
                  <w:vMerge w:val="continue"/>
                  <w:vAlign w:val="center"/>
                </w:tcPr>
                <w:p w14:paraId="2B949CAC">
                  <w:pPr>
                    <w:bidi w:val="0"/>
                    <w:jc w:val="center"/>
                    <w:rPr>
                      <w:rFonts w:hint="eastAsia"/>
                      <w:color w:val="auto"/>
                      <w:sz w:val="21"/>
                      <w:szCs w:val="21"/>
                      <w:highlight w:val="none"/>
                      <w:lang w:eastAsia="zh-CN"/>
                    </w:rPr>
                  </w:pPr>
                </w:p>
              </w:tc>
              <w:tc>
                <w:tcPr>
                  <w:tcW w:w="338" w:type="pct"/>
                  <w:vAlign w:val="center"/>
                </w:tcPr>
                <w:p w14:paraId="4D8572A0">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33D55914">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298" w:type="pct"/>
                  <w:vAlign w:val="center"/>
                </w:tcPr>
                <w:p w14:paraId="0912EC70">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20</w:t>
                  </w:r>
                </w:p>
              </w:tc>
              <w:tc>
                <w:tcPr>
                  <w:tcW w:w="342" w:type="pct"/>
                  <w:vAlign w:val="center"/>
                </w:tcPr>
                <w:p w14:paraId="569F65D6">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26</w:t>
                  </w:r>
                </w:p>
              </w:tc>
              <w:tc>
                <w:tcPr>
                  <w:tcW w:w="224" w:type="pct"/>
                  <w:vAlign w:val="center"/>
                </w:tcPr>
                <w:p w14:paraId="2DC46870">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5BE6991F">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507" w:type="pct"/>
                  <w:vAlign w:val="center"/>
                </w:tcPr>
                <w:p w14:paraId="22021C27">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59.4</w:t>
                  </w:r>
                </w:p>
              </w:tc>
              <w:tc>
                <w:tcPr>
                  <w:tcW w:w="266" w:type="pct"/>
                  <w:vMerge w:val="continue"/>
                  <w:vAlign w:val="center"/>
                </w:tcPr>
                <w:p w14:paraId="1C1069B0">
                  <w:pPr>
                    <w:bidi w:val="0"/>
                    <w:jc w:val="center"/>
                    <w:rPr>
                      <w:rFonts w:hint="default"/>
                      <w:color w:val="auto"/>
                      <w:sz w:val="21"/>
                      <w:szCs w:val="21"/>
                      <w:highlight w:val="none"/>
                    </w:rPr>
                  </w:pPr>
                </w:p>
              </w:tc>
              <w:tc>
                <w:tcPr>
                  <w:tcW w:w="507" w:type="pct"/>
                  <w:vMerge w:val="continue"/>
                  <w:vAlign w:val="center"/>
                </w:tcPr>
                <w:p w14:paraId="04356F0E">
                  <w:pPr>
                    <w:bidi w:val="0"/>
                    <w:jc w:val="center"/>
                    <w:rPr>
                      <w:rFonts w:hint="default"/>
                      <w:color w:val="auto"/>
                      <w:sz w:val="21"/>
                      <w:szCs w:val="21"/>
                      <w:highlight w:val="none"/>
                    </w:rPr>
                  </w:pPr>
                </w:p>
              </w:tc>
              <w:tc>
                <w:tcPr>
                  <w:tcW w:w="507" w:type="pct"/>
                  <w:vAlign w:val="center"/>
                </w:tcPr>
                <w:p w14:paraId="65999F6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39.4</w:t>
                  </w:r>
                </w:p>
              </w:tc>
              <w:tc>
                <w:tcPr>
                  <w:tcW w:w="274" w:type="pct"/>
                  <w:vAlign w:val="center"/>
                </w:tcPr>
                <w:p w14:paraId="2BCD4EEB">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r>
            <w:tr w14:paraId="30A0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shd w:val="clear" w:color="auto" w:fill="auto"/>
                  <w:vAlign w:val="center"/>
                </w:tcPr>
                <w:p w14:paraId="2858147C">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17</w:t>
                  </w:r>
                </w:p>
              </w:tc>
              <w:tc>
                <w:tcPr>
                  <w:tcW w:w="262" w:type="pct"/>
                  <w:vMerge w:val="continue"/>
                  <w:vAlign w:val="center"/>
                </w:tcPr>
                <w:p w14:paraId="6A9E08B4">
                  <w:pPr>
                    <w:bidi w:val="0"/>
                    <w:jc w:val="center"/>
                    <w:rPr>
                      <w:rFonts w:hint="default"/>
                      <w:color w:val="auto"/>
                      <w:sz w:val="21"/>
                      <w:szCs w:val="21"/>
                      <w:highlight w:val="none"/>
                    </w:rPr>
                  </w:pPr>
                </w:p>
              </w:tc>
              <w:tc>
                <w:tcPr>
                  <w:tcW w:w="669" w:type="pct"/>
                  <w:vAlign w:val="center"/>
                </w:tcPr>
                <w:p w14:paraId="0CCDF051">
                  <w:pPr>
                    <w:bidi w:val="0"/>
                    <w:jc w:val="center"/>
                    <w:rPr>
                      <w:rFonts w:hint="eastAsia"/>
                      <w:color w:val="auto"/>
                      <w:sz w:val="21"/>
                      <w:szCs w:val="21"/>
                      <w:highlight w:val="none"/>
                      <w:lang w:eastAsia="zh-CN"/>
                    </w:rPr>
                  </w:pPr>
                  <w:r>
                    <w:rPr>
                      <w:rFonts w:hint="eastAsia"/>
                      <w:color w:val="auto"/>
                      <w:sz w:val="21"/>
                      <w:szCs w:val="21"/>
                      <w:highlight w:val="none"/>
                      <w:lang w:eastAsia="zh-CN"/>
                    </w:rPr>
                    <w:t>灌装机</w:t>
                  </w:r>
                </w:p>
              </w:tc>
              <w:tc>
                <w:tcPr>
                  <w:tcW w:w="338" w:type="pct"/>
                  <w:vAlign w:val="center"/>
                </w:tcPr>
                <w:p w14:paraId="6AF1F58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5L</w:t>
                  </w:r>
                </w:p>
              </w:tc>
              <w:tc>
                <w:tcPr>
                  <w:tcW w:w="266" w:type="pct"/>
                  <w:vAlign w:val="center"/>
                </w:tcPr>
                <w:p w14:paraId="0B2C8F31">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70</w:t>
                  </w:r>
                </w:p>
              </w:tc>
              <w:tc>
                <w:tcPr>
                  <w:tcW w:w="298" w:type="pct"/>
                  <w:vAlign w:val="center"/>
                </w:tcPr>
                <w:p w14:paraId="1DAE0894">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19</w:t>
                  </w:r>
                </w:p>
              </w:tc>
              <w:tc>
                <w:tcPr>
                  <w:tcW w:w="342" w:type="pct"/>
                  <w:vAlign w:val="center"/>
                </w:tcPr>
                <w:p w14:paraId="09F0052A">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w:t>
                  </w:r>
                </w:p>
              </w:tc>
              <w:tc>
                <w:tcPr>
                  <w:tcW w:w="224" w:type="pct"/>
                  <w:vAlign w:val="center"/>
                </w:tcPr>
                <w:p w14:paraId="17F630B5">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w:t>
                  </w:r>
                </w:p>
              </w:tc>
              <w:tc>
                <w:tcPr>
                  <w:tcW w:w="273" w:type="pct"/>
                  <w:vAlign w:val="center"/>
                </w:tcPr>
                <w:p w14:paraId="792726A1">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7</w:t>
                  </w:r>
                </w:p>
              </w:tc>
              <w:tc>
                <w:tcPr>
                  <w:tcW w:w="507" w:type="pct"/>
                  <w:vAlign w:val="center"/>
                </w:tcPr>
                <w:p w14:paraId="2DF80A35">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53.1</w:t>
                  </w:r>
                </w:p>
              </w:tc>
              <w:tc>
                <w:tcPr>
                  <w:tcW w:w="266" w:type="pct"/>
                  <w:vMerge w:val="continue"/>
                  <w:vAlign w:val="center"/>
                </w:tcPr>
                <w:p w14:paraId="465BB171">
                  <w:pPr>
                    <w:bidi w:val="0"/>
                    <w:jc w:val="center"/>
                    <w:rPr>
                      <w:rFonts w:hint="default"/>
                      <w:color w:val="auto"/>
                      <w:sz w:val="21"/>
                      <w:szCs w:val="21"/>
                      <w:highlight w:val="none"/>
                    </w:rPr>
                  </w:pPr>
                </w:p>
              </w:tc>
              <w:tc>
                <w:tcPr>
                  <w:tcW w:w="507" w:type="pct"/>
                  <w:vMerge w:val="continue"/>
                  <w:vAlign w:val="center"/>
                </w:tcPr>
                <w:p w14:paraId="58900110">
                  <w:pPr>
                    <w:bidi w:val="0"/>
                    <w:jc w:val="center"/>
                    <w:rPr>
                      <w:rFonts w:hint="default"/>
                      <w:color w:val="auto"/>
                      <w:sz w:val="21"/>
                      <w:szCs w:val="21"/>
                      <w:highlight w:val="none"/>
                    </w:rPr>
                  </w:pPr>
                </w:p>
              </w:tc>
              <w:tc>
                <w:tcPr>
                  <w:tcW w:w="507" w:type="pct"/>
                  <w:vAlign w:val="center"/>
                </w:tcPr>
                <w:p w14:paraId="79B1674C">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33.1</w:t>
                  </w:r>
                </w:p>
              </w:tc>
              <w:tc>
                <w:tcPr>
                  <w:tcW w:w="274" w:type="pct"/>
                  <w:vAlign w:val="center"/>
                </w:tcPr>
                <w:p w14:paraId="5A0F3F71">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44FF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shd w:val="clear" w:color="auto" w:fill="auto"/>
                  <w:vAlign w:val="center"/>
                </w:tcPr>
                <w:p w14:paraId="09A9DDB3">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18</w:t>
                  </w:r>
                </w:p>
              </w:tc>
              <w:tc>
                <w:tcPr>
                  <w:tcW w:w="262" w:type="pct"/>
                  <w:vMerge w:val="continue"/>
                  <w:vAlign w:val="center"/>
                </w:tcPr>
                <w:p w14:paraId="28D786D9">
                  <w:pPr>
                    <w:bidi w:val="0"/>
                    <w:jc w:val="center"/>
                    <w:rPr>
                      <w:rFonts w:hint="default"/>
                      <w:color w:val="auto"/>
                      <w:sz w:val="21"/>
                      <w:szCs w:val="21"/>
                      <w:highlight w:val="none"/>
                    </w:rPr>
                  </w:pPr>
                </w:p>
              </w:tc>
              <w:tc>
                <w:tcPr>
                  <w:tcW w:w="669" w:type="pct"/>
                  <w:vAlign w:val="center"/>
                </w:tcPr>
                <w:p w14:paraId="32A2F247">
                  <w:pPr>
                    <w:bidi w:val="0"/>
                    <w:jc w:val="center"/>
                    <w:rPr>
                      <w:rFonts w:hint="eastAsia"/>
                      <w:color w:val="auto"/>
                      <w:sz w:val="21"/>
                      <w:szCs w:val="21"/>
                      <w:highlight w:val="none"/>
                      <w:lang w:eastAsia="zh-CN"/>
                    </w:rPr>
                  </w:pPr>
                  <w:r>
                    <w:rPr>
                      <w:rFonts w:hint="eastAsia"/>
                      <w:color w:val="auto"/>
                      <w:sz w:val="21"/>
                      <w:szCs w:val="21"/>
                      <w:highlight w:val="none"/>
                      <w:lang w:eastAsia="zh-CN"/>
                    </w:rPr>
                    <w:t>桶装水灌装机</w:t>
                  </w:r>
                </w:p>
              </w:tc>
              <w:tc>
                <w:tcPr>
                  <w:tcW w:w="338" w:type="pct"/>
                  <w:vAlign w:val="center"/>
                </w:tcPr>
                <w:p w14:paraId="6D694842">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600桶</w:t>
                  </w:r>
                </w:p>
              </w:tc>
              <w:tc>
                <w:tcPr>
                  <w:tcW w:w="266" w:type="pct"/>
                  <w:vAlign w:val="center"/>
                </w:tcPr>
                <w:p w14:paraId="489DBFA9">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70</w:t>
                  </w:r>
                </w:p>
              </w:tc>
              <w:tc>
                <w:tcPr>
                  <w:tcW w:w="298" w:type="pct"/>
                  <w:vAlign w:val="center"/>
                </w:tcPr>
                <w:p w14:paraId="73299C69">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14</w:t>
                  </w:r>
                </w:p>
              </w:tc>
              <w:tc>
                <w:tcPr>
                  <w:tcW w:w="342" w:type="pct"/>
                  <w:vAlign w:val="center"/>
                </w:tcPr>
                <w:p w14:paraId="4C3EE627">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w:t>
                  </w:r>
                </w:p>
              </w:tc>
              <w:tc>
                <w:tcPr>
                  <w:tcW w:w="224" w:type="pct"/>
                  <w:vAlign w:val="center"/>
                </w:tcPr>
                <w:p w14:paraId="174086DA">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w:t>
                  </w:r>
                </w:p>
              </w:tc>
              <w:tc>
                <w:tcPr>
                  <w:tcW w:w="273" w:type="pct"/>
                  <w:vAlign w:val="center"/>
                </w:tcPr>
                <w:p w14:paraId="2456699F">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12</w:t>
                  </w:r>
                </w:p>
              </w:tc>
              <w:tc>
                <w:tcPr>
                  <w:tcW w:w="507" w:type="pct"/>
                  <w:vAlign w:val="center"/>
                </w:tcPr>
                <w:p w14:paraId="4463B097">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48.4</w:t>
                  </w:r>
                </w:p>
              </w:tc>
              <w:tc>
                <w:tcPr>
                  <w:tcW w:w="266" w:type="pct"/>
                  <w:vMerge w:val="continue"/>
                  <w:vAlign w:val="center"/>
                </w:tcPr>
                <w:p w14:paraId="3D3E34BB">
                  <w:pPr>
                    <w:bidi w:val="0"/>
                    <w:jc w:val="center"/>
                    <w:rPr>
                      <w:rFonts w:hint="default"/>
                      <w:color w:val="auto"/>
                      <w:sz w:val="21"/>
                      <w:szCs w:val="21"/>
                      <w:highlight w:val="none"/>
                    </w:rPr>
                  </w:pPr>
                </w:p>
              </w:tc>
              <w:tc>
                <w:tcPr>
                  <w:tcW w:w="507" w:type="pct"/>
                  <w:vMerge w:val="continue"/>
                  <w:vAlign w:val="center"/>
                </w:tcPr>
                <w:p w14:paraId="6A339B1E">
                  <w:pPr>
                    <w:bidi w:val="0"/>
                    <w:jc w:val="center"/>
                    <w:rPr>
                      <w:rFonts w:hint="default"/>
                      <w:color w:val="auto"/>
                      <w:sz w:val="21"/>
                      <w:szCs w:val="21"/>
                      <w:highlight w:val="none"/>
                    </w:rPr>
                  </w:pPr>
                </w:p>
              </w:tc>
              <w:tc>
                <w:tcPr>
                  <w:tcW w:w="507" w:type="pct"/>
                  <w:vAlign w:val="center"/>
                </w:tcPr>
                <w:p w14:paraId="0CDB5E4D">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28.4</w:t>
                  </w:r>
                </w:p>
              </w:tc>
              <w:tc>
                <w:tcPr>
                  <w:tcW w:w="274" w:type="pct"/>
                  <w:vAlign w:val="center"/>
                </w:tcPr>
                <w:p w14:paraId="05E1484B">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2365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shd w:val="clear" w:color="auto" w:fill="auto"/>
                  <w:vAlign w:val="center"/>
                </w:tcPr>
                <w:p w14:paraId="694B261C">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19</w:t>
                  </w:r>
                </w:p>
              </w:tc>
              <w:tc>
                <w:tcPr>
                  <w:tcW w:w="262" w:type="pct"/>
                  <w:vMerge w:val="continue"/>
                  <w:vAlign w:val="center"/>
                </w:tcPr>
                <w:p w14:paraId="37A5E7A7">
                  <w:pPr>
                    <w:bidi w:val="0"/>
                    <w:jc w:val="center"/>
                    <w:rPr>
                      <w:rFonts w:hint="default"/>
                      <w:color w:val="auto"/>
                      <w:sz w:val="21"/>
                      <w:szCs w:val="21"/>
                      <w:highlight w:val="none"/>
                    </w:rPr>
                  </w:pPr>
                </w:p>
              </w:tc>
              <w:tc>
                <w:tcPr>
                  <w:tcW w:w="669" w:type="pct"/>
                  <w:vMerge w:val="restart"/>
                  <w:vAlign w:val="center"/>
                </w:tcPr>
                <w:p w14:paraId="08EB1F1F">
                  <w:pPr>
                    <w:bidi w:val="0"/>
                    <w:jc w:val="center"/>
                    <w:rPr>
                      <w:rFonts w:hint="eastAsia"/>
                      <w:color w:val="auto"/>
                      <w:sz w:val="21"/>
                      <w:szCs w:val="21"/>
                      <w:highlight w:val="none"/>
                      <w:lang w:eastAsia="zh-CN"/>
                    </w:rPr>
                  </w:pPr>
                  <w:r>
                    <w:rPr>
                      <w:rFonts w:hint="eastAsia"/>
                      <w:color w:val="auto"/>
                      <w:sz w:val="21"/>
                      <w:szCs w:val="21"/>
                      <w:highlight w:val="none"/>
                      <w:lang w:eastAsia="zh-CN"/>
                    </w:rPr>
                    <w:t>套袋机</w:t>
                  </w:r>
                </w:p>
              </w:tc>
              <w:tc>
                <w:tcPr>
                  <w:tcW w:w="338" w:type="pct"/>
                  <w:vAlign w:val="center"/>
                </w:tcPr>
                <w:p w14:paraId="095DCDE3">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35AB282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65</w:t>
                  </w:r>
                </w:p>
              </w:tc>
              <w:tc>
                <w:tcPr>
                  <w:tcW w:w="298" w:type="pct"/>
                  <w:vAlign w:val="center"/>
                </w:tcPr>
                <w:p w14:paraId="181DBDA9">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11</w:t>
                  </w:r>
                </w:p>
              </w:tc>
              <w:tc>
                <w:tcPr>
                  <w:tcW w:w="342" w:type="pct"/>
                  <w:vAlign w:val="center"/>
                </w:tcPr>
                <w:p w14:paraId="0C6EE729">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28</w:t>
                  </w:r>
                </w:p>
              </w:tc>
              <w:tc>
                <w:tcPr>
                  <w:tcW w:w="224" w:type="pct"/>
                  <w:vAlign w:val="center"/>
                </w:tcPr>
                <w:p w14:paraId="2ADD2E82">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5CC25D2D">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11</w:t>
                  </w:r>
                </w:p>
              </w:tc>
              <w:tc>
                <w:tcPr>
                  <w:tcW w:w="507" w:type="pct"/>
                  <w:vAlign w:val="center"/>
                </w:tcPr>
                <w:p w14:paraId="2A9474E6">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44.2</w:t>
                  </w:r>
                </w:p>
              </w:tc>
              <w:tc>
                <w:tcPr>
                  <w:tcW w:w="266" w:type="pct"/>
                  <w:vMerge w:val="continue"/>
                  <w:vAlign w:val="center"/>
                </w:tcPr>
                <w:p w14:paraId="6C119184">
                  <w:pPr>
                    <w:bidi w:val="0"/>
                    <w:jc w:val="center"/>
                    <w:rPr>
                      <w:rFonts w:hint="default"/>
                      <w:color w:val="auto"/>
                      <w:sz w:val="21"/>
                      <w:szCs w:val="21"/>
                      <w:highlight w:val="none"/>
                    </w:rPr>
                  </w:pPr>
                </w:p>
              </w:tc>
              <w:tc>
                <w:tcPr>
                  <w:tcW w:w="507" w:type="pct"/>
                  <w:vMerge w:val="continue"/>
                  <w:vAlign w:val="center"/>
                </w:tcPr>
                <w:p w14:paraId="067F892C">
                  <w:pPr>
                    <w:bidi w:val="0"/>
                    <w:jc w:val="center"/>
                    <w:rPr>
                      <w:rFonts w:hint="default"/>
                      <w:color w:val="auto"/>
                      <w:sz w:val="21"/>
                      <w:szCs w:val="21"/>
                      <w:highlight w:val="none"/>
                    </w:rPr>
                  </w:pPr>
                </w:p>
              </w:tc>
              <w:tc>
                <w:tcPr>
                  <w:tcW w:w="507" w:type="pct"/>
                  <w:vAlign w:val="center"/>
                </w:tcPr>
                <w:p w14:paraId="060BCE56">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24.2</w:t>
                  </w:r>
                </w:p>
              </w:tc>
              <w:tc>
                <w:tcPr>
                  <w:tcW w:w="274" w:type="pct"/>
                  <w:vAlign w:val="center"/>
                </w:tcPr>
                <w:p w14:paraId="6F75200F">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6CA2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shd w:val="clear" w:color="auto" w:fill="auto"/>
                  <w:vAlign w:val="center"/>
                </w:tcPr>
                <w:p w14:paraId="5C5B853F">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20</w:t>
                  </w:r>
                </w:p>
              </w:tc>
              <w:tc>
                <w:tcPr>
                  <w:tcW w:w="262" w:type="pct"/>
                  <w:vMerge w:val="continue"/>
                  <w:vAlign w:val="center"/>
                </w:tcPr>
                <w:p w14:paraId="698A0404">
                  <w:pPr>
                    <w:bidi w:val="0"/>
                    <w:jc w:val="center"/>
                    <w:rPr>
                      <w:rFonts w:hint="default"/>
                      <w:color w:val="auto"/>
                      <w:sz w:val="21"/>
                      <w:szCs w:val="21"/>
                      <w:highlight w:val="none"/>
                    </w:rPr>
                  </w:pPr>
                </w:p>
              </w:tc>
              <w:tc>
                <w:tcPr>
                  <w:tcW w:w="669" w:type="pct"/>
                  <w:vMerge w:val="continue"/>
                  <w:vAlign w:val="center"/>
                </w:tcPr>
                <w:p w14:paraId="3FA185D8">
                  <w:pPr>
                    <w:bidi w:val="0"/>
                    <w:jc w:val="center"/>
                    <w:rPr>
                      <w:rFonts w:hint="eastAsia"/>
                      <w:color w:val="auto"/>
                      <w:sz w:val="21"/>
                      <w:szCs w:val="21"/>
                      <w:highlight w:val="none"/>
                      <w:lang w:eastAsia="zh-CN"/>
                    </w:rPr>
                  </w:pPr>
                </w:p>
              </w:tc>
              <w:tc>
                <w:tcPr>
                  <w:tcW w:w="338" w:type="pct"/>
                  <w:vAlign w:val="center"/>
                </w:tcPr>
                <w:p w14:paraId="4C1F513A">
                  <w:pPr>
                    <w:bidi w:val="0"/>
                    <w:jc w:val="center"/>
                    <w:rPr>
                      <w:rFonts w:hint="eastAsia"/>
                      <w:color w:val="auto"/>
                      <w:sz w:val="21"/>
                      <w:szCs w:val="21"/>
                      <w:highlight w:val="none"/>
                      <w:lang w:val="en-US" w:eastAsia="zh-CN"/>
                    </w:rPr>
                  </w:pPr>
                </w:p>
              </w:tc>
              <w:tc>
                <w:tcPr>
                  <w:tcW w:w="266" w:type="pct"/>
                  <w:vAlign w:val="center"/>
                </w:tcPr>
                <w:p w14:paraId="249C6804">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65</w:t>
                  </w:r>
                </w:p>
              </w:tc>
              <w:tc>
                <w:tcPr>
                  <w:tcW w:w="298" w:type="pct"/>
                  <w:vAlign w:val="center"/>
                </w:tcPr>
                <w:p w14:paraId="619EEB4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342" w:type="pct"/>
                  <w:vAlign w:val="center"/>
                </w:tcPr>
                <w:p w14:paraId="2B87DC9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33</w:t>
                  </w:r>
                </w:p>
              </w:tc>
              <w:tc>
                <w:tcPr>
                  <w:tcW w:w="224" w:type="pct"/>
                  <w:vAlign w:val="center"/>
                </w:tcPr>
                <w:p w14:paraId="793D4BF4">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3B5BA4C1">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507" w:type="pct"/>
                  <w:vAlign w:val="center"/>
                </w:tcPr>
                <w:p w14:paraId="3DB0451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42.7</w:t>
                  </w:r>
                </w:p>
              </w:tc>
              <w:tc>
                <w:tcPr>
                  <w:tcW w:w="266" w:type="pct"/>
                  <w:vMerge w:val="continue"/>
                  <w:vAlign w:val="center"/>
                </w:tcPr>
                <w:p w14:paraId="48510872">
                  <w:pPr>
                    <w:bidi w:val="0"/>
                    <w:jc w:val="center"/>
                    <w:rPr>
                      <w:rFonts w:hint="default"/>
                      <w:color w:val="auto"/>
                      <w:sz w:val="21"/>
                      <w:szCs w:val="21"/>
                      <w:highlight w:val="none"/>
                    </w:rPr>
                  </w:pPr>
                </w:p>
              </w:tc>
              <w:tc>
                <w:tcPr>
                  <w:tcW w:w="507" w:type="pct"/>
                  <w:vMerge w:val="continue"/>
                  <w:vAlign w:val="center"/>
                </w:tcPr>
                <w:p w14:paraId="349839A4">
                  <w:pPr>
                    <w:bidi w:val="0"/>
                    <w:jc w:val="center"/>
                    <w:rPr>
                      <w:rFonts w:hint="default"/>
                      <w:color w:val="auto"/>
                      <w:sz w:val="21"/>
                      <w:szCs w:val="21"/>
                      <w:highlight w:val="none"/>
                    </w:rPr>
                  </w:pPr>
                </w:p>
              </w:tc>
              <w:tc>
                <w:tcPr>
                  <w:tcW w:w="507" w:type="pct"/>
                  <w:vAlign w:val="center"/>
                </w:tcPr>
                <w:p w14:paraId="10FD9944">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22.7</w:t>
                  </w:r>
                </w:p>
              </w:tc>
              <w:tc>
                <w:tcPr>
                  <w:tcW w:w="274" w:type="pct"/>
                  <w:vAlign w:val="center"/>
                </w:tcPr>
                <w:p w14:paraId="08F880E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r>
            <w:tr w14:paraId="5CD7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shd w:val="clear" w:color="auto" w:fill="auto"/>
                  <w:vAlign w:val="center"/>
                </w:tcPr>
                <w:p w14:paraId="0A5641D7">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c>
                <w:tcPr>
                  <w:tcW w:w="262" w:type="pct"/>
                  <w:vMerge w:val="continue"/>
                  <w:vAlign w:val="center"/>
                </w:tcPr>
                <w:p w14:paraId="7BF9CD33">
                  <w:pPr>
                    <w:bidi w:val="0"/>
                    <w:jc w:val="center"/>
                    <w:rPr>
                      <w:rFonts w:hint="default"/>
                      <w:color w:val="auto"/>
                      <w:sz w:val="21"/>
                      <w:szCs w:val="21"/>
                      <w:highlight w:val="none"/>
                    </w:rPr>
                  </w:pPr>
                </w:p>
              </w:tc>
              <w:tc>
                <w:tcPr>
                  <w:tcW w:w="669" w:type="pct"/>
                  <w:vMerge w:val="restart"/>
                  <w:vAlign w:val="center"/>
                </w:tcPr>
                <w:p w14:paraId="616D3904">
                  <w:pPr>
                    <w:bidi w:val="0"/>
                    <w:jc w:val="center"/>
                    <w:rPr>
                      <w:rFonts w:hint="eastAsia"/>
                      <w:color w:val="auto"/>
                      <w:sz w:val="21"/>
                      <w:szCs w:val="21"/>
                      <w:highlight w:val="none"/>
                      <w:lang w:eastAsia="zh-CN"/>
                    </w:rPr>
                  </w:pPr>
                  <w:r>
                    <w:rPr>
                      <w:rFonts w:hint="eastAsia"/>
                      <w:color w:val="auto"/>
                      <w:sz w:val="21"/>
                      <w:szCs w:val="21"/>
                      <w:highlight w:val="none"/>
                      <w:lang w:eastAsia="zh-CN"/>
                    </w:rPr>
                    <w:t>喷码机</w:t>
                  </w:r>
                </w:p>
              </w:tc>
              <w:tc>
                <w:tcPr>
                  <w:tcW w:w="338" w:type="pct"/>
                  <w:vAlign w:val="center"/>
                </w:tcPr>
                <w:p w14:paraId="797ED9E8">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0F215CA7">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65</w:t>
                  </w:r>
                </w:p>
              </w:tc>
              <w:tc>
                <w:tcPr>
                  <w:tcW w:w="298" w:type="pct"/>
                  <w:vAlign w:val="center"/>
                </w:tcPr>
                <w:p w14:paraId="665056E7">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11</w:t>
                  </w:r>
                </w:p>
              </w:tc>
              <w:tc>
                <w:tcPr>
                  <w:tcW w:w="342" w:type="pct"/>
                  <w:vAlign w:val="center"/>
                </w:tcPr>
                <w:p w14:paraId="68D03639">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26</w:t>
                  </w:r>
                </w:p>
              </w:tc>
              <w:tc>
                <w:tcPr>
                  <w:tcW w:w="224" w:type="pct"/>
                  <w:vAlign w:val="center"/>
                </w:tcPr>
                <w:p w14:paraId="2C08ABA5">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03B9EE41">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11</w:t>
                  </w:r>
                </w:p>
              </w:tc>
              <w:tc>
                <w:tcPr>
                  <w:tcW w:w="507" w:type="pct"/>
                  <w:vAlign w:val="center"/>
                </w:tcPr>
                <w:p w14:paraId="59AD70BC">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44.2</w:t>
                  </w:r>
                </w:p>
              </w:tc>
              <w:tc>
                <w:tcPr>
                  <w:tcW w:w="266" w:type="pct"/>
                  <w:vMerge w:val="continue"/>
                  <w:vAlign w:val="center"/>
                </w:tcPr>
                <w:p w14:paraId="59EF71E4">
                  <w:pPr>
                    <w:bidi w:val="0"/>
                    <w:jc w:val="center"/>
                    <w:rPr>
                      <w:rFonts w:hint="default"/>
                      <w:color w:val="auto"/>
                      <w:sz w:val="21"/>
                      <w:szCs w:val="21"/>
                      <w:highlight w:val="none"/>
                    </w:rPr>
                  </w:pPr>
                </w:p>
              </w:tc>
              <w:tc>
                <w:tcPr>
                  <w:tcW w:w="507" w:type="pct"/>
                  <w:vMerge w:val="continue"/>
                  <w:vAlign w:val="center"/>
                </w:tcPr>
                <w:p w14:paraId="7945D876">
                  <w:pPr>
                    <w:bidi w:val="0"/>
                    <w:jc w:val="center"/>
                    <w:rPr>
                      <w:rFonts w:hint="default"/>
                      <w:color w:val="auto"/>
                      <w:sz w:val="21"/>
                      <w:szCs w:val="21"/>
                      <w:highlight w:val="none"/>
                    </w:rPr>
                  </w:pPr>
                </w:p>
              </w:tc>
              <w:tc>
                <w:tcPr>
                  <w:tcW w:w="507" w:type="pct"/>
                  <w:vAlign w:val="center"/>
                </w:tcPr>
                <w:p w14:paraId="0DF1826B">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24.2</w:t>
                  </w:r>
                </w:p>
              </w:tc>
              <w:tc>
                <w:tcPr>
                  <w:tcW w:w="274" w:type="pct"/>
                  <w:vAlign w:val="center"/>
                </w:tcPr>
                <w:p w14:paraId="38FF26A7">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15BB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shd w:val="clear" w:color="auto" w:fill="auto"/>
                  <w:vAlign w:val="center"/>
                </w:tcPr>
                <w:p w14:paraId="6ECE0197">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22</w:t>
                  </w:r>
                </w:p>
              </w:tc>
              <w:tc>
                <w:tcPr>
                  <w:tcW w:w="262" w:type="pct"/>
                  <w:vMerge w:val="continue"/>
                  <w:vAlign w:val="center"/>
                </w:tcPr>
                <w:p w14:paraId="5D8BEE00">
                  <w:pPr>
                    <w:bidi w:val="0"/>
                    <w:jc w:val="center"/>
                    <w:rPr>
                      <w:rFonts w:hint="default"/>
                      <w:color w:val="auto"/>
                      <w:sz w:val="21"/>
                      <w:szCs w:val="21"/>
                      <w:highlight w:val="none"/>
                    </w:rPr>
                  </w:pPr>
                </w:p>
              </w:tc>
              <w:tc>
                <w:tcPr>
                  <w:tcW w:w="669" w:type="pct"/>
                  <w:vMerge w:val="continue"/>
                  <w:vAlign w:val="center"/>
                </w:tcPr>
                <w:p w14:paraId="1F698BAE">
                  <w:pPr>
                    <w:bidi w:val="0"/>
                    <w:jc w:val="center"/>
                    <w:rPr>
                      <w:rFonts w:hint="eastAsia"/>
                      <w:color w:val="auto"/>
                      <w:sz w:val="21"/>
                      <w:szCs w:val="21"/>
                      <w:highlight w:val="none"/>
                      <w:lang w:eastAsia="zh-CN"/>
                    </w:rPr>
                  </w:pPr>
                </w:p>
              </w:tc>
              <w:tc>
                <w:tcPr>
                  <w:tcW w:w="338" w:type="pct"/>
                  <w:vAlign w:val="center"/>
                </w:tcPr>
                <w:p w14:paraId="00D4F202">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5BA1CC57">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65</w:t>
                  </w:r>
                </w:p>
              </w:tc>
              <w:tc>
                <w:tcPr>
                  <w:tcW w:w="298" w:type="pct"/>
                  <w:vAlign w:val="center"/>
                </w:tcPr>
                <w:p w14:paraId="04DD6FAB">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w:t>
                  </w:r>
                </w:p>
              </w:tc>
              <w:tc>
                <w:tcPr>
                  <w:tcW w:w="342" w:type="pct"/>
                  <w:vAlign w:val="center"/>
                </w:tcPr>
                <w:p w14:paraId="0487AD5A">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28</w:t>
                  </w:r>
                </w:p>
              </w:tc>
              <w:tc>
                <w:tcPr>
                  <w:tcW w:w="224" w:type="pct"/>
                  <w:vAlign w:val="center"/>
                </w:tcPr>
                <w:p w14:paraId="0BA7ECE8">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2C532BAB">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w:t>
                  </w:r>
                </w:p>
              </w:tc>
              <w:tc>
                <w:tcPr>
                  <w:tcW w:w="507" w:type="pct"/>
                  <w:vAlign w:val="center"/>
                </w:tcPr>
                <w:p w14:paraId="5E41D988">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49.4</w:t>
                  </w:r>
                </w:p>
              </w:tc>
              <w:tc>
                <w:tcPr>
                  <w:tcW w:w="266" w:type="pct"/>
                  <w:vMerge w:val="continue"/>
                  <w:vAlign w:val="center"/>
                </w:tcPr>
                <w:p w14:paraId="055DF817">
                  <w:pPr>
                    <w:bidi w:val="0"/>
                    <w:jc w:val="center"/>
                    <w:rPr>
                      <w:rFonts w:hint="default"/>
                      <w:color w:val="auto"/>
                      <w:sz w:val="21"/>
                      <w:szCs w:val="21"/>
                      <w:highlight w:val="none"/>
                    </w:rPr>
                  </w:pPr>
                </w:p>
              </w:tc>
              <w:tc>
                <w:tcPr>
                  <w:tcW w:w="507" w:type="pct"/>
                  <w:vMerge w:val="continue"/>
                  <w:vAlign w:val="center"/>
                </w:tcPr>
                <w:p w14:paraId="5491C69C">
                  <w:pPr>
                    <w:bidi w:val="0"/>
                    <w:jc w:val="center"/>
                    <w:rPr>
                      <w:rFonts w:hint="default"/>
                      <w:color w:val="auto"/>
                      <w:sz w:val="21"/>
                      <w:szCs w:val="21"/>
                      <w:highlight w:val="none"/>
                    </w:rPr>
                  </w:pPr>
                </w:p>
              </w:tc>
              <w:tc>
                <w:tcPr>
                  <w:tcW w:w="507" w:type="pct"/>
                  <w:vAlign w:val="center"/>
                </w:tcPr>
                <w:p w14:paraId="16BC0B1B">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29.4</w:t>
                  </w:r>
                </w:p>
              </w:tc>
              <w:tc>
                <w:tcPr>
                  <w:tcW w:w="274" w:type="pct"/>
                  <w:vAlign w:val="center"/>
                </w:tcPr>
                <w:p w14:paraId="5752F6B9">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5F77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shd w:val="clear" w:color="auto" w:fill="auto"/>
                  <w:vAlign w:val="center"/>
                </w:tcPr>
                <w:p w14:paraId="4E08970A">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23</w:t>
                  </w:r>
                </w:p>
              </w:tc>
              <w:tc>
                <w:tcPr>
                  <w:tcW w:w="262" w:type="pct"/>
                  <w:vMerge w:val="continue"/>
                  <w:vAlign w:val="center"/>
                </w:tcPr>
                <w:p w14:paraId="5895C401">
                  <w:pPr>
                    <w:bidi w:val="0"/>
                    <w:jc w:val="center"/>
                    <w:rPr>
                      <w:rFonts w:hint="default"/>
                      <w:color w:val="auto"/>
                      <w:sz w:val="21"/>
                      <w:szCs w:val="21"/>
                      <w:highlight w:val="none"/>
                    </w:rPr>
                  </w:pPr>
                </w:p>
              </w:tc>
              <w:tc>
                <w:tcPr>
                  <w:tcW w:w="669" w:type="pct"/>
                  <w:vAlign w:val="center"/>
                </w:tcPr>
                <w:p w14:paraId="26A99A19">
                  <w:pPr>
                    <w:bidi w:val="0"/>
                    <w:jc w:val="center"/>
                    <w:rPr>
                      <w:rFonts w:hint="eastAsia"/>
                      <w:color w:val="auto"/>
                      <w:sz w:val="21"/>
                      <w:szCs w:val="21"/>
                      <w:highlight w:val="none"/>
                      <w:lang w:eastAsia="zh-CN"/>
                    </w:rPr>
                  </w:pPr>
                  <w:r>
                    <w:rPr>
                      <w:rFonts w:hint="eastAsia"/>
                      <w:color w:val="auto"/>
                      <w:sz w:val="21"/>
                      <w:szCs w:val="21"/>
                      <w:highlight w:val="none"/>
                      <w:lang w:eastAsia="zh-CN"/>
                    </w:rPr>
                    <w:t>热缩机</w:t>
                  </w:r>
                </w:p>
              </w:tc>
              <w:tc>
                <w:tcPr>
                  <w:tcW w:w="338" w:type="pct"/>
                  <w:vAlign w:val="center"/>
                </w:tcPr>
                <w:p w14:paraId="33BBBA3D">
                  <w:pPr>
                    <w:bidi w:val="0"/>
                    <w:jc w:val="center"/>
                    <w:rPr>
                      <w:rFonts w:hint="eastAsia"/>
                      <w:color w:val="auto"/>
                      <w:sz w:val="21"/>
                      <w:szCs w:val="21"/>
                      <w:highlight w:val="none"/>
                      <w:lang w:val="en-US" w:eastAsia="zh-CN"/>
                    </w:rPr>
                  </w:pPr>
                </w:p>
              </w:tc>
              <w:tc>
                <w:tcPr>
                  <w:tcW w:w="266" w:type="pct"/>
                  <w:vAlign w:val="center"/>
                </w:tcPr>
                <w:p w14:paraId="55471741">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65</w:t>
                  </w:r>
                </w:p>
              </w:tc>
              <w:tc>
                <w:tcPr>
                  <w:tcW w:w="298" w:type="pct"/>
                  <w:vAlign w:val="center"/>
                </w:tcPr>
                <w:p w14:paraId="35770397">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342" w:type="pct"/>
                  <w:vAlign w:val="center"/>
                </w:tcPr>
                <w:p w14:paraId="79FF9E01">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224" w:type="pct"/>
                  <w:vAlign w:val="center"/>
                </w:tcPr>
                <w:p w14:paraId="5958CC10">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2D09C3EB">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507" w:type="pct"/>
                  <w:vAlign w:val="center"/>
                </w:tcPr>
                <w:p w14:paraId="05476DD6">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44.2</w:t>
                  </w:r>
                </w:p>
              </w:tc>
              <w:tc>
                <w:tcPr>
                  <w:tcW w:w="266" w:type="pct"/>
                  <w:vMerge w:val="continue"/>
                  <w:vAlign w:val="center"/>
                </w:tcPr>
                <w:p w14:paraId="5119E690">
                  <w:pPr>
                    <w:bidi w:val="0"/>
                    <w:jc w:val="center"/>
                    <w:rPr>
                      <w:rFonts w:hint="default"/>
                      <w:color w:val="auto"/>
                      <w:sz w:val="21"/>
                      <w:szCs w:val="21"/>
                      <w:highlight w:val="none"/>
                    </w:rPr>
                  </w:pPr>
                </w:p>
              </w:tc>
              <w:tc>
                <w:tcPr>
                  <w:tcW w:w="507" w:type="pct"/>
                  <w:vMerge w:val="continue"/>
                  <w:vAlign w:val="center"/>
                </w:tcPr>
                <w:p w14:paraId="1AB83588">
                  <w:pPr>
                    <w:bidi w:val="0"/>
                    <w:jc w:val="center"/>
                    <w:rPr>
                      <w:rFonts w:hint="default"/>
                      <w:color w:val="auto"/>
                      <w:sz w:val="21"/>
                      <w:szCs w:val="21"/>
                      <w:highlight w:val="none"/>
                    </w:rPr>
                  </w:pPr>
                </w:p>
              </w:tc>
              <w:tc>
                <w:tcPr>
                  <w:tcW w:w="507" w:type="pct"/>
                  <w:vAlign w:val="center"/>
                </w:tcPr>
                <w:p w14:paraId="0D0C9CFE">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24.2</w:t>
                  </w:r>
                </w:p>
              </w:tc>
              <w:tc>
                <w:tcPr>
                  <w:tcW w:w="274" w:type="pct"/>
                  <w:vAlign w:val="center"/>
                </w:tcPr>
                <w:p w14:paraId="4FB8E1B6">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r>
            <w:tr w14:paraId="2815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shd w:val="clear" w:color="auto" w:fill="auto"/>
                  <w:vAlign w:val="center"/>
                </w:tcPr>
                <w:p w14:paraId="7A5D423F">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c>
                <w:tcPr>
                  <w:tcW w:w="262" w:type="pct"/>
                  <w:vMerge w:val="continue"/>
                  <w:vAlign w:val="center"/>
                </w:tcPr>
                <w:p w14:paraId="0B69133C">
                  <w:pPr>
                    <w:bidi w:val="0"/>
                    <w:jc w:val="center"/>
                    <w:rPr>
                      <w:rFonts w:hint="default"/>
                      <w:color w:val="auto"/>
                      <w:sz w:val="21"/>
                      <w:szCs w:val="21"/>
                      <w:highlight w:val="none"/>
                    </w:rPr>
                  </w:pPr>
                </w:p>
              </w:tc>
              <w:tc>
                <w:tcPr>
                  <w:tcW w:w="669" w:type="pct"/>
                  <w:vAlign w:val="center"/>
                </w:tcPr>
                <w:p w14:paraId="3EABF64F">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封包机</w:t>
                  </w:r>
                </w:p>
              </w:tc>
              <w:tc>
                <w:tcPr>
                  <w:tcW w:w="338" w:type="pct"/>
                  <w:vAlign w:val="center"/>
                </w:tcPr>
                <w:p w14:paraId="18DA95AB">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3FDC4C31">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65</w:t>
                  </w:r>
                </w:p>
              </w:tc>
              <w:tc>
                <w:tcPr>
                  <w:tcW w:w="298" w:type="pct"/>
                  <w:vAlign w:val="center"/>
                </w:tcPr>
                <w:p w14:paraId="7160D580">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w:t>
                  </w:r>
                </w:p>
              </w:tc>
              <w:tc>
                <w:tcPr>
                  <w:tcW w:w="342" w:type="pct"/>
                  <w:vAlign w:val="center"/>
                </w:tcPr>
                <w:p w14:paraId="3A931227">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33</w:t>
                  </w:r>
                </w:p>
              </w:tc>
              <w:tc>
                <w:tcPr>
                  <w:tcW w:w="224" w:type="pct"/>
                  <w:vAlign w:val="center"/>
                </w:tcPr>
                <w:p w14:paraId="40892DAF">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47D53F22">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w:t>
                  </w:r>
                </w:p>
              </w:tc>
              <w:tc>
                <w:tcPr>
                  <w:tcW w:w="507" w:type="pct"/>
                  <w:vAlign w:val="center"/>
                </w:tcPr>
                <w:p w14:paraId="4E4BE862">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49.4</w:t>
                  </w:r>
                </w:p>
              </w:tc>
              <w:tc>
                <w:tcPr>
                  <w:tcW w:w="266" w:type="pct"/>
                  <w:vMerge w:val="continue"/>
                  <w:vAlign w:val="center"/>
                </w:tcPr>
                <w:p w14:paraId="7DE1C446">
                  <w:pPr>
                    <w:bidi w:val="0"/>
                    <w:jc w:val="center"/>
                    <w:rPr>
                      <w:rFonts w:hint="default"/>
                      <w:color w:val="auto"/>
                      <w:sz w:val="21"/>
                      <w:szCs w:val="21"/>
                      <w:highlight w:val="none"/>
                    </w:rPr>
                  </w:pPr>
                </w:p>
              </w:tc>
              <w:tc>
                <w:tcPr>
                  <w:tcW w:w="507" w:type="pct"/>
                  <w:vMerge w:val="continue"/>
                  <w:vAlign w:val="center"/>
                </w:tcPr>
                <w:p w14:paraId="36060447">
                  <w:pPr>
                    <w:bidi w:val="0"/>
                    <w:jc w:val="center"/>
                    <w:rPr>
                      <w:rFonts w:hint="default"/>
                      <w:color w:val="auto"/>
                      <w:sz w:val="21"/>
                      <w:szCs w:val="21"/>
                      <w:highlight w:val="none"/>
                    </w:rPr>
                  </w:pPr>
                </w:p>
              </w:tc>
              <w:tc>
                <w:tcPr>
                  <w:tcW w:w="507" w:type="pct"/>
                  <w:vAlign w:val="center"/>
                </w:tcPr>
                <w:p w14:paraId="55B3993A">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29.4</w:t>
                  </w:r>
                </w:p>
              </w:tc>
              <w:tc>
                <w:tcPr>
                  <w:tcW w:w="274" w:type="pct"/>
                  <w:vAlign w:val="center"/>
                </w:tcPr>
                <w:p w14:paraId="4753D1EC">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r w14:paraId="2F2C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shd w:val="clear" w:color="auto" w:fill="auto"/>
                  <w:vAlign w:val="center"/>
                </w:tcPr>
                <w:p w14:paraId="73979B32">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25</w:t>
                  </w:r>
                </w:p>
              </w:tc>
              <w:tc>
                <w:tcPr>
                  <w:tcW w:w="262" w:type="pct"/>
                  <w:vMerge w:val="continue"/>
                  <w:vAlign w:val="center"/>
                </w:tcPr>
                <w:p w14:paraId="5E6242E0">
                  <w:pPr>
                    <w:bidi w:val="0"/>
                    <w:jc w:val="center"/>
                    <w:rPr>
                      <w:rFonts w:hint="default"/>
                      <w:color w:val="auto"/>
                      <w:sz w:val="21"/>
                      <w:szCs w:val="21"/>
                      <w:highlight w:val="none"/>
                    </w:rPr>
                  </w:pPr>
                </w:p>
              </w:tc>
              <w:tc>
                <w:tcPr>
                  <w:tcW w:w="669" w:type="pct"/>
                  <w:vAlign w:val="center"/>
                </w:tcPr>
                <w:p w14:paraId="521386B3">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理瓶机</w:t>
                  </w:r>
                </w:p>
              </w:tc>
              <w:tc>
                <w:tcPr>
                  <w:tcW w:w="338" w:type="pct"/>
                  <w:vAlign w:val="center"/>
                </w:tcPr>
                <w:p w14:paraId="6FD47F35">
                  <w:pPr>
                    <w:bidi w:val="0"/>
                    <w:jc w:val="center"/>
                    <w:rPr>
                      <w:rFonts w:hint="eastAsia"/>
                      <w:color w:val="auto"/>
                      <w:sz w:val="21"/>
                      <w:szCs w:val="21"/>
                      <w:highlight w:val="none"/>
                      <w:lang w:val="en-US" w:eastAsia="zh-CN"/>
                    </w:rPr>
                  </w:pPr>
                </w:p>
              </w:tc>
              <w:tc>
                <w:tcPr>
                  <w:tcW w:w="266" w:type="pct"/>
                  <w:vAlign w:val="center"/>
                </w:tcPr>
                <w:p w14:paraId="44629263">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70</w:t>
                  </w:r>
                </w:p>
              </w:tc>
              <w:tc>
                <w:tcPr>
                  <w:tcW w:w="298" w:type="pct"/>
                  <w:vAlign w:val="center"/>
                </w:tcPr>
                <w:p w14:paraId="0D5B3DE1">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20</w:t>
                  </w:r>
                </w:p>
              </w:tc>
              <w:tc>
                <w:tcPr>
                  <w:tcW w:w="342" w:type="pct"/>
                  <w:vAlign w:val="center"/>
                </w:tcPr>
                <w:p w14:paraId="00FCFAF6">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30</w:t>
                  </w:r>
                </w:p>
              </w:tc>
              <w:tc>
                <w:tcPr>
                  <w:tcW w:w="224" w:type="pct"/>
                  <w:vAlign w:val="center"/>
                </w:tcPr>
                <w:p w14:paraId="37D5B0E0">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18358027">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507" w:type="pct"/>
                  <w:vAlign w:val="center"/>
                </w:tcPr>
                <w:p w14:paraId="2C25D576">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54.4</w:t>
                  </w:r>
                </w:p>
              </w:tc>
              <w:tc>
                <w:tcPr>
                  <w:tcW w:w="266" w:type="pct"/>
                  <w:vMerge w:val="continue"/>
                  <w:vAlign w:val="center"/>
                </w:tcPr>
                <w:p w14:paraId="64C213CC">
                  <w:pPr>
                    <w:bidi w:val="0"/>
                    <w:jc w:val="center"/>
                    <w:rPr>
                      <w:rFonts w:hint="default"/>
                      <w:color w:val="auto"/>
                      <w:sz w:val="21"/>
                      <w:szCs w:val="21"/>
                      <w:highlight w:val="none"/>
                    </w:rPr>
                  </w:pPr>
                </w:p>
              </w:tc>
              <w:tc>
                <w:tcPr>
                  <w:tcW w:w="507" w:type="pct"/>
                  <w:vMerge w:val="continue"/>
                  <w:vAlign w:val="center"/>
                </w:tcPr>
                <w:p w14:paraId="3A2C8E08">
                  <w:pPr>
                    <w:bidi w:val="0"/>
                    <w:jc w:val="center"/>
                    <w:rPr>
                      <w:rFonts w:hint="default"/>
                      <w:color w:val="auto"/>
                      <w:sz w:val="21"/>
                      <w:szCs w:val="21"/>
                      <w:highlight w:val="none"/>
                    </w:rPr>
                  </w:pPr>
                </w:p>
              </w:tc>
              <w:tc>
                <w:tcPr>
                  <w:tcW w:w="507" w:type="pct"/>
                  <w:vAlign w:val="center"/>
                </w:tcPr>
                <w:p w14:paraId="4B00CADF">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34.4</w:t>
                  </w:r>
                </w:p>
              </w:tc>
              <w:tc>
                <w:tcPr>
                  <w:tcW w:w="274" w:type="pct"/>
                  <w:vAlign w:val="center"/>
                </w:tcPr>
                <w:p w14:paraId="646B8085">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r>
            <w:tr w14:paraId="1FE2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shd w:val="clear" w:color="auto" w:fill="auto"/>
                  <w:vAlign w:val="center"/>
                </w:tcPr>
                <w:p w14:paraId="714A718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26</w:t>
                  </w:r>
                </w:p>
              </w:tc>
              <w:tc>
                <w:tcPr>
                  <w:tcW w:w="262" w:type="pct"/>
                  <w:vMerge w:val="continue"/>
                  <w:vAlign w:val="center"/>
                </w:tcPr>
                <w:p w14:paraId="22D6A48C">
                  <w:pPr>
                    <w:bidi w:val="0"/>
                    <w:jc w:val="center"/>
                    <w:rPr>
                      <w:rFonts w:hint="default"/>
                      <w:color w:val="auto"/>
                      <w:sz w:val="21"/>
                      <w:szCs w:val="21"/>
                      <w:highlight w:val="none"/>
                    </w:rPr>
                  </w:pPr>
                </w:p>
              </w:tc>
              <w:tc>
                <w:tcPr>
                  <w:tcW w:w="669" w:type="pct"/>
                  <w:vAlign w:val="center"/>
                </w:tcPr>
                <w:p w14:paraId="327D4027">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码垛机</w:t>
                  </w:r>
                </w:p>
              </w:tc>
              <w:tc>
                <w:tcPr>
                  <w:tcW w:w="338" w:type="pct"/>
                  <w:vAlign w:val="center"/>
                </w:tcPr>
                <w:p w14:paraId="03746DBB">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2EC47894">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298" w:type="pct"/>
                  <w:vAlign w:val="center"/>
                </w:tcPr>
                <w:p w14:paraId="2D387CF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342" w:type="pct"/>
                  <w:vAlign w:val="center"/>
                </w:tcPr>
                <w:p w14:paraId="4293F9A4">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33</w:t>
                  </w:r>
                </w:p>
              </w:tc>
              <w:tc>
                <w:tcPr>
                  <w:tcW w:w="224" w:type="pct"/>
                  <w:vAlign w:val="center"/>
                </w:tcPr>
                <w:p w14:paraId="2F466798">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772DFFB0">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507" w:type="pct"/>
                  <w:vAlign w:val="center"/>
                </w:tcPr>
                <w:p w14:paraId="6D5533C7">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55.9</w:t>
                  </w:r>
                </w:p>
              </w:tc>
              <w:tc>
                <w:tcPr>
                  <w:tcW w:w="266" w:type="pct"/>
                  <w:vMerge w:val="continue"/>
                  <w:vAlign w:val="center"/>
                </w:tcPr>
                <w:p w14:paraId="7B2DB66B">
                  <w:pPr>
                    <w:bidi w:val="0"/>
                    <w:jc w:val="center"/>
                    <w:rPr>
                      <w:rFonts w:hint="default"/>
                      <w:color w:val="auto"/>
                      <w:sz w:val="21"/>
                      <w:szCs w:val="21"/>
                      <w:highlight w:val="none"/>
                    </w:rPr>
                  </w:pPr>
                </w:p>
              </w:tc>
              <w:tc>
                <w:tcPr>
                  <w:tcW w:w="507" w:type="pct"/>
                  <w:vMerge w:val="continue"/>
                  <w:vAlign w:val="center"/>
                </w:tcPr>
                <w:p w14:paraId="755D77E2">
                  <w:pPr>
                    <w:bidi w:val="0"/>
                    <w:jc w:val="center"/>
                    <w:rPr>
                      <w:rFonts w:hint="default"/>
                      <w:color w:val="auto"/>
                      <w:sz w:val="21"/>
                      <w:szCs w:val="21"/>
                      <w:highlight w:val="none"/>
                    </w:rPr>
                  </w:pPr>
                </w:p>
              </w:tc>
              <w:tc>
                <w:tcPr>
                  <w:tcW w:w="507" w:type="pct"/>
                  <w:vAlign w:val="center"/>
                </w:tcPr>
                <w:p w14:paraId="4FEFFE3D">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35.9</w:t>
                  </w:r>
                </w:p>
              </w:tc>
              <w:tc>
                <w:tcPr>
                  <w:tcW w:w="274" w:type="pct"/>
                  <w:vAlign w:val="center"/>
                </w:tcPr>
                <w:p w14:paraId="6DD37609">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r>
            <w:tr w14:paraId="452B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14:paraId="3708D007">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27</w:t>
                  </w:r>
                </w:p>
              </w:tc>
              <w:tc>
                <w:tcPr>
                  <w:tcW w:w="262" w:type="pct"/>
                  <w:vAlign w:val="center"/>
                </w:tcPr>
                <w:p w14:paraId="18C193C1">
                  <w:pPr>
                    <w:bidi w:val="0"/>
                    <w:jc w:val="center"/>
                    <w:rPr>
                      <w:rFonts w:hint="eastAsia"/>
                      <w:color w:val="auto"/>
                      <w:sz w:val="21"/>
                      <w:szCs w:val="21"/>
                      <w:highlight w:val="none"/>
                      <w:lang w:eastAsia="zh-CN"/>
                    </w:rPr>
                  </w:pPr>
                  <w:r>
                    <w:rPr>
                      <w:rFonts w:hint="eastAsia"/>
                      <w:color w:val="auto"/>
                      <w:sz w:val="21"/>
                      <w:szCs w:val="21"/>
                      <w:highlight w:val="none"/>
                      <w:lang w:eastAsia="zh-CN"/>
                    </w:rPr>
                    <w:t>维修间</w:t>
                  </w:r>
                </w:p>
              </w:tc>
              <w:tc>
                <w:tcPr>
                  <w:tcW w:w="669" w:type="pct"/>
                  <w:vAlign w:val="center"/>
                </w:tcPr>
                <w:p w14:paraId="0415C476">
                  <w:pPr>
                    <w:bidi w:val="0"/>
                    <w:jc w:val="center"/>
                    <w:rPr>
                      <w:rFonts w:hint="eastAsia"/>
                      <w:color w:val="auto"/>
                      <w:sz w:val="21"/>
                      <w:szCs w:val="21"/>
                      <w:highlight w:val="none"/>
                      <w:lang w:eastAsia="zh-CN"/>
                    </w:rPr>
                  </w:pPr>
                  <w:r>
                    <w:rPr>
                      <w:rFonts w:hint="eastAsia"/>
                      <w:color w:val="auto"/>
                      <w:sz w:val="21"/>
                      <w:szCs w:val="21"/>
                      <w:highlight w:val="none"/>
                      <w:lang w:eastAsia="zh-CN"/>
                    </w:rPr>
                    <w:t>空压机</w:t>
                  </w:r>
                </w:p>
              </w:tc>
              <w:tc>
                <w:tcPr>
                  <w:tcW w:w="338" w:type="pct"/>
                  <w:vAlign w:val="center"/>
                </w:tcPr>
                <w:p w14:paraId="61843613">
                  <w:pPr>
                    <w:bidi w:val="0"/>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266" w:type="pct"/>
                  <w:vAlign w:val="center"/>
                </w:tcPr>
                <w:p w14:paraId="11F0AB3F">
                  <w:pPr>
                    <w:bidi w:val="0"/>
                    <w:jc w:val="center"/>
                    <w:rPr>
                      <w:rFonts w:hint="default"/>
                      <w:color w:val="auto"/>
                      <w:sz w:val="21"/>
                      <w:szCs w:val="21"/>
                      <w:highlight w:val="none"/>
                      <w:lang w:val="en-US" w:eastAsia="zh-CN"/>
                    </w:rPr>
                  </w:pPr>
                  <w:r>
                    <w:rPr>
                      <w:rFonts w:hint="eastAsia"/>
                      <w:color w:val="auto"/>
                      <w:sz w:val="21"/>
                      <w:szCs w:val="21"/>
                      <w:highlight w:val="none"/>
                      <w:lang w:val="en-US" w:eastAsia="zh-CN"/>
                    </w:rPr>
                    <w:t>80</w:t>
                  </w:r>
                </w:p>
              </w:tc>
              <w:tc>
                <w:tcPr>
                  <w:tcW w:w="298" w:type="pct"/>
                  <w:vAlign w:val="center"/>
                </w:tcPr>
                <w:p w14:paraId="769A5626">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342" w:type="pct"/>
                  <w:vAlign w:val="center"/>
                </w:tcPr>
                <w:p w14:paraId="49F1B495">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19</w:t>
                  </w:r>
                </w:p>
              </w:tc>
              <w:tc>
                <w:tcPr>
                  <w:tcW w:w="224" w:type="pct"/>
                  <w:vAlign w:val="center"/>
                </w:tcPr>
                <w:p w14:paraId="317E809F">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273" w:type="pct"/>
                  <w:vAlign w:val="center"/>
                </w:tcPr>
                <w:p w14:paraId="4E695A86">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507" w:type="pct"/>
                  <w:vAlign w:val="center"/>
                </w:tcPr>
                <w:p w14:paraId="538C3B7A">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70.5</w:t>
                  </w:r>
                </w:p>
              </w:tc>
              <w:tc>
                <w:tcPr>
                  <w:tcW w:w="266" w:type="pct"/>
                  <w:vMerge w:val="continue"/>
                  <w:vAlign w:val="center"/>
                </w:tcPr>
                <w:p w14:paraId="5D24C763">
                  <w:pPr>
                    <w:bidi w:val="0"/>
                    <w:jc w:val="center"/>
                    <w:rPr>
                      <w:rFonts w:hint="default"/>
                      <w:color w:val="auto"/>
                      <w:sz w:val="21"/>
                      <w:szCs w:val="21"/>
                      <w:highlight w:val="none"/>
                    </w:rPr>
                  </w:pPr>
                </w:p>
              </w:tc>
              <w:tc>
                <w:tcPr>
                  <w:tcW w:w="507" w:type="pct"/>
                  <w:vMerge w:val="continue"/>
                  <w:vAlign w:val="center"/>
                </w:tcPr>
                <w:p w14:paraId="1DA65755">
                  <w:pPr>
                    <w:bidi w:val="0"/>
                    <w:jc w:val="center"/>
                    <w:rPr>
                      <w:rFonts w:hint="default"/>
                      <w:color w:val="auto"/>
                      <w:sz w:val="21"/>
                      <w:szCs w:val="21"/>
                      <w:highlight w:val="none"/>
                    </w:rPr>
                  </w:pPr>
                </w:p>
              </w:tc>
              <w:tc>
                <w:tcPr>
                  <w:tcW w:w="507" w:type="pct"/>
                  <w:vAlign w:val="center"/>
                </w:tcPr>
                <w:p w14:paraId="2BC7D501">
                  <w:pPr>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50.5</w:t>
                  </w:r>
                </w:p>
              </w:tc>
              <w:tc>
                <w:tcPr>
                  <w:tcW w:w="274" w:type="pct"/>
                  <w:vAlign w:val="center"/>
                </w:tcPr>
                <w:p w14:paraId="3F3521D8">
                  <w:pPr>
                    <w:bidi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r>
          </w:tbl>
          <w:p w14:paraId="4910DC4C">
            <w:pPr>
              <w:adjustRightInd w:val="0"/>
              <w:snapToGrid w:val="0"/>
              <w:spacing w:before="120" w:beforeLines="5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 w:val="24"/>
                <w:highlight w:val="none"/>
              </w:rPr>
              <w:t>表4-1</w:t>
            </w:r>
            <w:r>
              <w:rPr>
                <w:rFonts w:hint="eastAsia" w:cs="Times New Roman"/>
                <w:b/>
                <w:bCs/>
                <w:color w:val="auto"/>
                <w:sz w:val="24"/>
                <w:highlight w:val="none"/>
                <w:lang w:val="en-US" w:eastAsia="zh-CN"/>
              </w:rPr>
              <w:t>1</w:t>
            </w:r>
            <w:r>
              <w:rPr>
                <w:rFonts w:hint="default" w:ascii="Times New Roman" w:hAnsi="Times New Roman" w:cs="Times New Roman"/>
                <w:b/>
                <w:bCs/>
                <w:color w:val="auto"/>
                <w:sz w:val="24"/>
                <w:highlight w:val="none"/>
              </w:rPr>
              <w:t>室外主要噪声源强统计</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1371"/>
              <w:gridCol w:w="1013"/>
              <w:gridCol w:w="942"/>
              <w:gridCol w:w="1032"/>
              <w:gridCol w:w="867"/>
              <w:gridCol w:w="1094"/>
              <w:gridCol w:w="1435"/>
              <w:gridCol w:w="918"/>
            </w:tblGrid>
            <w:tr w14:paraId="2425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Merge w:val="restart"/>
                  <w:vAlign w:val="center"/>
                </w:tcPr>
                <w:p w14:paraId="748B8F3E">
                  <w:pPr>
                    <w:bidi w:val="0"/>
                    <w:jc w:val="center"/>
                    <w:rPr>
                      <w:rFonts w:hint="default"/>
                      <w:color w:val="auto"/>
                      <w:highlight w:val="none"/>
                    </w:rPr>
                  </w:pPr>
                  <w:r>
                    <w:rPr>
                      <w:rFonts w:hint="default"/>
                      <w:color w:val="auto"/>
                      <w:highlight w:val="none"/>
                    </w:rPr>
                    <w:t>序号</w:t>
                  </w:r>
                </w:p>
              </w:tc>
              <w:tc>
                <w:tcPr>
                  <w:tcW w:w="748" w:type="pct"/>
                  <w:vMerge w:val="restart"/>
                  <w:vAlign w:val="center"/>
                </w:tcPr>
                <w:p w14:paraId="2516C1F0">
                  <w:pPr>
                    <w:bidi w:val="0"/>
                    <w:jc w:val="center"/>
                    <w:rPr>
                      <w:rFonts w:hint="default"/>
                      <w:color w:val="auto"/>
                      <w:highlight w:val="none"/>
                    </w:rPr>
                  </w:pPr>
                  <w:r>
                    <w:rPr>
                      <w:rFonts w:hint="default"/>
                      <w:color w:val="auto"/>
                      <w:highlight w:val="none"/>
                    </w:rPr>
                    <w:t>声源名称</w:t>
                  </w:r>
                </w:p>
              </w:tc>
              <w:tc>
                <w:tcPr>
                  <w:tcW w:w="553" w:type="pct"/>
                  <w:vMerge w:val="restart"/>
                  <w:vAlign w:val="center"/>
                </w:tcPr>
                <w:p w14:paraId="0D954F04">
                  <w:pPr>
                    <w:bidi w:val="0"/>
                    <w:jc w:val="center"/>
                    <w:rPr>
                      <w:rFonts w:hint="default"/>
                      <w:color w:val="auto"/>
                      <w:highlight w:val="none"/>
                    </w:rPr>
                  </w:pPr>
                  <w:r>
                    <w:rPr>
                      <w:rFonts w:hint="default"/>
                      <w:color w:val="auto"/>
                      <w:highlight w:val="none"/>
                    </w:rPr>
                    <w:t>型号</w:t>
                  </w:r>
                </w:p>
              </w:tc>
              <w:tc>
                <w:tcPr>
                  <w:tcW w:w="1550" w:type="pct"/>
                  <w:gridSpan w:val="3"/>
                  <w:vAlign w:val="center"/>
                </w:tcPr>
                <w:p w14:paraId="2263EFCF">
                  <w:pPr>
                    <w:bidi w:val="0"/>
                    <w:jc w:val="center"/>
                    <w:rPr>
                      <w:rFonts w:hint="default"/>
                      <w:color w:val="auto"/>
                      <w:highlight w:val="none"/>
                    </w:rPr>
                  </w:pPr>
                  <w:r>
                    <w:rPr>
                      <w:rFonts w:hint="default"/>
                      <w:color w:val="auto"/>
                      <w:highlight w:val="none"/>
                    </w:rPr>
                    <w:t>空间相对位置</w:t>
                  </w:r>
                </w:p>
              </w:tc>
              <w:tc>
                <w:tcPr>
                  <w:tcW w:w="597" w:type="pct"/>
                  <w:vAlign w:val="center"/>
                </w:tcPr>
                <w:p w14:paraId="633683DD">
                  <w:pPr>
                    <w:bidi w:val="0"/>
                    <w:jc w:val="center"/>
                    <w:rPr>
                      <w:rFonts w:hint="default"/>
                      <w:color w:val="auto"/>
                      <w:highlight w:val="none"/>
                    </w:rPr>
                  </w:pPr>
                  <w:r>
                    <w:rPr>
                      <w:rFonts w:hint="default"/>
                      <w:color w:val="auto"/>
                      <w:highlight w:val="none"/>
                    </w:rPr>
                    <w:t>声源源强</w:t>
                  </w:r>
                </w:p>
              </w:tc>
              <w:tc>
                <w:tcPr>
                  <w:tcW w:w="783" w:type="pct"/>
                  <w:vMerge w:val="restart"/>
                  <w:vAlign w:val="center"/>
                </w:tcPr>
                <w:p w14:paraId="7FF0E8D6">
                  <w:pPr>
                    <w:bidi w:val="0"/>
                    <w:jc w:val="center"/>
                    <w:rPr>
                      <w:rFonts w:hint="default"/>
                      <w:color w:val="auto"/>
                      <w:highlight w:val="none"/>
                    </w:rPr>
                  </w:pPr>
                  <w:r>
                    <w:rPr>
                      <w:rFonts w:hint="default"/>
                      <w:color w:val="auto"/>
                      <w:highlight w:val="none"/>
                    </w:rPr>
                    <w:t>声源控制措施</w:t>
                  </w:r>
                </w:p>
              </w:tc>
              <w:tc>
                <w:tcPr>
                  <w:tcW w:w="501" w:type="pct"/>
                  <w:vMerge w:val="restart"/>
                  <w:vAlign w:val="center"/>
                </w:tcPr>
                <w:p w14:paraId="1FEFC94E">
                  <w:pPr>
                    <w:bidi w:val="0"/>
                    <w:jc w:val="center"/>
                    <w:rPr>
                      <w:rFonts w:hint="default"/>
                      <w:color w:val="auto"/>
                      <w:highlight w:val="none"/>
                    </w:rPr>
                  </w:pPr>
                  <w:r>
                    <w:rPr>
                      <w:rFonts w:hint="default"/>
                      <w:color w:val="auto"/>
                      <w:highlight w:val="none"/>
                    </w:rPr>
                    <w:t>运行时段</w:t>
                  </w:r>
                </w:p>
              </w:tc>
            </w:tr>
            <w:tr w14:paraId="3541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vMerge w:val="continue"/>
                  <w:vAlign w:val="center"/>
                </w:tcPr>
                <w:p w14:paraId="02EB2EEA">
                  <w:pPr>
                    <w:bidi w:val="0"/>
                    <w:jc w:val="center"/>
                    <w:rPr>
                      <w:rFonts w:hint="default"/>
                      <w:color w:val="auto"/>
                      <w:highlight w:val="none"/>
                    </w:rPr>
                  </w:pPr>
                </w:p>
              </w:tc>
              <w:tc>
                <w:tcPr>
                  <w:tcW w:w="748" w:type="pct"/>
                  <w:vMerge w:val="continue"/>
                  <w:vAlign w:val="center"/>
                </w:tcPr>
                <w:p w14:paraId="4D92B457">
                  <w:pPr>
                    <w:bidi w:val="0"/>
                    <w:jc w:val="center"/>
                    <w:rPr>
                      <w:rFonts w:hint="default"/>
                      <w:color w:val="auto"/>
                      <w:highlight w:val="none"/>
                    </w:rPr>
                  </w:pPr>
                </w:p>
              </w:tc>
              <w:tc>
                <w:tcPr>
                  <w:tcW w:w="553" w:type="pct"/>
                  <w:vMerge w:val="continue"/>
                  <w:vAlign w:val="center"/>
                </w:tcPr>
                <w:p w14:paraId="4A603866">
                  <w:pPr>
                    <w:bidi w:val="0"/>
                    <w:jc w:val="center"/>
                    <w:rPr>
                      <w:rFonts w:hint="default"/>
                      <w:color w:val="auto"/>
                      <w:highlight w:val="none"/>
                    </w:rPr>
                  </w:pPr>
                </w:p>
              </w:tc>
              <w:tc>
                <w:tcPr>
                  <w:tcW w:w="514" w:type="pct"/>
                  <w:vAlign w:val="center"/>
                </w:tcPr>
                <w:p w14:paraId="25887DCA">
                  <w:pPr>
                    <w:bidi w:val="0"/>
                    <w:jc w:val="center"/>
                    <w:rPr>
                      <w:rFonts w:hint="default"/>
                      <w:color w:val="auto"/>
                      <w:highlight w:val="none"/>
                    </w:rPr>
                  </w:pPr>
                  <w:r>
                    <w:rPr>
                      <w:rFonts w:hint="default"/>
                      <w:color w:val="auto"/>
                      <w:highlight w:val="none"/>
                    </w:rPr>
                    <w:t>X</w:t>
                  </w:r>
                </w:p>
              </w:tc>
              <w:tc>
                <w:tcPr>
                  <w:tcW w:w="563" w:type="pct"/>
                  <w:vAlign w:val="center"/>
                </w:tcPr>
                <w:p w14:paraId="22A75F46">
                  <w:pPr>
                    <w:bidi w:val="0"/>
                    <w:jc w:val="center"/>
                    <w:rPr>
                      <w:rFonts w:hint="default"/>
                      <w:color w:val="auto"/>
                      <w:highlight w:val="none"/>
                    </w:rPr>
                  </w:pPr>
                  <w:r>
                    <w:rPr>
                      <w:rFonts w:hint="default"/>
                      <w:color w:val="auto"/>
                      <w:highlight w:val="none"/>
                    </w:rPr>
                    <w:t>Y</w:t>
                  </w:r>
                </w:p>
              </w:tc>
              <w:tc>
                <w:tcPr>
                  <w:tcW w:w="471" w:type="pct"/>
                  <w:vAlign w:val="center"/>
                </w:tcPr>
                <w:p w14:paraId="33D5CF00">
                  <w:pPr>
                    <w:bidi w:val="0"/>
                    <w:jc w:val="center"/>
                    <w:rPr>
                      <w:rFonts w:hint="default"/>
                      <w:color w:val="auto"/>
                      <w:highlight w:val="none"/>
                    </w:rPr>
                  </w:pPr>
                  <w:r>
                    <w:rPr>
                      <w:rFonts w:hint="default"/>
                      <w:color w:val="auto"/>
                      <w:highlight w:val="none"/>
                    </w:rPr>
                    <w:t>Z</w:t>
                  </w:r>
                </w:p>
              </w:tc>
              <w:tc>
                <w:tcPr>
                  <w:tcW w:w="597" w:type="pct"/>
                  <w:vAlign w:val="center"/>
                </w:tcPr>
                <w:p w14:paraId="61D7B17C">
                  <w:pPr>
                    <w:bidi w:val="0"/>
                    <w:jc w:val="center"/>
                    <w:rPr>
                      <w:rFonts w:hint="default"/>
                      <w:color w:val="auto"/>
                      <w:highlight w:val="none"/>
                    </w:rPr>
                  </w:pPr>
                  <w:r>
                    <w:rPr>
                      <w:rFonts w:hint="default"/>
                      <w:color w:val="auto"/>
                      <w:highlight w:val="none"/>
                    </w:rPr>
                    <w:t>声功率级</w:t>
                  </w:r>
                </w:p>
              </w:tc>
              <w:tc>
                <w:tcPr>
                  <w:tcW w:w="783" w:type="pct"/>
                  <w:vMerge w:val="continue"/>
                  <w:vAlign w:val="center"/>
                </w:tcPr>
                <w:p w14:paraId="467BF4DD">
                  <w:pPr>
                    <w:bidi w:val="0"/>
                    <w:jc w:val="center"/>
                    <w:rPr>
                      <w:rFonts w:hint="default"/>
                      <w:color w:val="auto"/>
                      <w:highlight w:val="none"/>
                    </w:rPr>
                  </w:pPr>
                </w:p>
              </w:tc>
              <w:tc>
                <w:tcPr>
                  <w:tcW w:w="501" w:type="pct"/>
                  <w:vMerge w:val="continue"/>
                  <w:vAlign w:val="center"/>
                </w:tcPr>
                <w:p w14:paraId="4361DA9A">
                  <w:pPr>
                    <w:bidi w:val="0"/>
                    <w:jc w:val="center"/>
                    <w:rPr>
                      <w:rFonts w:hint="default"/>
                      <w:color w:val="auto"/>
                      <w:highlight w:val="none"/>
                    </w:rPr>
                  </w:pPr>
                </w:p>
              </w:tc>
            </w:tr>
            <w:tr w14:paraId="335D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 w:type="pct"/>
                  <w:vAlign w:val="center"/>
                </w:tcPr>
                <w:p w14:paraId="7AF470F4">
                  <w:pPr>
                    <w:bidi w:val="0"/>
                    <w:jc w:val="center"/>
                    <w:rPr>
                      <w:rFonts w:hint="default"/>
                      <w:color w:val="auto"/>
                      <w:highlight w:val="none"/>
                    </w:rPr>
                  </w:pPr>
                  <w:r>
                    <w:rPr>
                      <w:rFonts w:hint="default"/>
                      <w:color w:val="auto"/>
                      <w:highlight w:val="none"/>
                    </w:rPr>
                    <w:t>1</w:t>
                  </w:r>
                </w:p>
              </w:tc>
              <w:tc>
                <w:tcPr>
                  <w:tcW w:w="748" w:type="pct"/>
                  <w:vAlign w:val="center"/>
                </w:tcPr>
                <w:p w14:paraId="1BAE06CE">
                  <w:pPr>
                    <w:bidi w:val="0"/>
                    <w:jc w:val="center"/>
                    <w:rPr>
                      <w:rFonts w:hint="default"/>
                      <w:color w:val="auto"/>
                      <w:highlight w:val="none"/>
                    </w:rPr>
                  </w:pPr>
                  <w:r>
                    <w:rPr>
                      <w:rFonts w:hint="default"/>
                      <w:color w:val="auto"/>
                      <w:highlight w:val="none"/>
                    </w:rPr>
                    <w:t>风机</w:t>
                  </w:r>
                </w:p>
              </w:tc>
              <w:tc>
                <w:tcPr>
                  <w:tcW w:w="553" w:type="pct"/>
                  <w:vAlign w:val="center"/>
                </w:tcPr>
                <w:p w14:paraId="05A43AC0">
                  <w:pPr>
                    <w:bidi w:val="0"/>
                    <w:jc w:val="center"/>
                    <w:rPr>
                      <w:rFonts w:hint="default"/>
                      <w:color w:val="auto"/>
                      <w:highlight w:val="none"/>
                    </w:rPr>
                  </w:pPr>
                  <w:r>
                    <w:rPr>
                      <w:rFonts w:hint="default"/>
                      <w:color w:val="auto"/>
                      <w:highlight w:val="none"/>
                    </w:rPr>
                    <w:t>/</w:t>
                  </w:r>
                </w:p>
              </w:tc>
              <w:tc>
                <w:tcPr>
                  <w:tcW w:w="514" w:type="pct"/>
                  <w:vAlign w:val="center"/>
                </w:tcPr>
                <w:p w14:paraId="3BBB41FE">
                  <w:pPr>
                    <w:bidi w:val="0"/>
                    <w:jc w:val="center"/>
                    <w:rPr>
                      <w:rFonts w:hint="default" w:eastAsia="宋体"/>
                      <w:color w:val="auto"/>
                      <w:highlight w:val="none"/>
                      <w:lang w:val="en-US" w:eastAsia="zh-CN"/>
                    </w:rPr>
                  </w:pPr>
                  <w:r>
                    <w:rPr>
                      <w:rFonts w:hint="eastAsia"/>
                      <w:color w:val="auto"/>
                      <w:highlight w:val="none"/>
                      <w:lang w:val="en-US" w:eastAsia="zh-CN"/>
                    </w:rPr>
                    <w:t>17</w:t>
                  </w:r>
                </w:p>
              </w:tc>
              <w:tc>
                <w:tcPr>
                  <w:tcW w:w="563" w:type="pct"/>
                  <w:vAlign w:val="center"/>
                </w:tcPr>
                <w:p w14:paraId="25DC1DD0">
                  <w:pPr>
                    <w:bidi w:val="0"/>
                    <w:jc w:val="center"/>
                    <w:rPr>
                      <w:rFonts w:hint="eastAsia" w:eastAsia="宋体"/>
                      <w:color w:val="auto"/>
                      <w:highlight w:val="none"/>
                      <w:lang w:val="en-US" w:eastAsia="zh-CN"/>
                    </w:rPr>
                  </w:pPr>
                  <w:r>
                    <w:rPr>
                      <w:rFonts w:hint="eastAsia"/>
                      <w:color w:val="auto"/>
                      <w:highlight w:val="none"/>
                      <w:lang w:val="en-US" w:eastAsia="zh-CN"/>
                    </w:rPr>
                    <w:t>6</w:t>
                  </w:r>
                </w:p>
              </w:tc>
              <w:tc>
                <w:tcPr>
                  <w:tcW w:w="471" w:type="pct"/>
                  <w:vAlign w:val="center"/>
                </w:tcPr>
                <w:p w14:paraId="0BEDC376">
                  <w:pPr>
                    <w:bidi w:val="0"/>
                    <w:jc w:val="center"/>
                    <w:rPr>
                      <w:rFonts w:hint="eastAsia" w:eastAsia="宋体"/>
                      <w:color w:val="auto"/>
                      <w:highlight w:val="none"/>
                      <w:lang w:val="en-US" w:eastAsia="zh-CN"/>
                    </w:rPr>
                  </w:pPr>
                  <w:r>
                    <w:rPr>
                      <w:rFonts w:hint="eastAsia"/>
                      <w:color w:val="auto"/>
                      <w:highlight w:val="none"/>
                      <w:lang w:val="en-US" w:eastAsia="zh-CN"/>
                    </w:rPr>
                    <w:t>8</w:t>
                  </w:r>
                </w:p>
              </w:tc>
              <w:tc>
                <w:tcPr>
                  <w:tcW w:w="597" w:type="pct"/>
                  <w:vAlign w:val="center"/>
                </w:tcPr>
                <w:p w14:paraId="66493A7D">
                  <w:pPr>
                    <w:bidi w:val="0"/>
                    <w:jc w:val="center"/>
                    <w:rPr>
                      <w:rFonts w:hint="default"/>
                      <w:color w:val="auto"/>
                      <w:highlight w:val="none"/>
                    </w:rPr>
                  </w:pPr>
                  <w:r>
                    <w:rPr>
                      <w:rFonts w:hint="default"/>
                      <w:color w:val="auto"/>
                      <w:highlight w:val="none"/>
                    </w:rPr>
                    <w:t>85</w:t>
                  </w:r>
                </w:p>
              </w:tc>
              <w:tc>
                <w:tcPr>
                  <w:tcW w:w="783" w:type="pct"/>
                  <w:vAlign w:val="center"/>
                </w:tcPr>
                <w:p w14:paraId="46E5AD52">
                  <w:pPr>
                    <w:bidi w:val="0"/>
                    <w:jc w:val="center"/>
                    <w:rPr>
                      <w:rFonts w:hint="default"/>
                      <w:color w:val="auto"/>
                      <w:highlight w:val="none"/>
                    </w:rPr>
                  </w:pPr>
                  <w:r>
                    <w:rPr>
                      <w:rFonts w:hint="default"/>
                      <w:color w:val="auto"/>
                      <w:highlight w:val="none"/>
                    </w:rPr>
                    <w:t>减振、消声</w:t>
                  </w:r>
                </w:p>
              </w:tc>
              <w:tc>
                <w:tcPr>
                  <w:tcW w:w="501" w:type="pct"/>
                  <w:vAlign w:val="center"/>
                </w:tcPr>
                <w:p w14:paraId="7B5AA1CA">
                  <w:pPr>
                    <w:bidi w:val="0"/>
                    <w:jc w:val="center"/>
                    <w:rPr>
                      <w:rFonts w:hint="default"/>
                      <w:color w:val="auto"/>
                      <w:highlight w:val="none"/>
                    </w:rPr>
                  </w:pPr>
                  <w:r>
                    <w:rPr>
                      <w:rFonts w:hint="default"/>
                      <w:color w:val="auto"/>
                      <w:highlight w:val="none"/>
                    </w:rPr>
                    <w:t>昼</w:t>
                  </w:r>
                </w:p>
              </w:tc>
            </w:tr>
          </w:tbl>
          <w:p w14:paraId="71000459">
            <w:pPr>
              <w:numPr>
                <w:ilvl w:val="0"/>
                <w:numId w:val="4"/>
              </w:numPr>
              <w:spacing w:line="360" w:lineRule="auto"/>
              <w:ind w:left="208" w:leftChars="0" w:firstLine="422"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预测模式</w:t>
            </w:r>
          </w:p>
          <w:p w14:paraId="014259F4">
            <w:pPr>
              <w:adjustRightInd w:val="0"/>
              <w:snapToGrid w:val="0"/>
              <w:spacing w:before="120" w:beforeLines="50"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用《环境影响评价技术导则—声环境》（</w:t>
            </w:r>
            <w:r>
              <w:rPr>
                <w:rFonts w:hint="default" w:ascii="Times New Roman" w:hAnsi="Times New Roman" w:cs="Times New Roman"/>
                <w:color w:val="auto"/>
                <w:sz w:val="24"/>
                <w:highlight w:val="none"/>
                <w:lang w:val="en-GB"/>
              </w:rPr>
              <w:t>HJ2.4-20</w:t>
            </w:r>
            <w:r>
              <w:rPr>
                <w:rFonts w:hint="default" w:ascii="Times New Roman" w:hAnsi="Times New Roman" w:cs="Times New Roman"/>
                <w:color w:val="auto"/>
                <w:sz w:val="24"/>
                <w:highlight w:val="none"/>
              </w:rPr>
              <w:t>21</w:t>
            </w:r>
            <w:r>
              <w:rPr>
                <w:rFonts w:hint="default" w:ascii="Times New Roman" w:hAnsi="Times New Roman" w:cs="Times New Roman"/>
                <w:color w:val="auto"/>
                <w:sz w:val="24"/>
                <w:highlight w:val="none"/>
                <w:lang w:val="en-GB"/>
              </w:rPr>
              <w:t>）</w:t>
            </w:r>
            <w:r>
              <w:rPr>
                <w:rFonts w:hint="default" w:ascii="Times New Roman" w:hAnsi="Times New Roman" w:cs="Times New Roman"/>
                <w:color w:val="auto"/>
                <w:sz w:val="24"/>
                <w:highlight w:val="none"/>
              </w:rPr>
              <w:t>中的工业噪声预测模式。</w:t>
            </w:r>
          </w:p>
          <w:p w14:paraId="2F311B5B">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pict>
                <v:shape id="对象 2105" o:spid="_x0000_s2050" o:spt="75" type="#_x0000_t75" style="position:absolute;left:0pt;margin-left:151.95pt;margin-top:20.95pt;height:38pt;width:150.95pt;z-index:-251656192;mso-width-relative:page;mso-height-relative:page;" o:ole="t" filled="f" o:preferrelative="t" stroked="f" coordsize="21600,21600">
                  <v:path/>
                  <v:fill on="f" focussize="0,0"/>
                  <v:stroke on="f" joinstyle="miter"/>
                  <v:imagedata r:id="rId18" o:title=""/>
                  <o:lock v:ext="edit" aspectratio="t"/>
                </v:shape>
                <o:OLEObject Type="Embed" ProgID="Equation.3" ShapeID="对象 2105" DrawAspect="Content" ObjectID="_1468075729" r:id="rId17">
                  <o:LockedField>false</o:LockedField>
                </o:OLEObject>
              </w:pict>
            </w:r>
            <w:r>
              <w:rPr>
                <w:rFonts w:hint="default" w:ascii="Times New Roman" w:hAnsi="Times New Roman" w:cs="Times New Roman"/>
                <w:color w:val="auto"/>
                <w:sz w:val="24"/>
                <w:highlight w:val="none"/>
              </w:rPr>
              <w:t>①计算某个室内声源在靠近围护结构处的倍频带声压级：</w:t>
            </w:r>
          </w:p>
          <w:p w14:paraId="0EFA85D5">
            <w:pPr>
              <w:spacing w:line="360" w:lineRule="auto"/>
              <w:ind w:firstLine="435"/>
              <w:rPr>
                <w:rFonts w:hint="default" w:ascii="Times New Roman" w:hAnsi="Times New Roman" w:cs="Times New Roman"/>
                <w:color w:val="auto"/>
                <w:sz w:val="24"/>
                <w:highlight w:val="none"/>
              </w:rPr>
            </w:pPr>
          </w:p>
          <w:p w14:paraId="300B6324">
            <w:pPr>
              <w:spacing w:line="360" w:lineRule="auto"/>
              <w:ind w:firstLine="435"/>
              <w:rPr>
                <w:rFonts w:hint="default" w:ascii="Times New Roman" w:hAnsi="Times New Roman" w:cs="Times New Roman"/>
                <w:color w:val="auto"/>
                <w:sz w:val="24"/>
                <w:highlight w:val="none"/>
              </w:rPr>
            </w:pPr>
          </w:p>
          <w:p w14:paraId="2744124F">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式中：Loct,1  </w:t>
            </w:r>
            <w:r>
              <w:rPr>
                <w:rFonts w:hint="default" w:ascii="Times New Roman" w:hAnsi="Times New Roman" w:cs="Times New Roman"/>
                <w:color w:val="auto"/>
                <w:highlight w:val="none"/>
              </w:rPr>
              <w:sym w:font="Symbol" w:char="F0BE"/>
            </w:r>
            <w:r>
              <w:rPr>
                <w:rFonts w:hint="default" w:ascii="Times New Roman" w:hAnsi="Times New Roman" w:cs="Times New Roman"/>
                <w:color w:val="auto"/>
                <w:highlight w:val="none"/>
              </w:rPr>
              <w:t xml:space="preserve"> 某个室内声源在靠近围护结构处产生的倍频带声压级，dB；</w:t>
            </w:r>
          </w:p>
          <w:p w14:paraId="31FE4A95">
            <w:pPr>
              <w:pStyle w:val="222"/>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Lw oct </w:t>
            </w:r>
            <w:r>
              <w:rPr>
                <w:rFonts w:hint="default" w:ascii="Times New Roman" w:hAnsi="Times New Roman" w:cs="Times New Roman"/>
                <w:color w:val="auto"/>
                <w:highlight w:val="none"/>
              </w:rPr>
              <w:sym w:font="Symbol" w:char="F0BE"/>
            </w:r>
            <w:r>
              <w:rPr>
                <w:rFonts w:hint="default" w:ascii="Times New Roman" w:hAnsi="Times New Roman" w:cs="Times New Roman"/>
                <w:color w:val="auto"/>
                <w:highlight w:val="none"/>
              </w:rPr>
              <w:t xml:space="preserve">  某个声源的倍频带声功率级，dB；</w:t>
            </w:r>
          </w:p>
          <w:p w14:paraId="64857AB5">
            <w:pPr>
              <w:pStyle w:val="222"/>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rPr>
              <w:t>r1</w:t>
            </w:r>
            <w:r>
              <w:rPr>
                <w:rFonts w:hint="default" w:ascii="Times New Roman" w:hAnsi="Times New Roman" w:cs="Times New Roman"/>
                <w:color w:val="auto"/>
                <w:highlight w:val="none"/>
              </w:rPr>
              <w:sym w:font="Symbol" w:char="F0BE"/>
            </w:r>
            <w:r>
              <w:rPr>
                <w:rFonts w:hint="default" w:ascii="Times New Roman" w:hAnsi="Times New Roman" w:cs="Times New Roman"/>
                <w:color w:val="auto"/>
                <w:highlight w:val="none"/>
              </w:rPr>
              <w:t xml:space="preserve">  室内某个声源与靠近围护结构处的距离，m；</w:t>
            </w:r>
          </w:p>
          <w:p w14:paraId="4E9AFAC3">
            <w:pPr>
              <w:pStyle w:val="222"/>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R </w:t>
            </w:r>
            <w:r>
              <w:rPr>
                <w:rFonts w:hint="default" w:ascii="Times New Roman" w:hAnsi="Times New Roman" w:cs="Times New Roman"/>
                <w:color w:val="auto"/>
                <w:highlight w:val="none"/>
              </w:rPr>
              <w:sym w:font="Symbol" w:char="F0BE"/>
            </w:r>
            <w:r>
              <w:rPr>
                <w:rFonts w:hint="default" w:ascii="Times New Roman" w:hAnsi="Times New Roman" w:cs="Times New Roman"/>
                <w:color w:val="auto"/>
                <w:highlight w:val="none"/>
              </w:rPr>
              <w:t xml:space="preserve"> 房间常数；</w:t>
            </w:r>
          </w:p>
          <w:p w14:paraId="4C5B22F8">
            <w:pPr>
              <w:pStyle w:val="222"/>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rPr>
              <w:t>Q</w:t>
            </w:r>
            <w:r>
              <w:rPr>
                <w:rFonts w:hint="default" w:ascii="Times New Roman" w:hAnsi="Times New Roman" w:cs="Times New Roman"/>
                <w:color w:val="auto"/>
                <w:highlight w:val="none"/>
              </w:rPr>
              <w:sym w:font="Symbol" w:char="F0BE"/>
            </w:r>
            <w:r>
              <w:rPr>
                <w:rFonts w:hint="default" w:ascii="Times New Roman" w:hAnsi="Times New Roman" w:cs="Times New Roman"/>
                <w:color w:val="auto"/>
                <w:highlight w:val="none"/>
              </w:rPr>
              <w:t xml:space="preserve"> 方向性因子，无量纲值。</w:t>
            </w:r>
          </w:p>
          <w:p w14:paraId="5CDA9CAC">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② 计算所有室内声源在靠近围护结构处产生的总倍频带声压级：</w:t>
            </w:r>
            <w:r>
              <w:rPr>
                <w:rFonts w:hint="default" w:ascii="Times New Roman" w:hAnsi="Times New Roman" w:cs="Times New Roman"/>
                <w:color w:val="auto"/>
                <w:highlight w:val="none"/>
              </w:rPr>
              <w:tab/>
            </w:r>
          </w:p>
          <w:p w14:paraId="4FAAFB0F">
            <w:pPr>
              <w:pStyle w:val="222"/>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object>
                <v:shape id="_x0000_i1029" o:spt="75" type="#_x0000_t75" style="height:36pt;width:140.2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30" r:id="rId19">
                  <o:LockedField>false</o:LockedField>
                </o:OLEObject>
              </w:object>
            </w:r>
          </w:p>
          <w:p w14:paraId="11069146">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③ 计算室外靠近围护结构处的声压级：</w:t>
            </w:r>
          </w:p>
          <w:p w14:paraId="07DF147D">
            <w:pPr>
              <w:pStyle w:val="222"/>
              <w:ind w:left="0" w:leftChars="0"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object>
                <v:shape id="_x0000_i1030" o:spt="75" type="#_x0000_t75" style="height:18.75pt;width:147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1" r:id="rId21">
                  <o:LockedField>false</o:LockedField>
                </o:OLEObject>
              </w:object>
            </w:r>
          </w:p>
          <w:p w14:paraId="6E0D3910">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④ 将室外声级 Loct, 2 (T) 和透声面积换算成等效的室外声源，计算等效声源第i个倍频带的声功率级 Lw oct ：</w:t>
            </w:r>
          </w:p>
          <w:p w14:paraId="519DAA1E">
            <w:pPr>
              <w:pStyle w:val="222"/>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object>
                <v:shape id="_x0000_i1031" o:spt="75" type="#_x0000_t75" style="height:18.75pt;width:151.5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2" r:id="rId23">
                  <o:LockedField>false</o:LockedField>
                </o:OLEObject>
              </w:object>
            </w:r>
          </w:p>
          <w:p w14:paraId="27D568C6">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式中：S — 透声面积，m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w:t>
            </w:r>
          </w:p>
          <w:p w14:paraId="1DB84C45">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⑤ 等效室外声源的位置为围护结构的位置，其倍频带声功率级为Lw oct，由此按室外声源方法计算等效室外声源在预测点产生的声级。</w:t>
            </w:r>
          </w:p>
          <w:p w14:paraId="2678A9CE">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⑥ 计算某个室外声源在预测点产生的倍频带声压级：</w:t>
            </w:r>
          </w:p>
          <w:p w14:paraId="609A7CCC">
            <w:pPr>
              <w:pStyle w:val="222"/>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object>
                <v:shape id="_x0000_i1032" o:spt="75" type="#_x0000_t75" style="height:18pt;width:171pt;" o:ole="t" filled="f" o:preferrelative="t" stroked="f" coordsize="21600,21600">
                  <v:path/>
                  <v:fill on="f" focussize="0,0"/>
                  <v:stroke on="f" joinstyle="miter"/>
                  <v:imagedata r:id="rId26" o:title=""/>
                  <o:lock v:ext="edit" aspectratio="t"/>
                  <w10:wrap type="none"/>
                  <w10:anchorlock/>
                </v:shape>
                <o:OLEObject Type="Embed" ProgID="Equation.3" ShapeID="_x0000_i1032" DrawAspect="Content" ObjectID="_1468075733" r:id="rId25">
                  <o:LockedField>false</o:LockedField>
                </o:OLEObject>
              </w:object>
            </w:r>
          </w:p>
          <w:p w14:paraId="6FF81A2E">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式中：Loct (r)  </w:t>
            </w:r>
            <w:r>
              <w:rPr>
                <w:rFonts w:hint="default" w:ascii="Times New Roman" w:hAnsi="Times New Roman" w:cs="Times New Roman"/>
                <w:color w:val="auto"/>
                <w:highlight w:val="none"/>
              </w:rPr>
              <w:sym w:font="Symbol" w:char="F0BE"/>
            </w:r>
            <w:r>
              <w:rPr>
                <w:rFonts w:hint="default" w:ascii="Times New Roman" w:hAnsi="Times New Roman" w:cs="Times New Roman"/>
                <w:color w:val="auto"/>
                <w:highlight w:val="none"/>
              </w:rPr>
              <w:t xml:space="preserve"> 点声源在预测点产生的倍频带声压级，dB；</w:t>
            </w:r>
          </w:p>
          <w:p w14:paraId="5E3BEA0F">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Loct (r</w:t>
            </w:r>
            <w:r>
              <w:rPr>
                <w:rFonts w:hint="default" w:ascii="Times New Roman" w:hAnsi="Times New Roman" w:cs="Times New Roman"/>
                <w:color w:val="auto"/>
                <w:highlight w:val="none"/>
                <w:vertAlign w:val="subscript"/>
              </w:rPr>
              <w:t>0</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rPr>
              <w:sym w:font="Symbol" w:char="F0BE"/>
            </w:r>
            <w:r>
              <w:rPr>
                <w:rFonts w:hint="default" w:ascii="Times New Roman" w:hAnsi="Times New Roman" w:cs="Times New Roman"/>
                <w:color w:val="auto"/>
                <w:highlight w:val="none"/>
              </w:rPr>
              <w:t xml:space="preserve"> 参考位置r</w:t>
            </w:r>
            <w:r>
              <w:rPr>
                <w:rFonts w:hint="default" w:ascii="Times New Roman" w:hAnsi="Times New Roman" w:cs="Times New Roman"/>
                <w:color w:val="auto"/>
                <w:highlight w:val="none"/>
                <w:vertAlign w:val="subscript"/>
              </w:rPr>
              <w:t>0</w:t>
            </w:r>
            <w:r>
              <w:rPr>
                <w:rFonts w:hint="default" w:ascii="Times New Roman" w:hAnsi="Times New Roman" w:cs="Times New Roman"/>
                <w:color w:val="auto"/>
                <w:highlight w:val="none"/>
              </w:rPr>
              <w:t>处的倍频带声压级，dB；</w:t>
            </w:r>
          </w:p>
          <w:p w14:paraId="4069FC39">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r</w:t>
            </w:r>
            <w:r>
              <w:rPr>
                <w:rFonts w:hint="default" w:ascii="Times New Roman" w:hAnsi="Times New Roman" w:cs="Times New Roman"/>
                <w:color w:val="auto"/>
                <w:highlight w:val="none"/>
              </w:rPr>
              <w:sym w:font="Symbol" w:char="F0BE"/>
            </w:r>
            <w:r>
              <w:rPr>
                <w:rFonts w:hint="default" w:ascii="Times New Roman" w:hAnsi="Times New Roman" w:cs="Times New Roman"/>
                <w:color w:val="auto"/>
                <w:highlight w:val="none"/>
              </w:rPr>
              <w:t xml:space="preserve"> 预测点距声源的距离，m；</w:t>
            </w:r>
          </w:p>
          <w:p w14:paraId="52814073">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r</w:t>
            </w:r>
            <w:r>
              <w:rPr>
                <w:rFonts w:hint="default" w:ascii="Times New Roman" w:hAnsi="Times New Roman" w:cs="Times New Roman"/>
                <w:color w:val="auto"/>
                <w:highlight w:val="none"/>
                <w:vertAlign w:val="subscript"/>
              </w:rPr>
              <w:t>0</w:t>
            </w:r>
            <w:r>
              <w:rPr>
                <w:rFonts w:hint="default" w:ascii="Times New Roman" w:hAnsi="Times New Roman" w:cs="Times New Roman"/>
                <w:color w:val="auto"/>
                <w:highlight w:val="none"/>
              </w:rPr>
              <w:sym w:font="Symbol" w:char="F0BE"/>
            </w:r>
            <w:r>
              <w:rPr>
                <w:rFonts w:hint="default" w:ascii="Times New Roman" w:hAnsi="Times New Roman" w:cs="Times New Roman"/>
                <w:color w:val="auto"/>
                <w:highlight w:val="none"/>
              </w:rPr>
              <w:t xml:space="preserve"> 参考位置距声源的距离，m；</w:t>
            </w:r>
          </w:p>
          <w:p w14:paraId="64AA1E6D">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sym w:font="Symbol" w:char="F044"/>
            </w:r>
            <w:r>
              <w:rPr>
                <w:rFonts w:hint="default" w:ascii="Times New Roman" w:hAnsi="Times New Roman" w:cs="Times New Roman"/>
                <w:color w:val="auto"/>
                <w:highlight w:val="none"/>
              </w:rPr>
              <w:t xml:space="preserve">Loct </w:t>
            </w:r>
            <w:r>
              <w:rPr>
                <w:rFonts w:hint="default" w:ascii="Times New Roman" w:hAnsi="Times New Roman" w:cs="Times New Roman"/>
                <w:color w:val="auto"/>
                <w:highlight w:val="none"/>
              </w:rPr>
              <w:sym w:font="Symbol" w:char="F0BE"/>
            </w:r>
            <w:r>
              <w:rPr>
                <w:rFonts w:hint="default" w:ascii="Times New Roman" w:hAnsi="Times New Roman" w:cs="Times New Roman"/>
                <w:color w:val="auto"/>
                <w:highlight w:val="none"/>
              </w:rPr>
              <w:t xml:space="preserve"> 各种因素引起的衰减量(包括声屏障、遮挡物、空气吸收、地面效应引起的衰减量，计算方法详见导则)。</w:t>
            </w:r>
          </w:p>
          <w:p w14:paraId="50CD77C4">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⑦ 由各倍频带声压级合成计算该声源产生的A声级Leq(A)。</w:t>
            </w:r>
          </w:p>
          <w:p w14:paraId="5DEBB999">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⑧ 计算总声压级</w:t>
            </w:r>
          </w:p>
          <w:p w14:paraId="08C6BBD5">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设第i个室外声源在预测点产生的A声级为LA in,i，在T时间内该声源工作时间为tin,i；第j个等效室外声源在预测点产生的A声级为LA out,j ，在T时间内该声源工作时间为tout,j ，则预测点的总等效声级为：</w:t>
            </w:r>
          </w:p>
          <w:p w14:paraId="003CB0AF">
            <w:pPr>
              <w:spacing w:line="360" w:lineRule="auto"/>
              <w:ind w:firstLine="435"/>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pict>
                <v:shape id="对象 2084" o:spid="_x0000_s2051" o:spt="75" type="#_x0000_t75" style="position:absolute;left:0pt;margin-left:80.6pt;margin-top:2.5pt;height:38pt;width:250pt;z-index:-251655168;mso-width-relative:page;mso-height-relative:page;" o:ole="t" filled="f" o:preferrelative="t" stroked="f" coordsize="21600,21600">
                  <v:path/>
                  <v:fill on="f" focussize="0,0"/>
                  <v:stroke on="f" joinstyle="miter"/>
                  <v:imagedata r:id="rId28" o:title=""/>
                  <o:lock v:ext="edit" aspectratio="t"/>
                </v:shape>
                <o:OLEObject Type="Embed" ProgID="Equation.3" ShapeID="对象 2084" DrawAspect="Content" ObjectID="_1468075734" r:id="rId27">
                  <o:LockedField>false</o:LockedField>
                </o:OLEObject>
              </w:pict>
            </w:r>
          </w:p>
          <w:p w14:paraId="19CCD8F1">
            <w:pPr>
              <w:spacing w:line="360" w:lineRule="auto"/>
              <w:ind w:firstLine="435"/>
              <w:rPr>
                <w:rFonts w:hint="default" w:ascii="Times New Roman" w:hAnsi="Times New Roman" w:cs="Times New Roman"/>
                <w:color w:val="auto"/>
                <w:sz w:val="24"/>
                <w:highlight w:val="none"/>
              </w:rPr>
            </w:pPr>
          </w:p>
          <w:p w14:paraId="27CD3451">
            <w:pPr>
              <w:pStyle w:val="222"/>
              <w:rPr>
                <w:rFonts w:hint="default" w:ascii="Times New Roman" w:hAnsi="Times New Roman" w:cs="Times New Roman"/>
                <w:color w:val="auto"/>
                <w:highlight w:val="none"/>
              </w:rPr>
            </w:pPr>
            <w:r>
              <w:rPr>
                <w:rFonts w:hint="default" w:ascii="Times New Roman" w:hAnsi="Times New Roman" w:cs="Times New Roman"/>
                <w:color w:val="auto"/>
                <w:highlight w:val="none"/>
              </w:rPr>
              <w:t>式中：T—计算等效声级的时间，h；</w:t>
            </w:r>
          </w:p>
          <w:p w14:paraId="2F3B40A0">
            <w:pPr>
              <w:pStyle w:val="222"/>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rPr>
              <w:t>N—室外声源个数，M为等效室外声源个数。</w:t>
            </w:r>
          </w:p>
          <w:p w14:paraId="16280C21">
            <w:pPr>
              <w:pStyle w:val="51"/>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将设备噪声源在厂区平面图上进行定位，利用上述的预测数字模型，将有关参数代入公式计算，预测拟建工程噪声源对各向厂界的影响。</w:t>
            </w:r>
          </w:p>
          <w:p w14:paraId="4CBC80C3">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项目在设备选型过程中充分考虑声学指标，尽量选用低噪设备和减振降噪措施，生产厂房的隔声、吸音效果较好。项目夜间使用钢化炉，预测结果见下表。</w:t>
            </w:r>
          </w:p>
          <w:p w14:paraId="78FF803B">
            <w:pPr>
              <w:pStyle w:val="368"/>
              <w:rPr>
                <w:rFonts w:hint="default" w:ascii="Times New Roman" w:hAnsi="Times New Roman" w:cs="Times New Roman"/>
                <w:color w:val="auto"/>
                <w:highlight w:val="none"/>
              </w:rPr>
            </w:pPr>
            <w:r>
              <w:rPr>
                <w:rFonts w:hint="default"/>
                <w:color w:val="auto"/>
                <w:highlight w:val="none"/>
              </w:rPr>
              <w:t>表4-1</w:t>
            </w:r>
            <w:r>
              <w:rPr>
                <w:rFonts w:hint="eastAsia"/>
                <w:color w:val="auto"/>
                <w:highlight w:val="none"/>
                <w:lang w:val="en-US" w:eastAsia="zh-CN"/>
              </w:rPr>
              <w:t>2</w:t>
            </w:r>
            <w:r>
              <w:rPr>
                <w:rFonts w:hint="default"/>
                <w:color w:val="auto"/>
                <w:highlight w:val="none"/>
              </w:rPr>
              <w:t xml:space="preserve">  项目厂界噪声评价表    单位：dB（A）</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1781"/>
              <w:gridCol w:w="1781"/>
              <w:gridCol w:w="1777"/>
              <w:gridCol w:w="1744"/>
            </w:tblGrid>
            <w:tr w14:paraId="7692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31" w:type="pct"/>
                  <w:vAlign w:val="center"/>
                </w:tcPr>
                <w:p w14:paraId="6D456EB0">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预测点</w:t>
                  </w:r>
                </w:p>
              </w:tc>
              <w:tc>
                <w:tcPr>
                  <w:tcW w:w="972" w:type="pct"/>
                  <w:vAlign w:val="center"/>
                </w:tcPr>
                <w:p w14:paraId="148842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Cs/>
                      <w:color w:val="auto"/>
                      <w:sz w:val="21"/>
                      <w:szCs w:val="21"/>
                      <w:highlight w:val="none"/>
                      <w:lang w:eastAsia="zh-CN"/>
                    </w:rPr>
                  </w:pPr>
                  <w:r>
                    <w:rPr>
                      <w:rFonts w:hint="eastAsia"/>
                      <w:bCs/>
                      <w:color w:val="auto"/>
                      <w:sz w:val="21"/>
                      <w:szCs w:val="21"/>
                      <w:highlight w:val="none"/>
                      <w:lang w:eastAsia="zh-CN"/>
                    </w:rPr>
                    <w:t>贡献值</w:t>
                  </w:r>
                </w:p>
              </w:tc>
              <w:tc>
                <w:tcPr>
                  <w:tcW w:w="972" w:type="pct"/>
                  <w:vAlign w:val="center"/>
                </w:tcPr>
                <w:p w14:paraId="0623B5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Cs w:val="21"/>
                      <w:highlight w:val="none"/>
                    </w:rPr>
                  </w:pPr>
                  <w:r>
                    <w:rPr>
                      <w:rFonts w:hint="eastAsia"/>
                      <w:bCs/>
                      <w:color w:val="auto"/>
                      <w:sz w:val="21"/>
                      <w:szCs w:val="21"/>
                      <w:highlight w:val="none"/>
                      <w:lang w:eastAsia="zh-CN"/>
                    </w:rPr>
                    <w:t>预测值</w:t>
                  </w:r>
                </w:p>
              </w:tc>
              <w:tc>
                <w:tcPr>
                  <w:tcW w:w="970" w:type="pct"/>
                  <w:vAlign w:val="center"/>
                </w:tcPr>
                <w:p w14:paraId="1A72B13A">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标准值</w:t>
                  </w:r>
                </w:p>
              </w:tc>
              <w:tc>
                <w:tcPr>
                  <w:tcW w:w="952" w:type="pct"/>
                  <w:vAlign w:val="center"/>
                </w:tcPr>
                <w:p w14:paraId="191D888D">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达标情况</w:t>
                  </w:r>
                </w:p>
              </w:tc>
            </w:tr>
            <w:tr w14:paraId="15B2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1" w:type="pct"/>
                  <w:vAlign w:val="center"/>
                </w:tcPr>
                <w:p w14:paraId="4AE7AC9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厂房东厂界</w:t>
                  </w:r>
                </w:p>
              </w:tc>
              <w:tc>
                <w:tcPr>
                  <w:tcW w:w="1781" w:type="dxa"/>
                  <w:vAlign w:val="center"/>
                </w:tcPr>
                <w:p w14:paraId="75BDBDF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eastAsia="宋体" w:cs="Times New Roman"/>
                      <w:color w:val="auto"/>
                      <w:szCs w:val="21"/>
                      <w:highlight w:val="none"/>
                      <w:lang w:val="en-US" w:eastAsia="zh-CN"/>
                    </w:rPr>
                  </w:pPr>
                  <w:r>
                    <w:rPr>
                      <w:rFonts w:hint="eastAsia" w:ascii="Times New Roman" w:hAnsi="Times New Roman" w:eastAsia="宋体" w:cs="Times New Roman"/>
                      <w:color w:val="auto"/>
                      <w:kern w:val="2"/>
                      <w:sz w:val="21"/>
                      <w:szCs w:val="21"/>
                      <w:lang w:val="en-US" w:eastAsia="zh-CN" w:bidi="ar-SA"/>
                    </w:rPr>
                    <w:t>5</w:t>
                  </w:r>
                  <w:r>
                    <w:rPr>
                      <w:rFonts w:hint="eastAsia" w:cs="Times New Roman"/>
                      <w:color w:val="auto"/>
                      <w:kern w:val="2"/>
                      <w:sz w:val="21"/>
                      <w:szCs w:val="21"/>
                      <w:lang w:val="en-US" w:eastAsia="zh-CN" w:bidi="ar-SA"/>
                    </w:rPr>
                    <w:t>7</w:t>
                  </w:r>
                </w:p>
              </w:tc>
              <w:tc>
                <w:tcPr>
                  <w:tcW w:w="972" w:type="pct"/>
                  <w:vAlign w:val="center"/>
                </w:tcPr>
                <w:p w14:paraId="5EFBB6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57.8</w:t>
                  </w:r>
                </w:p>
              </w:tc>
              <w:tc>
                <w:tcPr>
                  <w:tcW w:w="970" w:type="pct"/>
                  <w:vMerge w:val="restart"/>
                  <w:vAlign w:val="center"/>
                </w:tcPr>
                <w:p w14:paraId="76CAF551">
                  <w:pPr>
                    <w:jc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昼间≤6</w:t>
                  </w:r>
                  <w:r>
                    <w:rPr>
                      <w:rFonts w:hint="eastAsia" w:cs="Times New Roman"/>
                      <w:color w:val="auto"/>
                      <w:szCs w:val="21"/>
                      <w:highlight w:val="none"/>
                      <w:lang w:val="en-US" w:eastAsia="zh-CN"/>
                    </w:rPr>
                    <w:t>0</w:t>
                  </w:r>
                </w:p>
              </w:tc>
              <w:tc>
                <w:tcPr>
                  <w:tcW w:w="952" w:type="pct"/>
                  <w:vAlign w:val="center"/>
                </w:tcPr>
                <w:p w14:paraId="54459F3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14:paraId="4672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1" w:type="pct"/>
                  <w:vAlign w:val="center"/>
                </w:tcPr>
                <w:p w14:paraId="0763D42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厂房南厂界</w:t>
                  </w:r>
                </w:p>
              </w:tc>
              <w:tc>
                <w:tcPr>
                  <w:tcW w:w="1781" w:type="dxa"/>
                  <w:vAlign w:val="center"/>
                </w:tcPr>
                <w:p w14:paraId="4DC149C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Times New Roman"/>
                      <w:color w:val="auto"/>
                      <w:szCs w:val="21"/>
                      <w:highlight w:val="none"/>
                      <w:lang w:val="en-US" w:eastAsia="zh-CN"/>
                    </w:rPr>
                  </w:pPr>
                  <w:r>
                    <w:rPr>
                      <w:rFonts w:hint="eastAsia" w:ascii="Times New Roman" w:hAnsi="Times New Roman" w:eastAsia="宋体" w:cs="Times New Roman"/>
                      <w:color w:val="auto"/>
                      <w:kern w:val="2"/>
                      <w:sz w:val="21"/>
                      <w:szCs w:val="21"/>
                      <w:lang w:val="en-US" w:eastAsia="zh-CN" w:bidi="ar-SA"/>
                    </w:rPr>
                    <w:t>5</w:t>
                  </w:r>
                  <w:r>
                    <w:rPr>
                      <w:rFonts w:hint="eastAsia" w:cs="Times New Roman"/>
                      <w:color w:val="auto"/>
                      <w:kern w:val="2"/>
                      <w:sz w:val="21"/>
                      <w:szCs w:val="21"/>
                      <w:lang w:val="en-US" w:eastAsia="zh-CN" w:bidi="ar-SA"/>
                    </w:rPr>
                    <w:t>7</w:t>
                  </w:r>
                </w:p>
              </w:tc>
              <w:tc>
                <w:tcPr>
                  <w:tcW w:w="972" w:type="pct"/>
                  <w:vAlign w:val="center"/>
                </w:tcPr>
                <w:p w14:paraId="72F324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57.6</w:t>
                  </w:r>
                </w:p>
              </w:tc>
              <w:tc>
                <w:tcPr>
                  <w:tcW w:w="970" w:type="pct"/>
                  <w:vMerge w:val="continue"/>
                  <w:vAlign w:val="center"/>
                </w:tcPr>
                <w:p w14:paraId="652027E9">
                  <w:pPr>
                    <w:jc w:val="center"/>
                    <w:rPr>
                      <w:rFonts w:hint="default" w:ascii="Times New Roman" w:hAnsi="Times New Roman" w:cs="Times New Roman"/>
                      <w:color w:val="auto"/>
                      <w:szCs w:val="21"/>
                      <w:highlight w:val="none"/>
                    </w:rPr>
                  </w:pPr>
                </w:p>
              </w:tc>
              <w:tc>
                <w:tcPr>
                  <w:tcW w:w="952" w:type="pct"/>
                  <w:vAlign w:val="center"/>
                </w:tcPr>
                <w:p w14:paraId="5159997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14:paraId="3E25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1" w:type="pct"/>
                  <w:vAlign w:val="center"/>
                </w:tcPr>
                <w:p w14:paraId="457467C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厂房西厂界</w:t>
                  </w:r>
                </w:p>
              </w:tc>
              <w:tc>
                <w:tcPr>
                  <w:tcW w:w="1781" w:type="dxa"/>
                  <w:vAlign w:val="center"/>
                </w:tcPr>
                <w:p w14:paraId="5205CFA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Times New Roman"/>
                      <w:color w:val="auto"/>
                      <w:szCs w:val="21"/>
                      <w:highlight w:val="none"/>
                      <w:lang w:val="en-US" w:eastAsia="zh-CN"/>
                    </w:rPr>
                  </w:pPr>
                  <w:r>
                    <w:rPr>
                      <w:rFonts w:hint="eastAsia" w:ascii="Times New Roman" w:hAnsi="Times New Roman" w:eastAsia="宋体" w:cs="Times New Roman"/>
                      <w:color w:val="auto"/>
                      <w:kern w:val="2"/>
                      <w:sz w:val="21"/>
                      <w:szCs w:val="21"/>
                      <w:lang w:val="en-US" w:eastAsia="zh-CN" w:bidi="ar-SA"/>
                    </w:rPr>
                    <w:t>5</w:t>
                  </w:r>
                  <w:r>
                    <w:rPr>
                      <w:rFonts w:hint="eastAsia" w:cs="Times New Roman"/>
                      <w:color w:val="auto"/>
                      <w:kern w:val="2"/>
                      <w:sz w:val="21"/>
                      <w:szCs w:val="21"/>
                      <w:lang w:val="en-US" w:eastAsia="zh-CN" w:bidi="ar-SA"/>
                    </w:rPr>
                    <w:t>6</w:t>
                  </w:r>
                </w:p>
              </w:tc>
              <w:tc>
                <w:tcPr>
                  <w:tcW w:w="972" w:type="pct"/>
                  <w:vAlign w:val="center"/>
                </w:tcPr>
                <w:p w14:paraId="5F9178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56.4</w:t>
                  </w:r>
                </w:p>
              </w:tc>
              <w:tc>
                <w:tcPr>
                  <w:tcW w:w="970" w:type="pct"/>
                  <w:vMerge w:val="continue"/>
                  <w:vAlign w:val="center"/>
                </w:tcPr>
                <w:p w14:paraId="529556B7">
                  <w:pPr>
                    <w:jc w:val="center"/>
                    <w:rPr>
                      <w:rFonts w:hint="default" w:ascii="Times New Roman" w:hAnsi="Times New Roman" w:cs="Times New Roman"/>
                      <w:color w:val="auto"/>
                      <w:szCs w:val="21"/>
                      <w:highlight w:val="none"/>
                    </w:rPr>
                  </w:pPr>
                </w:p>
              </w:tc>
              <w:tc>
                <w:tcPr>
                  <w:tcW w:w="952" w:type="pct"/>
                  <w:vAlign w:val="center"/>
                </w:tcPr>
                <w:p w14:paraId="6619500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14:paraId="2B9E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1" w:type="pct"/>
                  <w:vAlign w:val="center"/>
                </w:tcPr>
                <w:p w14:paraId="1C25239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厂房北厂界</w:t>
                  </w:r>
                </w:p>
              </w:tc>
              <w:tc>
                <w:tcPr>
                  <w:tcW w:w="1781" w:type="dxa"/>
                  <w:vAlign w:val="center"/>
                </w:tcPr>
                <w:p w14:paraId="6023AC3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Times New Roman"/>
                      <w:color w:val="auto"/>
                      <w:szCs w:val="21"/>
                      <w:highlight w:val="none"/>
                      <w:lang w:val="en-US" w:eastAsia="zh-CN"/>
                    </w:rPr>
                  </w:pPr>
                  <w:r>
                    <w:rPr>
                      <w:rFonts w:hint="eastAsia" w:ascii="Times New Roman" w:hAnsi="Times New Roman" w:eastAsia="宋体" w:cs="Times New Roman"/>
                      <w:color w:val="auto"/>
                      <w:kern w:val="2"/>
                      <w:sz w:val="21"/>
                      <w:szCs w:val="21"/>
                      <w:lang w:val="en-US" w:eastAsia="zh-CN" w:bidi="ar-SA"/>
                    </w:rPr>
                    <w:t>5</w:t>
                  </w:r>
                  <w:r>
                    <w:rPr>
                      <w:rFonts w:hint="eastAsia" w:cs="Times New Roman"/>
                      <w:color w:val="auto"/>
                      <w:kern w:val="2"/>
                      <w:sz w:val="21"/>
                      <w:szCs w:val="21"/>
                      <w:lang w:val="en-US" w:eastAsia="zh-CN" w:bidi="ar-SA"/>
                    </w:rPr>
                    <w:t>6</w:t>
                  </w:r>
                </w:p>
              </w:tc>
              <w:tc>
                <w:tcPr>
                  <w:tcW w:w="972" w:type="pct"/>
                  <w:vAlign w:val="center"/>
                </w:tcPr>
                <w:p w14:paraId="4BED4E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56.1</w:t>
                  </w:r>
                </w:p>
              </w:tc>
              <w:tc>
                <w:tcPr>
                  <w:tcW w:w="970" w:type="pct"/>
                  <w:vMerge w:val="continue"/>
                  <w:vAlign w:val="center"/>
                </w:tcPr>
                <w:p w14:paraId="5EF4CB47">
                  <w:pPr>
                    <w:jc w:val="center"/>
                    <w:rPr>
                      <w:rFonts w:hint="default" w:ascii="Times New Roman" w:hAnsi="Times New Roman" w:cs="Times New Roman"/>
                      <w:color w:val="auto"/>
                      <w:szCs w:val="21"/>
                      <w:highlight w:val="none"/>
                    </w:rPr>
                  </w:pPr>
                </w:p>
              </w:tc>
              <w:tc>
                <w:tcPr>
                  <w:tcW w:w="952" w:type="pct"/>
                  <w:vAlign w:val="center"/>
                </w:tcPr>
                <w:p w14:paraId="49D65E1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14:paraId="6BD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1" w:type="pct"/>
                  <w:vAlign w:val="center"/>
                </w:tcPr>
                <w:p w14:paraId="5A375D42">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eastAsia="zh-CN"/>
                    </w:rPr>
                    <w:t>居民点</w:t>
                  </w:r>
                  <w:r>
                    <w:rPr>
                      <w:rFonts w:hint="eastAsia" w:cs="Times New Roman"/>
                      <w:color w:val="auto"/>
                      <w:szCs w:val="21"/>
                      <w:highlight w:val="none"/>
                      <w:lang w:val="en-US" w:eastAsia="zh-CN"/>
                    </w:rPr>
                    <w:t>1</w:t>
                  </w:r>
                </w:p>
              </w:tc>
              <w:tc>
                <w:tcPr>
                  <w:tcW w:w="1781" w:type="dxa"/>
                  <w:vAlign w:val="center"/>
                </w:tcPr>
                <w:p w14:paraId="4BE108C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Times New Roman"/>
                      <w:color w:val="auto"/>
                      <w:szCs w:val="21"/>
                      <w:highlight w:val="none"/>
                      <w:lang w:val="en-US" w:eastAsia="zh-CN"/>
                    </w:rPr>
                  </w:pPr>
                  <w:r>
                    <w:rPr>
                      <w:rFonts w:hint="eastAsia" w:ascii="Times New Roman" w:hAnsi="Times New Roman" w:eastAsia="宋体" w:cs="Times New Roman"/>
                      <w:color w:val="auto"/>
                      <w:kern w:val="2"/>
                      <w:sz w:val="21"/>
                      <w:szCs w:val="21"/>
                      <w:lang w:val="en-US" w:eastAsia="zh-CN" w:bidi="ar-SA"/>
                    </w:rPr>
                    <w:t>5</w:t>
                  </w:r>
                  <w:r>
                    <w:rPr>
                      <w:rFonts w:hint="eastAsia" w:cs="Times New Roman"/>
                      <w:color w:val="auto"/>
                      <w:kern w:val="2"/>
                      <w:sz w:val="21"/>
                      <w:szCs w:val="21"/>
                      <w:lang w:val="en-US" w:eastAsia="zh-CN" w:bidi="ar-SA"/>
                    </w:rPr>
                    <w:t>7</w:t>
                  </w:r>
                </w:p>
              </w:tc>
              <w:tc>
                <w:tcPr>
                  <w:tcW w:w="972" w:type="pct"/>
                  <w:vAlign w:val="center"/>
                </w:tcPr>
                <w:p w14:paraId="3E3E79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57.3</w:t>
                  </w:r>
                </w:p>
              </w:tc>
              <w:tc>
                <w:tcPr>
                  <w:tcW w:w="970" w:type="pct"/>
                  <w:vMerge w:val="continue"/>
                  <w:vAlign w:val="center"/>
                </w:tcPr>
                <w:p w14:paraId="69A8935E">
                  <w:pPr>
                    <w:jc w:val="center"/>
                    <w:rPr>
                      <w:rFonts w:hint="default" w:ascii="Times New Roman" w:hAnsi="Times New Roman" w:cs="Times New Roman"/>
                      <w:color w:val="auto"/>
                      <w:szCs w:val="21"/>
                      <w:highlight w:val="none"/>
                    </w:rPr>
                  </w:pPr>
                </w:p>
              </w:tc>
              <w:tc>
                <w:tcPr>
                  <w:tcW w:w="952" w:type="pct"/>
                  <w:vAlign w:val="center"/>
                </w:tcPr>
                <w:p w14:paraId="656BD95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bl>
          <w:p w14:paraId="225B19E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由预测结果可知，本项目全部投产后，建设项目厂界处的噪声排放值均可达到《工业企业厂界环境噪声排放标准》（GB 12348-2008）中</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类区标准的要求</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sz w:val="24"/>
                <w:szCs w:val="24"/>
                <w:highlight w:val="none"/>
              </w:rPr>
              <w:t>因此，建设项目投产后对周围声环境影响较小</w:t>
            </w:r>
            <w:r>
              <w:rPr>
                <w:rFonts w:hint="default" w:ascii="Times New Roman" w:hAnsi="Times New Roman" w:cs="Times New Roman"/>
                <w:color w:val="auto"/>
                <w:sz w:val="24"/>
                <w:szCs w:val="24"/>
                <w:highlight w:val="none"/>
              </w:rPr>
              <w:t>。</w:t>
            </w:r>
          </w:p>
          <w:p w14:paraId="3767061E">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（3）噪声自行监测要求</w:t>
            </w:r>
          </w:p>
          <w:p w14:paraId="733F12DA">
            <w:pPr>
              <w:pStyle w:val="51"/>
              <w:rPr>
                <w:rFonts w:hint="default" w:ascii="Times New Roman" w:hAnsi="Times New Roman" w:cs="Times New Roman"/>
                <w:color w:val="auto"/>
                <w:sz w:val="21"/>
                <w:szCs w:val="21"/>
                <w:highlight w:val="none"/>
              </w:rPr>
            </w:pPr>
            <w:r>
              <w:rPr>
                <w:rFonts w:hint="default" w:ascii="Times New Roman" w:hAnsi="Times New Roman" w:cs="Times New Roman"/>
                <w:color w:val="auto"/>
                <w:highlight w:val="none"/>
              </w:rPr>
              <w:t>根据《排污许可证申请与核发技术规范 总则》（HJ942-2018）、《排污许可证申请与核发技术规范 工业噪声》（HJ1301—2023），本项目运行期噪声监测方案详见下表。</w:t>
            </w:r>
          </w:p>
          <w:p w14:paraId="12F601E8">
            <w:pPr>
              <w:pStyle w:val="368"/>
              <w:rPr>
                <w:rFonts w:hint="default" w:ascii="Times New Roman" w:hAnsi="Times New Roman" w:cs="Times New Roman"/>
                <w:color w:val="auto"/>
                <w:highlight w:val="none"/>
              </w:rPr>
            </w:pPr>
            <w:r>
              <w:rPr>
                <w:rFonts w:hint="default" w:ascii="Times New Roman" w:hAnsi="Times New Roman" w:cs="Times New Roman"/>
                <w:color w:val="auto"/>
                <w:highlight w:val="none"/>
              </w:rPr>
              <w:t>表4-1</w:t>
            </w:r>
            <w:r>
              <w:rPr>
                <w:rFonts w:hint="eastAsia" w:cs="Times New Roman"/>
                <w:color w:val="auto"/>
                <w:highlight w:val="none"/>
                <w:lang w:val="en-US" w:eastAsia="zh-CN"/>
              </w:rPr>
              <w:t>3</w:t>
            </w:r>
            <w:r>
              <w:rPr>
                <w:rFonts w:hint="default" w:ascii="Times New Roman" w:hAnsi="Times New Roman" w:cs="Times New Roman"/>
                <w:color w:val="auto"/>
                <w:highlight w:val="none"/>
              </w:rPr>
              <w:t xml:space="preserve">  噪声自行监测计划</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1"/>
              <w:gridCol w:w="1508"/>
              <w:gridCol w:w="1662"/>
              <w:gridCol w:w="1510"/>
              <w:gridCol w:w="3669"/>
            </w:tblGrid>
            <w:tr w14:paraId="733A76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443" w:type="pct"/>
                </w:tcPr>
                <w:p w14:paraId="29C19334">
                  <w:pPr>
                    <w:pStyle w:val="76"/>
                    <w:spacing w:before="24" w:after="2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监测内容</w:t>
                  </w:r>
                </w:p>
              </w:tc>
              <w:tc>
                <w:tcPr>
                  <w:tcW w:w="823" w:type="pct"/>
                  <w:vAlign w:val="center"/>
                </w:tcPr>
                <w:p w14:paraId="6397F952">
                  <w:pPr>
                    <w:pStyle w:val="76"/>
                    <w:spacing w:before="24" w:after="2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监测点位</w:t>
                  </w:r>
                </w:p>
              </w:tc>
              <w:tc>
                <w:tcPr>
                  <w:tcW w:w="907" w:type="pct"/>
                  <w:vAlign w:val="center"/>
                </w:tcPr>
                <w:p w14:paraId="48C0B530">
                  <w:pPr>
                    <w:pStyle w:val="76"/>
                    <w:spacing w:before="24" w:after="2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监测因子</w:t>
                  </w:r>
                </w:p>
              </w:tc>
              <w:tc>
                <w:tcPr>
                  <w:tcW w:w="824" w:type="pct"/>
                  <w:vAlign w:val="center"/>
                </w:tcPr>
                <w:p w14:paraId="7CEAFFA2">
                  <w:pPr>
                    <w:pStyle w:val="76"/>
                    <w:spacing w:before="24" w:after="2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监测频次</w:t>
                  </w:r>
                </w:p>
              </w:tc>
              <w:tc>
                <w:tcPr>
                  <w:tcW w:w="2003" w:type="pct"/>
                  <w:vAlign w:val="center"/>
                </w:tcPr>
                <w:p w14:paraId="20564B5A">
                  <w:pPr>
                    <w:pStyle w:val="76"/>
                    <w:spacing w:before="24" w:after="2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执行标准</w:t>
                  </w:r>
                </w:p>
              </w:tc>
            </w:tr>
            <w:tr w14:paraId="0576A6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443" w:type="pct"/>
                  <w:vAlign w:val="center"/>
                </w:tcPr>
                <w:p w14:paraId="328484AB">
                  <w:pPr>
                    <w:pStyle w:val="76"/>
                    <w:spacing w:before="24" w:after="2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噪声</w:t>
                  </w:r>
                </w:p>
              </w:tc>
              <w:tc>
                <w:tcPr>
                  <w:tcW w:w="823" w:type="pct"/>
                  <w:vAlign w:val="center"/>
                </w:tcPr>
                <w:p w14:paraId="10AF276B">
                  <w:pPr>
                    <w:pStyle w:val="76"/>
                    <w:spacing w:before="24" w:after="2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厂界</w:t>
                  </w:r>
                </w:p>
              </w:tc>
              <w:tc>
                <w:tcPr>
                  <w:tcW w:w="907" w:type="pct"/>
                  <w:vAlign w:val="center"/>
                </w:tcPr>
                <w:p w14:paraId="0A37F8B6">
                  <w:pPr>
                    <w:pStyle w:val="76"/>
                    <w:spacing w:before="24" w:after="2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等效连续A声级</w:t>
                  </w:r>
                </w:p>
              </w:tc>
              <w:tc>
                <w:tcPr>
                  <w:tcW w:w="824" w:type="pct"/>
                  <w:vAlign w:val="center"/>
                </w:tcPr>
                <w:p w14:paraId="761E5CC4">
                  <w:pPr>
                    <w:pStyle w:val="76"/>
                    <w:spacing w:before="24" w:after="2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每季度监测一次</w:t>
                  </w:r>
                </w:p>
              </w:tc>
              <w:tc>
                <w:tcPr>
                  <w:tcW w:w="2003" w:type="pct"/>
                  <w:vAlign w:val="center"/>
                </w:tcPr>
                <w:p w14:paraId="26CDB2E1">
                  <w:pPr>
                    <w:pStyle w:val="76"/>
                    <w:spacing w:before="24" w:after="2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《工业企业厂界环境噪声排放标准》（GB 12348-2008）</w:t>
                  </w:r>
                </w:p>
              </w:tc>
            </w:tr>
          </w:tbl>
          <w:p w14:paraId="3CAE2D62">
            <w:pPr>
              <w:spacing w:line="360" w:lineRule="auto"/>
              <w:rPr>
                <w:b/>
                <w:bCs/>
                <w:color w:val="auto"/>
                <w:spacing w:val="4"/>
                <w:sz w:val="24"/>
                <w:highlight w:val="none"/>
              </w:rPr>
            </w:pPr>
            <w:r>
              <w:rPr>
                <w:rFonts w:hint="eastAsia"/>
                <w:b/>
                <w:bCs/>
                <w:color w:val="auto"/>
                <w:spacing w:val="4"/>
                <w:sz w:val="24"/>
                <w:highlight w:val="none"/>
                <w:lang w:eastAsia="zh-CN"/>
              </w:rPr>
              <w:t>四、</w:t>
            </w:r>
            <w:r>
              <w:rPr>
                <w:b/>
                <w:bCs/>
                <w:color w:val="auto"/>
                <w:spacing w:val="4"/>
                <w:sz w:val="24"/>
                <w:highlight w:val="none"/>
              </w:rPr>
              <w:t>固体废物</w:t>
            </w:r>
          </w:p>
          <w:p w14:paraId="714D6995">
            <w:pPr>
              <w:pStyle w:val="49"/>
              <w:spacing w:line="360" w:lineRule="auto"/>
              <w:ind w:firstLineChars="200"/>
              <w:rPr>
                <w:rFonts w:hint="default" w:ascii="Times New Roman" w:hAnsi="Times New Roman" w:cs="Times New Roman"/>
                <w:color w:val="auto"/>
                <w:sz w:val="24"/>
                <w:szCs w:val="24"/>
                <w:highlight w:val="none"/>
                <w:lang w:bidi="ar"/>
              </w:rPr>
            </w:pPr>
            <w:r>
              <w:rPr>
                <w:rFonts w:hint="default" w:ascii="Times New Roman" w:hAnsi="Times New Roman" w:cs="Times New Roman"/>
                <w:color w:val="auto"/>
                <w:sz w:val="24"/>
                <w:szCs w:val="24"/>
                <w:highlight w:val="none"/>
                <w:lang w:bidi="ar"/>
              </w:rPr>
              <w:t>1、固体废物产生量分析</w:t>
            </w:r>
          </w:p>
          <w:p w14:paraId="56D7E206">
            <w:pPr>
              <w:pStyle w:val="49"/>
              <w:spacing w:line="360" w:lineRule="auto"/>
              <w:ind w:firstLineChars="200"/>
              <w:rPr>
                <w:rFonts w:hint="default" w:ascii="Times New Roman" w:hAnsi="Times New Roman" w:cs="Times New Roman"/>
                <w:color w:val="auto"/>
                <w:sz w:val="24"/>
                <w:szCs w:val="24"/>
                <w:highlight w:val="none"/>
                <w:lang w:bidi="ar"/>
              </w:rPr>
            </w:pPr>
            <w:r>
              <w:rPr>
                <w:rFonts w:hint="default" w:ascii="Times New Roman" w:hAnsi="Times New Roman" w:cs="Times New Roman"/>
                <w:color w:val="auto"/>
                <w:sz w:val="24"/>
                <w:szCs w:val="24"/>
                <w:highlight w:val="none"/>
                <w:lang w:bidi="ar"/>
              </w:rPr>
              <w:t>（1）一般固体废物</w:t>
            </w:r>
          </w:p>
          <w:p w14:paraId="414F5F0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lang w:val="en-US" w:bidi="ar"/>
              </w:rPr>
            </w:pPr>
            <w:r>
              <w:rPr>
                <w:rFonts w:hint="default" w:ascii="Times New Roman" w:hAnsi="Times New Roman" w:cs="Times New Roman"/>
                <w:color w:val="auto"/>
                <w:sz w:val="24"/>
                <w:szCs w:val="24"/>
                <w:highlight w:val="none"/>
              </w:rPr>
              <w:t>本</w:t>
            </w:r>
            <w:r>
              <w:rPr>
                <w:rFonts w:hint="default" w:ascii="Times New Roman" w:hAnsi="Times New Roman" w:cs="Times New Roman"/>
                <w:color w:val="auto"/>
                <w:sz w:val="24"/>
                <w:szCs w:val="24"/>
                <w:highlight w:val="none"/>
                <w:lang w:bidi="ar"/>
              </w:rPr>
              <w:t>项目产生的一般固体废物主要有</w:t>
            </w:r>
            <w:r>
              <w:rPr>
                <w:rFonts w:hint="eastAsia" w:cs="Times New Roman"/>
                <w:color w:val="auto"/>
                <w:sz w:val="24"/>
                <w:szCs w:val="24"/>
                <w:highlight w:val="none"/>
                <w:lang w:eastAsia="zh-CN" w:bidi="ar"/>
              </w:rPr>
              <w:t>废布袋、废石英砂、废活性炭、废滤芯、废纳滤膜、废反渗透膜、</w:t>
            </w:r>
            <w:r>
              <w:rPr>
                <w:rFonts w:hint="eastAsia" w:ascii="宋体" w:hAnsi="宋体" w:eastAsia="宋体" w:cs="宋体"/>
                <w:color w:val="auto"/>
                <w:kern w:val="0"/>
                <w:sz w:val="24"/>
                <w:szCs w:val="24"/>
                <w:highlight w:val="none"/>
                <w:lang w:val="en-US" w:eastAsia="zh-CN" w:bidi="ar"/>
              </w:rPr>
              <w:t>废瓶/桶/盖、废包装材料</w:t>
            </w:r>
            <w:r>
              <w:rPr>
                <w:rFonts w:hint="eastAsia" w:ascii="宋体" w:hAnsi="宋体" w:cs="宋体"/>
                <w:color w:val="auto"/>
                <w:kern w:val="0"/>
                <w:sz w:val="24"/>
                <w:szCs w:val="24"/>
                <w:highlight w:val="none"/>
                <w:lang w:val="en-US" w:eastAsia="zh-CN" w:bidi="ar"/>
              </w:rPr>
              <w:t>、废灯管</w:t>
            </w:r>
            <w:r>
              <w:rPr>
                <w:rFonts w:hint="eastAsia" w:ascii="宋体" w:hAnsi="宋体" w:eastAsia="宋体" w:cs="宋体"/>
                <w:color w:val="auto"/>
                <w:kern w:val="0"/>
                <w:sz w:val="24"/>
                <w:szCs w:val="24"/>
                <w:highlight w:val="none"/>
                <w:lang w:val="en-US" w:eastAsia="zh-CN" w:bidi="ar"/>
              </w:rPr>
              <w:t>和</w:t>
            </w:r>
            <w:r>
              <w:rPr>
                <w:rFonts w:hint="eastAsia" w:ascii="宋体" w:hAnsi="宋体" w:cs="宋体"/>
                <w:color w:val="auto"/>
                <w:kern w:val="0"/>
                <w:sz w:val="24"/>
                <w:szCs w:val="24"/>
                <w:highlight w:val="none"/>
                <w:lang w:val="en-US" w:eastAsia="zh-CN" w:bidi="ar"/>
              </w:rPr>
              <w:t>生活垃圾</w:t>
            </w:r>
            <w:r>
              <w:rPr>
                <w:rFonts w:hint="eastAsia" w:ascii="宋体" w:hAnsi="宋体" w:eastAsia="宋体" w:cs="宋体"/>
                <w:color w:val="auto"/>
                <w:kern w:val="0"/>
                <w:sz w:val="24"/>
                <w:szCs w:val="24"/>
                <w:highlight w:val="none"/>
                <w:lang w:val="en-US" w:eastAsia="zh-CN" w:bidi="ar"/>
              </w:rPr>
              <w:t>。</w:t>
            </w:r>
          </w:p>
          <w:p w14:paraId="71CB1474">
            <w:pPr>
              <w:spacing w:line="360" w:lineRule="auto"/>
              <w:ind w:firstLine="480" w:firstLineChars="200"/>
              <w:rPr>
                <w:rFonts w:hint="default" w:ascii="Times New Roman" w:hAnsi="Times New Roman" w:cs="Times New Roman"/>
                <w:color w:val="auto"/>
                <w:sz w:val="24"/>
                <w:highlight w:val="none"/>
                <w:lang w:bidi="ar"/>
              </w:rPr>
            </w:pPr>
            <w:r>
              <w:rPr>
                <w:rFonts w:hint="default" w:ascii="Times New Roman" w:hAnsi="Times New Roman" w:cs="Times New Roman"/>
                <w:color w:val="auto"/>
                <w:sz w:val="24"/>
                <w:highlight w:val="none"/>
                <w:lang w:bidi="ar"/>
              </w:rPr>
              <w:t>①生活垃圾</w:t>
            </w:r>
          </w:p>
          <w:p w14:paraId="2FCC4E2E">
            <w:pPr>
              <w:spacing w:line="360" w:lineRule="auto"/>
              <w:ind w:firstLine="480" w:firstLineChars="200"/>
              <w:rPr>
                <w:rFonts w:hint="default" w:ascii="Times New Roman" w:hAnsi="Times New Roman" w:cs="Times New Roman"/>
                <w:color w:val="auto"/>
                <w:sz w:val="24"/>
                <w:highlight w:val="none"/>
                <w:lang w:bidi="ar"/>
              </w:rPr>
            </w:pPr>
            <w:r>
              <w:rPr>
                <w:rFonts w:hint="default" w:ascii="Times New Roman" w:hAnsi="Times New Roman" w:cs="Times New Roman"/>
                <w:color w:val="auto"/>
                <w:sz w:val="24"/>
                <w:highlight w:val="none"/>
              </w:rPr>
              <w:t>本</w:t>
            </w:r>
            <w:r>
              <w:rPr>
                <w:rFonts w:hint="default" w:ascii="Times New Roman" w:hAnsi="Times New Roman" w:cs="Times New Roman"/>
                <w:color w:val="auto"/>
                <w:sz w:val="24"/>
                <w:highlight w:val="none"/>
                <w:lang w:bidi="ar"/>
              </w:rPr>
              <w:t>项目劳动定员为</w:t>
            </w:r>
            <w:r>
              <w:rPr>
                <w:rFonts w:hint="eastAsia" w:cs="Times New Roman"/>
                <w:color w:val="auto"/>
                <w:sz w:val="24"/>
                <w:highlight w:val="none"/>
                <w:lang w:val="en-US" w:eastAsia="zh-CN" w:bidi="ar"/>
              </w:rPr>
              <w:t>6</w:t>
            </w:r>
            <w:r>
              <w:rPr>
                <w:rFonts w:hint="default" w:ascii="Times New Roman" w:hAnsi="Times New Roman" w:cs="Times New Roman"/>
                <w:color w:val="auto"/>
                <w:sz w:val="24"/>
                <w:highlight w:val="none"/>
                <w:lang w:bidi="ar"/>
              </w:rPr>
              <w:t>人，生活垃圾产生量按0.5kg/d·人计，则生活垃圾产生总量为</w:t>
            </w:r>
            <w:r>
              <w:rPr>
                <w:rFonts w:hint="eastAsia" w:cs="Times New Roman"/>
                <w:color w:val="auto"/>
                <w:sz w:val="24"/>
                <w:highlight w:val="none"/>
                <w:lang w:val="en-US" w:eastAsia="zh-CN" w:bidi="ar"/>
              </w:rPr>
              <w:t>0.9</w:t>
            </w:r>
            <w:r>
              <w:rPr>
                <w:rFonts w:hint="default" w:ascii="Times New Roman" w:hAnsi="Times New Roman" w:cs="Times New Roman"/>
                <w:color w:val="auto"/>
                <w:sz w:val="24"/>
                <w:highlight w:val="none"/>
                <w:lang w:bidi="ar"/>
              </w:rPr>
              <w:t>t/a。统一收集后交由当地环卫部门处理。</w:t>
            </w:r>
          </w:p>
          <w:p w14:paraId="5CB4849A">
            <w:pPr>
              <w:spacing w:line="360" w:lineRule="auto"/>
              <w:ind w:firstLine="480" w:firstLineChars="200"/>
              <w:jc w:val="left"/>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szCs w:val="32"/>
                <w:highlight w:val="none"/>
              </w:rPr>
              <w:t>②</w:t>
            </w:r>
            <w:r>
              <w:rPr>
                <w:rFonts w:hint="eastAsia" w:cs="Times New Roman"/>
                <w:color w:val="auto"/>
                <w:sz w:val="24"/>
                <w:szCs w:val="32"/>
                <w:highlight w:val="none"/>
                <w:lang w:eastAsia="zh-CN"/>
              </w:rPr>
              <w:t>废布袋</w:t>
            </w:r>
          </w:p>
          <w:p w14:paraId="2B793F1F">
            <w:pPr>
              <w:spacing w:line="360" w:lineRule="auto"/>
              <w:ind w:firstLine="480" w:firstLineChars="200"/>
              <w:jc w:val="left"/>
              <w:rPr>
                <w:rFonts w:hint="default" w:ascii="Times New Roman" w:hAnsi="Times New Roman" w:eastAsia="宋体" w:cs="Times New Roman"/>
                <w:color w:val="auto"/>
                <w:sz w:val="24"/>
                <w:highlight w:val="none"/>
                <w:lang w:val="en-US" w:eastAsia="zh-CN" w:bidi="ar"/>
              </w:rPr>
            </w:pPr>
            <w:r>
              <w:rPr>
                <w:rFonts w:hint="eastAsia" w:cs="Times New Roman"/>
                <w:color w:val="auto"/>
                <w:sz w:val="24"/>
                <w:highlight w:val="none"/>
                <w:lang w:eastAsia="zh-CN" w:bidi="ar"/>
              </w:rPr>
              <w:t>项目原水采集后首先经过布袋过滤器将水中的颗粒物拦截，需定期更换布袋，根据建设单位提供资料，项目布袋更换频次为每半年一次，产生的废布袋为</w:t>
            </w:r>
            <w:r>
              <w:rPr>
                <w:rFonts w:hint="eastAsia" w:cs="Times New Roman"/>
                <w:color w:val="auto"/>
                <w:sz w:val="24"/>
                <w:highlight w:val="none"/>
                <w:lang w:val="en-US" w:eastAsia="zh-CN" w:bidi="ar"/>
              </w:rPr>
              <w:t>0.05t，则废布袋产生量为0.1t/a。收集后交由环卫部门处理。</w:t>
            </w:r>
          </w:p>
          <w:p w14:paraId="61A577A2">
            <w:pPr>
              <w:spacing w:line="360" w:lineRule="auto"/>
              <w:ind w:firstLine="480" w:firstLineChars="200"/>
              <w:jc w:val="left"/>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bidi="ar"/>
              </w:rPr>
              <w:t>③</w:t>
            </w:r>
            <w:r>
              <w:rPr>
                <w:rFonts w:hint="eastAsia" w:cs="Times New Roman"/>
                <w:color w:val="auto"/>
                <w:sz w:val="24"/>
                <w:highlight w:val="none"/>
                <w:lang w:eastAsia="zh-CN" w:bidi="ar"/>
              </w:rPr>
              <w:t>废石英砂</w:t>
            </w:r>
          </w:p>
          <w:p w14:paraId="24AE3B3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lang w:bidi="ar"/>
              </w:rPr>
            </w:pPr>
            <w:r>
              <w:rPr>
                <w:rFonts w:hint="eastAsia" w:ascii="宋体" w:hAnsi="宋体" w:eastAsia="宋体" w:cs="宋体"/>
                <w:color w:val="auto"/>
                <w:kern w:val="0"/>
                <w:sz w:val="24"/>
                <w:szCs w:val="24"/>
                <w:highlight w:val="none"/>
                <w:lang w:val="en-US" w:eastAsia="zh-CN" w:bidi="ar"/>
              </w:rPr>
              <w:t>项目多介质过滤采用石英砂，需定期进行更换产生废石英砂。根据建设单位提供资料，项目石英砂更换频次为每月一次，每次产生废石英砂</w:t>
            </w:r>
            <w:r>
              <w:rPr>
                <w:rFonts w:hint="default" w:ascii="Times New Roman" w:hAnsi="Times New Roman" w:eastAsia="宋体" w:cs="Times New Roman"/>
                <w:color w:val="auto"/>
                <w:kern w:val="0"/>
                <w:sz w:val="24"/>
                <w:szCs w:val="24"/>
                <w:highlight w:val="none"/>
                <w:lang w:val="en-US" w:eastAsia="zh-CN" w:bidi="ar"/>
              </w:rPr>
              <w:t>0.3</w:t>
            </w:r>
            <w:r>
              <w:rPr>
                <w:rFonts w:hint="eastAsia" w:ascii="宋体" w:hAnsi="宋体" w:eastAsia="宋体" w:cs="宋体"/>
                <w:color w:val="auto"/>
                <w:kern w:val="0"/>
                <w:sz w:val="24"/>
                <w:szCs w:val="24"/>
                <w:highlight w:val="none"/>
                <w:lang w:val="en-US" w:eastAsia="zh-CN" w:bidi="ar"/>
              </w:rPr>
              <w:t>吨，则项目废石英砂产生量</w:t>
            </w:r>
            <w:r>
              <w:rPr>
                <w:rFonts w:hint="default" w:ascii="Times New Roman" w:hAnsi="Times New Roman" w:eastAsia="宋体" w:cs="Times New Roman"/>
                <w:color w:val="auto"/>
                <w:kern w:val="0"/>
                <w:sz w:val="24"/>
                <w:szCs w:val="24"/>
                <w:highlight w:val="none"/>
                <w:lang w:val="en-US" w:eastAsia="zh-CN" w:bidi="ar"/>
              </w:rPr>
              <w:t>3.6t/a</w:t>
            </w:r>
            <w:r>
              <w:rPr>
                <w:rFonts w:hint="eastAsia" w:ascii="宋体" w:hAnsi="宋体" w:eastAsia="宋体" w:cs="宋体"/>
                <w:color w:val="auto"/>
                <w:kern w:val="0"/>
                <w:sz w:val="24"/>
                <w:szCs w:val="24"/>
                <w:highlight w:val="none"/>
                <w:lang w:val="en-US" w:eastAsia="zh-CN" w:bidi="ar"/>
              </w:rPr>
              <w:t>。</w:t>
            </w:r>
            <w:r>
              <w:rPr>
                <w:rFonts w:hint="eastAsia" w:cs="Times New Roman"/>
                <w:color w:val="auto"/>
                <w:sz w:val="24"/>
                <w:highlight w:val="none"/>
                <w:lang w:val="en-US" w:eastAsia="zh-CN" w:bidi="ar"/>
              </w:rPr>
              <w:t>收集后交由环卫部门处理</w:t>
            </w:r>
            <w:r>
              <w:rPr>
                <w:rFonts w:hint="eastAsia" w:ascii="宋体" w:hAnsi="宋体" w:eastAsia="宋体" w:cs="宋体"/>
                <w:color w:val="auto"/>
                <w:kern w:val="0"/>
                <w:sz w:val="24"/>
                <w:szCs w:val="24"/>
                <w:highlight w:val="none"/>
                <w:lang w:val="en-US" w:eastAsia="zh-CN" w:bidi="ar"/>
              </w:rPr>
              <w:t>。</w:t>
            </w:r>
          </w:p>
          <w:p w14:paraId="087B6647">
            <w:pPr>
              <w:pStyle w:val="51"/>
              <w:rPr>
                <w:rFonts w:hint="eastAsia" w:ascii="Times New Roman" w:hAnsi="Times New Roman" w:eastAsia="宋体" w:cs="Times New Roman"/>
                <w:color w:val="auto"/>
                <w:highlight w:val="none"/>
                <w:lang w:eastAsia="zh-CN" w:bidi="ar"/>
              </w:rPr>
            </w:pPr>
            <w:r>
              <w:rPr>
                <w:rFonts w:hint="default" w:ascii="Times New Roman" w:hAnsi="Times New Roman" w:cs="Times New Roman"/>
                <w:color w:val="auto"/>
                <w:highlight w:val="none"/>
                <w:lang w:bidi="ar"/>
              </w:rPr>
              <w:t>④</w:t>
            </w:r>
            <w:r>
              <w:rPr>
                <w:rFonts w:hint="eastAsia" w:cs="Times New Roman"/>
                <w:color w:val="auto"/>
                <w:highlight w:val="none"/>
                <w:lang w:eastAsia="zh-CN" w:bidi="ar"/>
              </w:rPr>
              <w:t>废活性炭</w:t>
            </w:r>
          </w:p>
          <w:p w14:paraId="1FF90EDF">
            <w:pPr>
              <w:pStyle w:val="51"/>
              <w:rPr>
                <w:rFonts w:hint="default" w:ascii="Times New Roman" w:hAnsi="Times New Roman" w:eastAsia="宋体" w:cs="Times New Roman"/>
                <w:color w:val="auto"/>
                <w:highlight w:val="none"/>
                <w:lang w:val="en-US" w:eastAsia="zh-CN" w:bidi="ar"/>
              </w:rPr>
            </w:pPr>
            <w:r>
              <w:rPr>
                <w:rFonts w:hint="default" w:ascii="Times New Roman" w:hAnsi="Times New Roman" w:cs="Times New Roman"/>
                <w:color w:val="auto"/>
                <w:highlight w:val="none"/>
                <w:lang w:eastAsia="zh-CN" w:bidi="ar"/>
              </w:rPr>
              <w:t>本项目采用活性炭过滤器，需定期更换产生的废活性炭，</w:t>
            </w:r>
            <w:r>
              <w:rPr>
                <w:rFonts w:hint="default" w:ascii="Times New Roman" w:hAnsi="Times New Roman" w:eastAsia="宋体" w:cs="Times New Roman"/>
                <w:color w:val="auto"/>
                <w:kern w:val="0"/>
                <w:sz w:val="24"/>
                <w:szCs w:val="24"/>
                <w:highlight w:val="none"/>
                <w:lang w:val="en-US" w:eastAsia="zh-CN" w:bidi="ar"/>
              </w:rPr>
              <w:t>根据建设单位提供资料，废活性炭产生量为0.3t/a，收集后交由厂家回收处置。</w:t>
            </w:r>
          </w:p>
          <w:p w14:paraId="712CC6AC">
            <w:pPr>
              <w:pStyle w:val="51"/>
              <w:rPr>
                <w:rFonts w:hint="eastAsia" w:ascii="Times New Roman" w:hAnsi="Times New Roman" w:eastAsia="宋体" w:cs="Times New Roman"/>
                <w:color w:val="auto"/>
                <w:highlight w:val="none"/>
                <w:lang w:eastAsia="zh-CN" w:bidi="ar"/>
              </w:rPr>
            </w:pPr>
            <w:r>
              <w:rPr>
                <w:rFonts w:hint="default" w:ascii="Times New Roman" w:hAnsi="Times New Roman" w:cs="Times New Roman"/>
                <w:color w:val="auto"/>
                <w:highlight w:val="none"/>
                <w:lang w:bidi="ar"/>
              </w:rPr>
              <w:t>⑤</w:t>
            </w:r>
            <w:r>
              <w:rPr>
                <w:rFonts w:hint="eastAsia" w:cs="Times New Roman"/>
                <w:color w:val="auto"/>
                <w:szCs w:val="32"/>
                <w:highlight w:val="none"/>
                <w:lang w:eastAsia="zh-CN"/>
              </w:rPr>
              <w:t>废滤芯</w:t>
            </w:r>
          </w:p>
          <w:p w14:paraId="7424046D">
            <w:pPr>
              <w:pStyle w:val="51"/>
              <w:rPr>
                <w:rFonts w:hint="default" w:ascii="Times New Roman" w:hAnsi="Times New Roman" w:cs="Times New Roman"/>
                <w:color w:val="auto"/>
                <w:highlight w:val="none"/>
                <w:lang w:bidi="ar"/>
              </w:rPr>
            </w:pPr>
            <w:r>
              <w:rPr>
                <w:rFonts w:hint="default" w:ascii="Times New Roman" w:hAnsi="Times New Roman" w:cs="Times New Roman"/>
                <w:color w:val="auto"/>
                <w:highlight w:val="none"/>
                <w:lang w:bidi="ar"/>
              </w:rPr>
              <w:t>本项目</w:t>
            </w:r>
            <w:r>
              <w:rPr>
                <w:rFonts w:hint="eastAsia" w:cs="Times New Roman"/>
                <w:color w:val="auto"/>
                <w:highlight w:val="none"/>
                <w:lang w:eastAsia="zh-CN" w:bidi="ar"/>
              </w:rPr>
              <w:t>精密过滤和保安过滤定期更换滤芯，会产生废滤芯，</w:t>
            </w:r>
            <w:r>
              <w:rPr>
                <w:rFonts w:hint="eastAsia" w:ascii="宋体" w:hAnsi="宋体" w:eastAsia="宋体" w:cs="宋体"/>
                <w:color w:val="auto"/>
                <w:kern w:val="0"/>
                <w:sz w:val="24"/>
                <w:szCs w:val="24"/>
                <w:highlight w:val="none"/>
                <w:lang w:val="en-US" w:eastAsia="zh-CN" w:bidi="ar"/>
              </w:rPr>
              <w:t>根据建设单位提供资料，</w:t>
            </w:r>
            <w:r>
              <w:rPr>
                <w:rFonts w:hint="eastAsia" w:cs="Times New Roman"/>
                <w:color w:val="auto"/>
                <w:highlight w:val="none"/>
                <w:lang w:eastAsia="zh-CN" w:bidi="ar"/>
              </w:rPr>
              <w:t>废滤芯</w:t>
            </w:r>
            <w:r>
              <w:rPr>
                <w:rFonts w:hint="default" w:ascii="Times New Roman" w:hAnsi="Times New Roman" w:cs="Times New Roman"/>
                <w:color w:val="auto"/>
                <w:highlight w:val="none"/>
                <w:lang w:bidi="ar"/>
              </w:rPr>
              <w:t>产生</w:t>
            </w:r>
            <w:r>
              <w:rPr>
                <w:rFonts w:hint="eastAsia" w:cs="Times New Roman"/>
                <w:color w:val="auto"/>
                <w:highlight w:val="none"/>
                <w:lang w:eastAsia="zh-CN" w:bidi="ar"/>
              </w:rPr>
              <w:t>量</w:t>
            </w:r>
            <w:r>
              <w:rPr>
                <w:rFonts w:hint="default" w:ascii="Times New Roman" w:hAnsi="Times New Roman" w:cs="Times New Roman"/>
                <w:color w:val="auto"/>
                <w:highlight w:val="none"/>
                <w:lang w:bidi="ar"/>
              </w:rPr>
              <w:t>约为0.</w:t>
            </w:r>
            <w:r>
              <w:rPr>
                <w:rFonts w:hint="eastAsia" w:cs="Times New Roman"/>
                <w:color w:val="auto"/>
                <w:highlight w:val="none"/>
                <w:lang w:val="en-US" w:eastAsia="zh-CN" w:bidi="ar"/>
              </w:rPr>
              <w:t>05</w:t>
            </w:r>
            <w:r>
              <w:rPr>
                <w:rFonts w:hint="default" w:ascii="Times New Roman" w:hAnsi="Times New Roman" w:cs="Times New Roman"/>
                <w:color w:val="auto"/>
                <w:highlight w:val="none"/>
                <w:lang w:bidi="ar"/>
              </w:rPr>
              <w:t>t/a，</w:t>
            </w:r>
            <w:r>
              <w:rPr>
                <w:rFonts w:hint="default" w:ascii="Times New Roman" w:hAnsi="Times New Roman" w:cs="Times New Roman"/>
                <w:color w:val="auto"/>
                <w:highlight w:val="none"/>
              </w:rPr>
              <w:t>统一收集后</w:t>
            </w:r>
            <w:r>
              <w:rPr>
                <w:rFonts w:hint="eastAsia" w:cs="Times New Roman"/>
                <w:color w:val="auto"/>
                <w:highlight w:val="none"/>
                <w:lang w:eastAsia="zh-CN"/>
              </w:rPr>
              <w:t>交由厂家回收处置</w:t>
            </w:r>
            <w:r>
              <w:rPr>
                <w:rFonts w:hint="default" w:ascii="Times New Roman" w:hAnsi="Times New Roman" w:cs="Times New Roman"/>
                <w:color w:val="auto"/>
                <w:highlight w:val="none"/>
                <w:lang w:bidi="ar"/>
              </w:rPr>
              <w:t>。</w:t>
            </w:r>
          </w:p>
          <w:p w14:paraId="5FC6BED7">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⑥</w:t>
            </w:r>
            <w:r>
              <w:rPr>
                <w:rFonts w:hint="default" w:ascii="Times New Roman" w:hAnsi="Times New Roman" w:eastAsia="宋体" w:cs="Times New Roman"/>
                <w:color w:val="auto"/>
                <w:sz w:val="24"/>
                <w:szCs w:val="24"/>
                <w:highlight w:val="none"/>
                <w:lang w:eastAsia="zh-CN"/>
              </w:rPr>
              <w:t>废纳滤膜</w:t>
            </w:r>
          </w:p>
          <w:p w14:paraId="4C6DCA87">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项目纳滤需定期更换纳滤膜，会产生废纳滤膜</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kern w:val="0"/>
                <w:sz w:val="24"/>
                <w:szCs w:val="24"/>
                <w:highlight w:val="none"/>
                <w:lang w:val="en-US" w:eastAsia="zh-CN" w:bidi="ar"/>
              </w:rPr>
              <w:t>根据建设单位提供资料，</w:t>
            </w:r>
            <w:r>
              <w:rPr>
                <w:rFonts w:hint="default" w:ascii="Times New Roman" w:hAnsi="Times New Roman" w:eastAsia="宋体" w:cs="Times New Roman"/>
                <w:color w:val="auto"/>
                <w:sz w:val="24"/>
                <w:szCs w:val="24"/>
                <w:highlight w:val="none"/>
                <w:lang w:eastAsia="zh-CN"/>
              </w:rPr>
              <w:t>废纳滤膜产生量约为</w:t>
            </w:r>
            <w:r>
              <w:rPr>
                <w:rFonts w:hint="default" w:ascii="Times New Roman" w:hAnsi="Times New Roman" w:eastAsia="宋体" w:cs="Times New Roman"/>
                <w:color w:val="auto"/>
                <w:sz w:val="24"/>
                <w:szCs w:val="24"/>
                <w:highlight w:val="none"/>
                <w:lang w:val="en-US" w:eastAsia="zh-CN"/>
              </w:rPr>
              <w:t>0.01t/a，</w:t>
            </w:r>
            <w:r>
              <w:rPr>
                <w:rFonts w:hint="default" w:ascii="Times New Roman" w:hAnsi="Times New Roman" w:eastAsia="宋体" w:cs="Times New Roman"/>
                <w:color w:val="auto"/>
                <w:sz w:val="24"/>
                <w:szCs w:val="24"/>
                <w:highlight w:val="none"/>
              </w:rPr>
              <w:t>统一收集后</w:t>
            </w:r>
            <w:r>
              <w:rPr>
                <w:rFonts w:hint="default" w:ascii="Times New Roman" w:hAnsi="Times New Roman" w:eastAsia="宋体" w:cs="Times New Roman"/>
                <w:color w:val="auto"/>
                <w:sz w:val="24"/>
                <w:szCs w:val="24"/>
                <w:highlight w:val="none"/>
                <w:lang w:eastAsia="zh-CN"/>
              </w:rPr>
              <w:t>交由厂家回收处置。</w:t>
            </w:r>
          </w:p>
          <w:p w14:paraId="592169C0">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⑦</w:t>
            </w:r>
            <w:r>
              <w:rPr>
                <w:rFonts w:hint="default" w:ascii="Times New Roman" w:hAnsi="Times New Roman" w:eastAsia="宋体" w:cs="Times New Roman"/>
                <w:color w:val="auto"/>
                <w:sz w:val="24"/>
                <w:szCs w:val="24"/>
                <w:highlight w:val="none"/>
                <w:lang w:eastAsia="zh-CN"/>
              </w:rPr>
              <w:t>废反渗透膜</w:t>
            </w:r>
          </w:p>
          <w:p w14:paraId="27825128">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项目反渗透需定期更换反渗透膜，会产生废反渗透膜</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kern w:val="0"/>
                <w:sz w:val="24"/>
                <w:szCs w:val="24"/>
                <w:highlight w:val="none"/>
                <w:lang w:val="en-US" w:eastAsia="zh-CN" w:bidi="ar"/>
              </w:rPr>
              <w:t>根据建设单位提供资料，</w:t>
            </w:r>
            <w:r>
              <w:rPr>
                <w:rFonts w:hint="default" w:ascii="Times New Roman" w:hAnsi="Times New Roman" w:eastAsia="宋体" w:cs="Times New Roman"/>
                <w:color w:val="auto"/>
                <w:sz w:val="24"/>
                <w:szCs w:val="24"/>
                <w:highlight w:val="none"/>
                <w:lang w:eastAsia="zh-CN"/>
              </w:rPr>
              <w:t>废反渗透膜产生量约为</w:t>
            </w:r>
            <w:r>
              <w:rPr>
                <w:rFonts w:hint="default" w:ascii="Times New Roman" w:hAnsi="Times New Roman" w:eastAsia="宋体" w:cs="Times New Roman"/>
                <w:color w:val="auto"/>
                <w:sz w:val="24"/>
                <w:szCs w:val="24"/>
                <w:highlight w:val="none"/>
                <w:lang w:val="en-US" w:eastAsia="zh-CN"/>
              </w:rPr>
              <w:t>0.01t/a，</w:t>
            </w:r>
            <w:r>
              <w:rPr>
                <w:rFonts w:hint="default" w:ascii="Times New Roman" w:hAnsi="Times New Roman" w:eastAsia="宋体" w:cs="Times New Roman"/>
                <w:color w:val="auto"/>
                <w:sz w:val="24"/>
                <w:szCs w:val="24"/>
                <w:highlight w:val="none"/>
              </w:rPr>
              <w:t>统一收集后</w:t>
            </w:r>
            <w:r>
              <w:rPr>
                <w:rFonts w:hint="default" w:ascii="Times New Roman" w:hAnsi="Times New Roman" w:eastAsia="宋体" w:cs="Times New Roman"/>
                <w:color w:val="auto"/>
                <w:sz w:val="24"/>
                <w:szCs w:val="24"/>
                <w:highlight w:val="none"/>
                <w:lang w:eastAsia="zh-CN"/>
              </w:rPr>
              <w:t>交由厂家回收处置。</w:t>
            </w:r>
          </w:p>
          <w:p w14:paraId="44232F3F">
            <w:pPr>
              <w:spacing w:line="360" w:lineRule="auto"/>
              <w:ind w:firstLine="480" w:firstLineChars="200"/>
              <w:rPr>
                <w:rFonts w:hint="eastAsia" w:ascii="Times New Roman" w:hAnsi="Times New Roman" w:eastAsia="宋体" w:cs="Times New Roman"/>
                <w:color w:val="auto"/>
                <w:sz w:val="24"/>
                <w:szCs w:val="32"/>
                <w:highlight w:val="none"/>
                <w:lang w:eastAsia="zh-CN"/>
              </w:rPr>
            </w:pPr>
            <w:r>
              <w:rPr>
                <w:rFonts w:hint="eastAsia" w:ascii="宋体" w:hAnsi="宋体" w:eastAsia="宋体" w:cs="宋体"/>
                <w:color w:val="auto"/>
                <w:sz w:val="24"/>
                <w:szCs w:val="32"/>
                <w:highlight w:val="none"/>
              </w:rPr>
              <w:t>⑧</w:t>
            </w:r>
            <w:r>
              <w:rPr>
                <w:rFonts w:hint="eastAsia" w:ascii="Times New Roman" w:hAnsi="Times New Roman" w:eastAsia="宋体" w:cs="Times New Roman"/>
                <w:color w:val="auto"/>
                <w:sz w:val="24"/>
                <w:szCs w:val="24"/>
                <w:highlight w:val="none"/>
                <w:lang w:val="en-US" w:eastAsia="zh-CN"/>
              </w:rPr>
              <w:t>废瓶/桶及瓶盖</w:t>
            </w:r>
          </w:p>
          <w:p w14:paraId="0B5AC7C3">
            <w:pPr>
              <w:spacing w:line="360" w:lineRule="auto"/>
              <w:ind w:firstLine="480" w:firstLineChars="200"/>
              <w:rPr>
                <w:rFonts w:hint="default" w:ascii="Times New Roman" w:hAnsi="Times New Roman" w:eastAsia="宋体" w:cs="Times New Roman"/>
                <w:color w:val="auto"/>
                <w:sz w:val="24"/>
                <w:szCs w:val="32"/>
                <w:highlight w:val="none"/>
                <w:lang w:val="en-US" w:eastAsia="zh-CN"/>
              </w:rPr>
            </w:pPr>
            <w:r>
              <w:rPr>
                <w:rFonts w:hint="eastAsia" w:cs="Times New Roman"/>
                <w:color w:val="auto"/>
                <w:sz w:val="24"/>
                <w:szCs w:val="32"/>
                <w:highlight w:val="none"/>
                <w:lang w:eastAsia="zh-CN"/>
              </w:rPr>
              <w:t>项目在吹瓶、灌装、清洗过程中会产生废瓶</w:t>
            </w:r>
            <w:r>
              <w:rPr>
                <w:rFonts w:hint="eastAsia" w:cs="Times New Roman"/>
                <w:color w:val="auto"/>
                <w:sz w:val="24"/>
                <w:szCs w:val="32"/>
                <w:highlight w:val="none"/>
                <w:lang w:val="en-US" w:eastAsia="zh-CN"/>
              </w:rPr>
              <w:t>/桶/盖，产生量约为2t/a，收集后进行外售处置。</w:t>
            </w:r>
          </w:p>
          <w:p w14:paraId="1381A016">
            <w:pPr>
              <w:spacing w:line="360" w:lineRule="auto"/>
              <w:ind w:firstLine="480" w:firstLineChars="200"/>
              <w:rPr>
                <w:rFonts w:hint="eastAsia" w:ascii="Times New Roman" w:hAnsi="Times New Roman" w:eastAsia="宋体" w:cs="Times New Roman"/>
                <w:color w:val="auto"/>
                <w:sz w:val="24"/>
                <w:szCs w:val="32"/>
                <w:highlight w:val="none"/>
                <w:lang w:eastAsia="zh-CN"/>
              </w:rPr>
            </w:pPr>
            <w:r>
              <w:rPr>
                <w:rFonts w:hint="eastAsia" w:ascii="宋体" w:hAnsi="宋体" w:eastAsia="宋体" w:cs="宋体"/>
                <w:color w:val="auto"/>
                <w:sz w:val="24"/>
                <w:szCs w:val="32"/>
                <w:highlight w:val="none"/>
              </w:rPr>
              <w:t>⑨</w:t>
            </w:r>
            <w:r>
              <w:rPr>
                <w:rFonts w:hint="eastAsia" w:eastAsia="宋体" w:cs="Times New Roman"/>
                <w:color w:val="auto"/>
                <w:sz w:val="24"/>
                <w:szCs w:val="32"/>
                <w:highlight w:val="none"/>
                <w:lang w:eastAsia="zh-CN"/>
              </w:rPr>
              <w:t>废包装材料</w:t>
            </w:r>
          </w:p>
          <w:p w14:paraId="23ACD885">
            <w:pPr>
              <w:spacing w:line="360" w:lineRule="auto"/>
              <w:ind w:firstLine="480" w:firstLineChars="200"/>
              <w:rPr>
                <w:rFonts w:hint="default" w:ascii="Times New Roman" w:hAnsi="Times New Roman" w:cs="Times New Roman"/>
                <w:color w:val="auto"/>
                <w:sz w:val="24"/>
                <w:szCs w:val="32"/>
                <w:highlight w:val="none"/>
              </w:rPr>
            </w:pPr>
            <w:r>
              <w:rPr>
                <w:rFonts w:hint="eastAsia" w:cs="Times New Roman"/>
                <w:color w:val="auto"/>
                <w:sz w:val="24"/>
                <w:szCs w:val="32"/>
                <w:highlight w:val="none"/>
                <w:lang w:eastAsia="zh-CN"/>
              </w:rPr>
              <w:t>本项目对成品进行包装，会产生废包装材料，产生量约为</w:t>
            </w:r>
            <w:r>
              <w:rPr>
                <w:rFonts w:hint="eastAsia" w:cs="Times New Roman"/>
                <w:color w:val="auto"/>
                <w:sz w:val="24"/>
                <w:szCs w:val="32"/>
                <w:highlight w:val="none"/>
                <w:lang w:val="en-US" w:eastAsia="zh-CN"/>
              </w:rPr>
              <w:t>0.01t/a，收集后交由环卫部门清运处置</w:t>
            </w:r>
            <w:r>
              <w:rPr>
                <w:rFonts w:hint="default" w:ascii="Times New Roman" w:hAnsi="Times New Roman" w:cs="Times New Roman"/>
                <w:color w:val="auto"/>
                <w:sz w:val="24"/>
                <w:szCs w:val="32"/>
                <w:highlight w:val="none"/>
              </w:rPr>
              <w:t>。</w:t>
            </w:r>
          </w:p>
          <w:p w14:paraId="7B85477C">
            <w:pPr>
              <w:pStyle w:val="49"/>
              <w:spacing w:line="360" w:lineRule="auto"/>
              <w:ind w:firstLineChars="200"/>
              <w:rPr>
                <w:rFonts w:hint="default"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⑩废灯管</w:t>
            </w:r>
          </w:p>
          <w:p w14:paraId="5D1A8AD4">
            <w:pPr>
              <w:pStyle w:val="49"/>
              <w:spacing w:line="360" w:lineRule="auto"/>
              <w:rPr>
                <w:rFonts w:hint="default" w:ascii="Times New Roman" w:hAnsi="Times New Roman" w:eastAsia="宋体" w:cs="Times New Roman"/>
                <w:color w:val="auto"/>
                <w:sz w:val="24"/>
                <w:szCs w:val="24"/>
                <w:highlight w:val="none"/>
                <w:lang w:val="en-US" w:eastAsia="zh-CN" w:bidi="ar"/>
              </w:rPr>
            </w:pPr>
            <w:r>
              <w:rPr>
                <w:rFonts w:hint="eastAsia" w:cs="Times New Roman"/>
                <w:color w:val="auto"/>
                <w:sz w:val="24"/>
                <w:szCs w:val="24"/>
                <w:highlight w:val="none"/>
                <w:lang w:eastAsia="zh-CN" w:bidi="ar"/>
              </w:rPr>
              <w:t>本项目使用灯检进行检查，根据建设单位提供资料，使用日光灯管，会产生废灯管，产生量约为</w:t>
            </w:r>
            <w:r>
              <w:rPr>
                <w:rFonts w:hint="eastAsia" w:cs="Times New Roman"/>
                <w:color w:val="auto"/>
                <w:sz w:val="24"/>
                <w:szCs w:val="24"/>
                <w:highlight w:val="none"/>
                <w:lang w:val="en-US" w:eastAsia="zh-CN" w:bidi="ar"/>
              </w:rPr>
              <w:t>0.05t/a。</w:t>
            </w:r>
          </w:p>
          <w:p w14:paraId="051E1425">
            <w:pPr>
              <w:pStyle w:val="49"/>
              <w:spacing w:line="360" w:lineRule="auto"/>
              <w:ind w:firstLineChars="200"/>
              <w:rPr>
                <w:rFonts w:hint="default" w:ascii="Times New Roman" w:hAnsi="Times New Roman" w:cs="Times New Roman"/>
                <w:color w:val="auto"/>
                <w:sz w:val="24"/>
                <w:szCs w:val="24"/>
                <w:highlight w:val="none"/>
                <w:lang w:bidi="ar"/>
              </w:rPr>
            </w:pPr>
            <w:r>
              <w:rPr>
                <w:rFonts w:hint="default" w:ascii="Times New Roman" w:hAnsi="Times New Roman" w:cs="Times New Roman"/>
                <w:color w:val="auto"/>
                <w:sz w:val="24"/>
                <w:szCs w:val="24"/>
                <w:highlight w:val="none"/>
                <w:lang w:bidi="ar"/>
              </w:rPr>
              <w:t>（2）危险固体废物</w:t>
            </w:r>
          </w:p>
          <w:p w14:paraId="1F485FAB">
            <w:pPr>
              <w:pStyle w:val="49"/>
              <w:spacing w:line="360" w:lineRule="auto"/>
              <w:ind w:firstLineChars="200"/>
              <w:rPr>
                <w:rFonts w:hint="default" w:ascii="Times New Roman" w:hAnsi="Times New Roman" w:cs="Times New Roman"/>
                <w:color w:val="auto"/>
                <w:sz w:val="24"/>
                <w:szCs w:val="24"/>
                <w:highlight w:val="none"/>
                <w:lang w:bidi="ar"/>
              </w:rPr>
            </w:pPr>
            <w:r>
              <w:rPr>
                <w:rFonts w:hint="default" w:ascii="Times New Roman" w:hAnsi="Times New Roman" w:cs="Times New Roman"/>
                <w:color w:val="auto"/>
                <w:sz w:val="24"/>
                <w:szCs w:val="24"/>
                <w:highlight w:val="none"/>
              </w:rPr>
              <w:t>本</w:t>
            </w:r>
            <w:r>
              <w:rPr>
                <w:rFonts w:hint="default" w:ascii="Times New Roman" w:hAnsi="Times New Roman" w:cs="Times New Roman"/>
                <w:color w:val="auto"/>
                <w:sz w:val="24"/>
                <w:szCs w:val="24"/>
                <w:highlight w:val="none"/>
                <w:lang w:bidi="ar"/>
              </w:rPr>
              <w:t>项目产生的危险固体废物为废</w:t>
            </w:r>
            <w:r>
              <w:rPr>
                <w:rFonts w:hint="eastAsia" w:cs="Times New Roman"/>
                <w:color w:val="auto"/>
                <w:sz w:val="24"/>
                <w:szCs w:val="24"/>
                <w:highlight w:val="none"/>
                <w:lang w:eastAsia="zh-CN" w:bidi="ar"/>
              </w:rPr>
              <w:t>吸附</w:t>
            </w:r>
            <w:r>
              <w:rPr>
                <w:rFonts w:hint="default" w:ascii="Times New Roman" w:hAnsi="Times New Roman" w:cs="Times New Roman"/>
                <w:color w:val="auto"/>
                <w:sz w:val="24"/>
                <w:szCs w:val="24"/>
                <w:highlight w:val="none"/>
                <w:lang w:bidi="ar"/>
              </w:rPr>
              <w:t>活性炭</w:t>
            </w:r>
            <w:r>
              <w:rPr>
                <w:rFonts w:hint="eastAsia" w:cs="Times New Roman"/>
                <w:color w:val="auto"/>
                <w:sz w:val="24"/>
                <w:szCs w:val="24"/>
                <w:highlight w:val="none"/>
                <w:lang w:eastAsia="zh-CN" w:bidi="ar"/>
              </w:rPr>
              <w:t>、废机油、</w:t>
            </w:r>
            <w:r>
              <w:rPr>
                <w:rFonts w:hint="default" w:ascii="Times New Roman" w:hAnsi="Times New Roman" w:cs="Times New Roman"/>
                <w:color w:val="auto"/>
                <w:sz w:val="24"/>
                <w:szCs w:val="24"/>
                <w:highlight w:val="none"/>
                <w:lang w:bidi="ar"/>
              </w:rPr>
              <w:t>废</w:t>
            </w:r>
            <w:r>
              <w:rPr>
                <w:rFonts w:hint="eastAsia" w:cs="Times New Roman"/>
                <w:color w:val="auto"/>
                <w:sz w:val="24"/>
                <w:szCs w:val="24"/>
                <w:highlight w:val="none"/>
                <w:lang w:eastAsia="zh-CN" w:bidi="ar"/>
              </w:rPr>
              <w:t>机油</w:t>
            </w:r>
            <w:r>
              <w:rPr>
                <w:rFonts w:hint="default" w:ascii="Times New Roman" w:hAnsi="Times New Roman" w:cs="Times New Roman"/>
                <w:color w:val="auto"/>
                <w:sz w:val="24"/>
                <w:szCs w:val="24"/>
                <w:highlight w:val="none"/>
                <w:lang w:bidi="ar"/>
              </w:rPr>
              <w:t>桶</w:t>
            </w:r>
            <w:r>
              <w:rPr>
                <w:rFonts w:hint="eastAsia" w:cs="Times New Roman"/>
                <w:color w:val="auto"/>
                <w:sz w:val="24"/>
                <w:szCs w:val="24"/>
                <w:highlight w:val="none"/>
                <w:lang w:eastAsia="zh-CN" w:bidi="ar"/>
              </w:rPr>
              <w:t>和废含油抹布</w:t>
            </w:r>
            <w:r>
              <w:rPr>
                <w:rFonts w:hint="default" w:ascii="Times New Roman" w:hAnsi="Times New Roman" w:cs="Times New Roman"/>
                <w:color w:val="auto"/>
                <w:sz w:val="24"/>
                <w:szCs w:val="24"/>
                <w:highlight w:val="none"/>
                <w:lang w:bidi="ar"/>
              </w:rPr>
              <w:t>。</w:t>
            </w:r>
          </w:p>
          <w:p w14:paraId="06EF4AAB">
            <w:pPr>
              <w:pStyle w:val="49"/>
              <w:spacing w:line="360" w:lineRule="auto"/>
              <w:ind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①</w:t>
            </w:r>
            <w:r>
              <w:rPr>
                <w:rFonts w:hint="default" w:ascii="Times New Roman" w:hAnsi="Times New Roman" w:cs="Times New Roman"/>
                <w:color w:val="auto"/>
                <w:sz w:val="24"/>
                <w:szCs w:val="24"/>
                <w:highlight w:val="none"/>
              </w:rPr>
              <w:t>废</w:t>
            </w:r>
            <w:r>
              <w:rPr>
                <w:rFonts w:hint="eastAsia" w:cs="Times New Roman"/>
                <w:color w:val="auto"/>
                <w:sz w:val="24"/>
                <w:szCs w:val="24"/>
                <w:highlight w:val="none"/>
                <w:lang w:eastAsia="zh-CN" w:bidi="ar"/>
              </w:rPr>
              <w:t>吸附</w:t>
            </w:r>
            <w:r>
              <w:rPr>
                <w:rFonts w:hint="default" w:ascii="Times New Roman" w:hAnsi="Times New Roman" w:cs="Times New Roman"/>
                <w:color w:val="auto"/>
                <w:sz w:val="24"/>
                <w:szCs w:val="24"/>
                <w:highlight w:val="none"/>
              </w:rPr>
              <w:t>活性炭</w:t>
            </w:r>
          </w:p>
          <w:p w14:paraId="40782070">
            <w:pPr>
              <w:pStyle w:val="51"/>
              <w:rPr>
                <w:rFonts w:hint="default" w:ascii="Times New Roman" w:hAnsi="Times New Roman" w:cs="Times New Roman"/>
                <w:color w:val="auto"/>
                <w:highlight w:val="none"/>
                <w:lang w:bidi="ar"/>
              </w:rPr>
            </w:pPr>
            <w:r>
              <w:rPr>
                <w:rFonts w:hint="default" w:ascii="Times New Roman" w:hAnsi="Times New Roman" w:cs="Times New Roman"/>
                <w:color w:val="auto"/>
                <w:highlight w:val="none"/>
                <w:lang w:bidi="ar"/>
              </w:rPr>
              <w:t>全厂有机废气采用两级活性炭吸附，定期更换活性炭，废活性炭产生量按每千克活性炭吸附0.3kg有机废气计，车间的需要吸收的有机废气量为0.</w:t>
            </w:r>
            <w:r>
              <w:rPr>
                <w:rFonts w:hint="eastAsia" w:cs="Times New Roman"/>
                <w:color w:val="auto"/>
                <w:highlight w:val="none"/>
                <w:lang w:val="en-US" w:eastAsia="zh-CN" w:bidi="ar"/>
              </w:rPr>
              <w:t>516</w:t>
            </w:r>
            <w:r>
              <w:rPr>
                <w:rFonts w:hint="default" w:ascii="Times New Roman" w:hAnsi="Times New Roman" w:cs="Times New Roman"/>
                <w:color w:val="auto"/>
                <w:highlight w:val="none"/>
                <w:lang w:bidi="ar"/>
              </w:rPr>
              <w:t>t/a，需要的活性炭为</w:t>
            </w:r>
            <w:r>
              <w:rPr>
                <w:rFonts w:hint="eastAsia" w:cs="Times New Roman"/>
                <w:color w:val="auto"/>
                <w:highlight w:val="none"/>
                <w:lang w:val="en-US" w:eastAsia="zh-CN" w:bidi="ar"/>
              </w:rPr>
              <w:t>1.72</w:t>
            </w:r>
            <w:r>
              <w:rPr>
                <w:rFonts w:hint="default" w:ascii="Times New Roman" w:hAnsi="Times New Roman" w:cs="Times New Roman"/>
                <w:color w:val="auto"/>
                <w:highlight w:val="none"/>
                <w:lang w:bidi="ar"/>
              </w:rPr>
              <w:t>t/a。</w:t>
            </w:r>
          </w:p>
          <w:p w14:paraId="2007A8BD">
            <w:pPr>
              <w:bidi w:val="0"/>
              <w:jc w:val="center"/>
              <w:rPr>
                <w:rFonts w:hint="default" w:ascii="Times New Roman" w:hAnsi="Times New Roman" w:cs="Times New Roman"/>
                <w:b/>
                <w:bCs/>
                <w:color w:val="auto"/>
                <w:szCs w:val="21"/>
                <w:highlight w:val="none"/>
              </w:rPr>
            </w:pPr>
            <w:r>
              <w:rPr>
                <w:rFonts w:hint="default"/>
                <w:b/>
                <w:bCs/>
                <w:color w:val="auto"/>
                <w:sz w:val="24"/>
                <w:szCs w:val="32"/>
                <w:highlight w:val="none"/>
              </w:rPr>
              <w:t>表4-1</w:t>
            </w:r>
            <w:r>
              <w:rPr>
                <w:rFonts w:hint="eastAsia"/>
                <w:b/>
                <w:bCs/>
                <w:color w:val="auto"/>
                <w:sz w:val="24"/>
                <w:szCs w:val="32"/>
                <w:highlight w:val="none"/>
                <w:lang w:val="en-US" w:eastAsia="zh-CN"/>
              </w:rPr>
              <w:t>4</w:t>
            </w:r>
            <w:r>
              <w:rPr>
                <w:rFonts w:hint="default"/>
                <w:b/>
                <w:bCs/>
                <w:color w:val="auto"/>
                <w:sz w:val="24"/>
                <w:szCs w:val="32"/>
                <w:highlight w:val="none"/>
              </w:rPr>
              <w:t>车间废气处理设备参数表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7"/>
              <w:gridCol w:w="5798"/>
            </w:tblGrid>
            <w:tr w14:paraId="654D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33" w:type="pct"/>
                  <w:tcBorders>
                    <w:top w:val="single" w:color="auto" w:sz="4" w:space="0"/>
                    <w:left w:val="single" w:color="auto" w:sz="4" w:space="0"/>
                    <w:right w:val="single" w:color="auto" w:sz="4" w:space="0"/>
                  </w:tcBorders>
                  <w:vAlign w:val="center"/>
                </w:tcPr>
                <w:p w14:paraId="197931EB">
                  <w:pPr>
                    <w:bidi w:val="0"/>
                    <w:jc w:val="center"/>
                    <w:rPr>
                      <w:rFonts w:hint="default"/>
                      <w:color w:val="auto"/>
                      <w:highlight w:val="none"/>
                    </w:rPr>
                  </w:pPr>
                  <w:r>
                    <w:rPr>
                      <w:rFonts w:hint="default"/>
                      <w:color w:val="auto"/>
                      <w:highlight w:val="none"/>
                    </w:rPr>
                    <w:t>名称</w:t>
                  </w:r>
                </w:p>
              </w:tc>
              <w:tc>
                <w:tcPr>
                  <w:tcW w:w="3166" w:type="pct"/>
                  <w:tcBorders>
                    <w:top w:val="single" w:color="auto" w:sz="4" w:space="0"/>
                    <w:left w:val="single" w:color="auto" w:sz="4" w:space="0"/>
                    <w:bottom w:val="single" w:color="auto" w:sz="4" w:space="0"/>
                    <w:right w:val="single" w:color="auto" w:sz="4" w:space="0"/>
                  </w:tcBorders>
                  <w:vAlign w:val="center"/>
                </w:tcPr>
                <w:p w14:paraId="3F35FF26">
                  <w:pPr>
                    <w:bidi w:val="0"/>
                    <w:jc w:val="center"/>
                    <w:rPr>
                      <w:rFonts w:hint="default"/>
                      <w:color w:val="auto"/>
                      <w:highlight w:val="none"/>
                    </w:rPr>
                  </w:pPr>
                  <w:r>
                    <w:rPr>
                      <w:rFonts w:hint="default"/>
                      <w:color w:val="auto"/>
                      <w:highlight w:val="none"/>
                    </w:rPr>
                    <w:t>车间两级活性炭吸附装置</w:t>
                  </w:r>
                </w:p>
              </w:tc>
            </w:tr>
            <w:tr w14:paraId="3D4B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tcBorders>
                    <w:top w:val="single" w:color="auto" w:sz="4" w:space="0"/>
                    <w:left w:val="single" w:color="auto" w:sz="4" w:space="0"/>
                    <w:bottom w:val="single" w:color="auto" w:sz="4" w:space="0"/>
                    <w:right w:val="single" w:color="auto" w:sz="4" w:space="0"/>
                  </w:tcBorders>
                  <w:vAlign w:val="center"/>
                </w:tcPr>
                <w:p w14:paraId="0F70E568">
                  <w:pPr>
                    <w:bidi w:val="0"/>
                    <w:jc w:val="center"/>
                    <w:rPr>
                      <w:rFonts w:hint="default"/>
                      <w:color w:val="auto"/>
                      <w:highlight w:val="none"/>
                    </w:rPr>
                  </w:pPr>
                  <w:r>
                    <w:rPr>
                      <w:rFonts w:hint="default"/>
                      <w:color w:val="auto"/>
                      <w:highlight w:val="none"/>
                    </w:rPr>
                    <w:t>风量</w:t>
                  </w:r>
                </w:p>
              </w:tc>
              <w:tc>
                <w:tcPr>
                  <w:tcW w:w="3166" w:type="pct"/>
                  <w:tcBorders>
                    <w:top w:val="single" w:color="auto" w:sz="4" w:space="0"/>
                    <w:left w:val="single" w:color="auto" w:sz="4" w:space="0"/>
                    <w:bottom w:val="single" w:color="auto" w:sz="4" w:space="0"/>
                    <w:right w:val="single" w:color="auto" w:sz="4" w:space="0"/>
                  </w:tcBorders>
                  <w:vAlign w:val="center"/>
                </w:tcPr>
                <w:p w14:paraId="2898F86B">
                  <w:pPr>
                    <w:bidi w:val="0"/>
                    <w:jc w:val="center"/>
                    <w:rPr>
                      <w:rFonts w:hint="default"/>
                      <w:color w:val="auto"/>
                      <w:highlight w:val="none"/>
                    </w:rPr>
                  </w:pPr>
                  <w:r>
                    <w:rPr>
                      <w:rFonts w:hint="eastAsia"/>
                      <w:color w:val="auto"/>
                      <w:highlight w:val="none"/>
                      <w:lang w:val="en-US" w:eastAsia="zh-CN"/>
                    </w:rPr>
                    <w:t>150</w:t>
                  </w:r>
                  <w:r>
                    <w:rPr>
                      <w:rFonts w:hint="default"/>
                      <w:color w:val="auto"/>
                      <w:highlight w:val="none"/>
                    </w:rPr>
                    <w:t>0m</w:t>
                  </w:r>
                  <w:r>
                    <w:rPr>
                      <w:rFonts w:hint="default"/>
                      <w:color w:val="auto"/>
                      <w:highlight w:val="none"/>
                      <w:vertAlign w:val="superscript"/>
                    </w:rPr>
                    <w:t>3</w:t>
                  </w:r>
                  <w:r>
                    <w:rPr>
                      <w:rFonts w:hint="default"/>
                      <w:color w:val="auto"/>
                      <w:highlight w:val="none"/>
                    </w:rPr>
                    <w:t>/h</w:t>
                  </w:r>
                </w:p>
              </w:tc>
            </w:tr>
            <w:tr w14:paraId="19AB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33" w:type="pct"/>
                  <w:tcBorders>
                    <w:top w:val="single" w:color="auto" w:sz="4" w:space="0"/>
                    <w:left w:val="single" w:color="auto" w:sz="4" w:space="0"/>
                    <w:bottom w:val="single" w:color="auto" w:sz="4" w:space="0"/>
                    <w:right w:val="single" w:color="auto" w:sz="4" w:space="0"/>
                  </w:tcBorders>
                  <w:vAlign w:val="center"/>
                </w:tcPr>
                <w:p w14:paraId="22208354">
                  <w:pPr>
                    <w:bidi w:val="0"/>
                    <w:jc w:val="center"/>
                    <w:rPr>
                      <w:rFonts w:hint="default"/>
                      <w:color w:val="auto"/>
                      <w:highlight w:val="none"/>
                    </w:rPr>
                  </w:pPr>
                  <w:r>
                    <w:rPr>
                      <w:rFonts w:hint="default"/>
                      <w:color w:val="auto"/>
                      <w:highlight w:val="none"/>
                    </w:rPr>
                    <w:t>吸附剂</w:t>
                  </w:r>
                </w:p>
              </w:tc>
              <w:tc>
                <w:tcPr>
                  <w:tcW w:w="3166" w:type="pct"/>
                  <w:tcBorders>
                    <w:top w:val="single" w:color="auto" w:sz="4" w:space="0"/>
                    <w:left w:val="single" w:color="auto" w:sz="4" w:space="0"/>
                    <w:bottom w:val="single" w:color="auto" w:sz="4" w:space="0"/>
                    <w:right w:val="single" w:color="auto" w:sz="4" w:space="0"/>
                  </w:tcBorders>
                  <w:vAlign w:val="center"/>
                </w:tcPr>
                <w:p w14:paraId="7D23AC74">
                  <w:pPr>
                    <w:bidi w:val="0"/>
                    <w:jc w:val="center"/>
                    <w:rPr>
                      <w:rFonts w:hint="default"/>
                      <w:color w:val="auto"/>
                      <w:highlight w:val="none"/>
                    </w:rPr>
                  </w:pPr>
                  <w:r>
                    <w:rPr>
                      <w:rFonts w:hint="eastAsia"/>
                      <w:color w:val="auto"/>
                      <w:highlight w:val="none"/>
                      <w:lang w:eastAsia="zh-CN"/>
                    </w:rPr>
                    <w:t>颗粒状</w:t>
                  </w:r>
                  <w:r>
                    <w:rPr>
                      <w:rFonts w:hint="default"/>
                      <w:color w:val="auto"/>
                      <w:highlight w:val="none"/>
                    </w:rPr>
                    <w:t>活性炭</w:t>
                  </w:r>
                </w:p>
              </w:tc>
            </w:tr>
            <w:tr w14:paraId="64B7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33" w:type="pct"/>
                  <w:tcBorders>
                    <w:top w:val="single" w:color="auto" w:sz="4" w:space="0"/>
                    <w:left w:val="single" w:color="auto" w:sz="4" w:space="0"/>
                    <w:bottom w:val="single" w:color="auto" w:sz="4" w:space="0"/>
                    <w:right w:val="single" w:color="auto" w:sz="4" w:space="0"/>
                  </w:tcBorders>
                  <w:vAlign w:val="center"/>
                </w:tcPr>
                <w:p w14:paraId="3F146614">
                  <w:pPr>
                    <w:bidi w:val="0"/>
                    <w:jc w:val="center"/>
                    <w:rPr>
                      <w:rFonts w:hint="default"/>
                      <w:color w:val="auto"/>
                      <w:highlight w:val="none"/>
                    </w:rPr>
                  </w:pPr>
                  <w:r>
                    <w:rPr>
                      <w:rFonts w:hint="default"/>
                      <w:color w:val="auto"/>
                      <w:highlight w:val="none"/>
                    </w:rPr>
                    <w:t>活性炭箱尺寸</w:t>
                  </w:r>
                </w:p>
              </w:tc>
              <w:tc>
                <w:tcPr>
                  <w:tcW w:w="3166" w:type="pct"/>
                  <w:tcBorders>
                    <w:top w:val="single" w:color="auto" w:sz="4" w:space="0"/>
                    <w:left w:val="single" w:color="auto" w:sz="4" w:space="0"/>
                    <w:bottom w:val="single" w:color="auto" w:sz="4" w:space="0"/>
                    <w:right w:val="single" w:color="auto" w:sz="4" w:space="0"/>
                  </w:tcBorders>
                  <w:vAlign w:val="center"/>
                </w:tcPr>
                <w:p w14:paraId="087822F6">
                  <w:pPr>
                    <w:bidi w:val="0"/>
                    <w:jc w:val="center"/>
                    <w:rPr>
                      <w:rFonts w:hint="default"/>
                      <w:color w:val="auto"/>
                      <w:highlight w:val="none"/>
                    </w:rPr>
                  </w:pPr>
                  <w:r>
                    <w:rPr>
                      <w:rFonts w:hint="eastAsia"/>
                      <w:color w:val="auto"/>
                      <w:highlight w:val="none"/>
                      <w:lang w:val="en-US" w:eastAsia="zh-CN"/>
                    </w:rPr>
                    <w:t>10</w:t>
                  </w:r>
                  <w:r>
                    <w:rPr>
                      <w:rFonts w:hint="default"/>
                      <w:color w:val="auto"/>
                      <w:highlight w:val="none"/>
                    </w:rPr>
                    <w:t>00×</w:t>
                  </w:r>
                  <w:r>
                    <w:rPr>
                      <w:rFonts w:hint="eastAsia"/>
                      <w:color w:val="auto"/>
                      <w:highlight w:val="none"/>
                      <w:lang w:val="en-US" w:eastAsia="zh-CN"/>
                    </w:rPr>
                    <w:t>8</w:t>
                  </w:r>
                  <w:r>
                    <w:rPr>
                      <w:rFonts w:hint="default"/>
                      <w:color w:val="auto"/>
                      <w:highlight w:val="none"/>
                    </w:rPr>
                    <w:t>00×</w:t>
                  </w:r>
                  <w:r>
                    <w:rPr>
                      <w:rFonts w:hint="eastAsia"/>
                      <w:color w:val="auto"/>
                      <w:highlight w:val="none"/>
                      <w:lang w:val="en-US" w:eastAsia="zh-CN"/>
                    </w:rPr>
                    <w:t>6</w:t>
                  </w:r>
                  <w:r>
                    <w:rPr>
                      <w:rFonts w:hint="default"/>
                      <w:color w:val="auto"/>
                      <w:highlight w:val="none"/>
                    </w:rPr>
                    <w:t>00mm</w:t>
                  </w:r>
                </w:p>
              </w:tc>
            </w:tr>
            <w:tr w14:paraId="6F50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tcBorders>
                    <w:top w:val="single" w:color="auto" w:sz="4" w:space="0"/>
                    <w:left w:val="single" w:color="auto" w:sz="4" w:space="0"/>
                    <w:bottom w:val="single" w:color="auto" w:sz="4" w:space="0"/>
                    <w:right w:val="single" w:color="auto" w:sz="4" w:space="0"/>
                  </w:tcBorders>
                  <w:vAlign w:val="center"/>
                </w:tcPr>
                <w:p w14:paraId="68638290">
                  <w:pPr>
                    <w:bidi w:val="0"/>
                    <w:jc w:val="center"/>
                    <w:rPr>
                      <w:rFonts w:hint="default"/>
                      <w:color w:val="auto"/>
                      <w:highlight w:val="none"/>
                    </w:rPr>
                  </w:pPr>
                  <w:r>
                    <w:rPr>
                      <w:rFonts w:hint="default"/>
                      <w:color w:val="auto"/>
                      <w:highlight w:val="none"/>
                    </w:rPr>
                    <w:t>材质</w:t>
                  </w:r>
                </w:p>
              </w:tc>
              <w:tc>
                <w:tcPr>
                  <w:tcW w:w="3166" w:type="pct"/>
                  <w:tcBorders>
                    <w:top w:val="single" w:color="auto" w:sz="4" w:space="0"/>
                    <w:left w:val="single" w:color="auto" w:sz="4" w:space="0"/>
                    <w:bottom w:val="single" w:color="auto" w:sz="4" w:space="0"/>
                    <w:right w:val="single" w:color="auto" w:sz="4" w:space="0"/>
                  </w:tcBorders>
                  <w:vAlign w:val="center"/>
                </w:tcPr>
                <w:p w14:paraId="761D45D8">
                  <w:pPr>
                    <w:bidi w:val="0"/>
                    <w:jc w:val="center"/>
                    <w:rPr>
                      <w:rFonts w:hint="default"/>
                      <w:color w:val="auto"/>
                      <w:highlight w:val="none"/>
                    </w:rPr>
                  </w:pPr>
                  <w:r>
                    <w:rPr>
                      <w:rFonts w:hint="default"/>
                      <w:color w:val="auto"/>
                      <w:highlight w:val="none"/>
                    </w:rPr>
                    <w:t>碳钢</w:t>
                  </w:r>
                </w:p>
              </w:tc>
            </w:tr>
            <w:tr w14:paraId="68AA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tcBorders>
                    <w:top w:val="single" w:color="auto" w:sz="4" w:space="0"/>
                    <w:left w:val="single" w:color="auto" w:sz="4" w:space="0"/>
                    <w:bottom w:val="single" w:color="auto" w:sz="4" w:space="0"/>
                    <w:right w:val="single" w:color="auto" w:sz="4" w:space="0"/>
                  </w:tcBorders>
                  <w:vAlign w:val="center"/>
                </w:tcPr>
                <w:p w14:paraId="177EDF3E">
                  <w:pPr>
                    <w:bidi w:val="0"/>
                    <w:jc w:val="center"/>
                    <w:rPr>
                      <w:rFonts w:hint="default"/>
                      <w:color w:val="auto"/>
                      <w:highlight w:val="none"/>
                    </w:rPr>
                  </w:pPr>
                  <w:r>
                    <w:rPr>
                      <w:rFonts w:hint="default"/>
                      <w:color w:val="auto"/>
                      <w:highlight w:val="none"/>
                    </w:rPr>
                    <w:t>碘值</w:t>
                  </w:r>
                </w:p>
              </w:tc>
              <w:tc>
                <w:tcPr>
                  <w:tcW w:w="3166" w:type="pct"/>
                  <w:tcBorders>
                    <w:top w:val="single" w:color="auto" w:sz="4" w:space="0"/>
                    <w:left w:val="single" w:color="auto" w:sz="4" w:space="0"/>
                    <w:bottom w:val="single" w:color="auto" w:sz="4" w:space="0"/>
                    <w:right w:val="single" w:color="auto" w:sz="4" w:space="0"/>
                  </w:tcBorders>
                  <w:vAlign w:val="center"/>
                </w:tcPr>
                <w:p w14:paraId="743277CD">
                  <w:pPr>
                    <w:bidi w:val="0"/>
                    <w:jc w:val="center"/>
                    <w:rPr>
                      <w:rFonts w:hint="default"/>
                      <w:color w:val="auto"/>
                      <w:highlight w:val="none"/>
                    </w:rPr>
                  </w:pPr>
                  <w:r>
                    <w:rPr>
                      <w:rFonts w:hint="default"/>
                      <w:color w:val="auto"/>
                      <w:highlight w:val="none"/>
                    </w:rPr>
                    <w:t>800mg/g</w:t>
                  </w:r>
                </w:p>
              </w:tc>
            </w:tr>
            <w:tr w14:paraId="3B14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tcBorders>
                    <w:top w:val="single" w:color="auto" w:sz="4" w:space="0"/>
                    <w:left w:val="single" w:color="auto" w:sz="4" w:space="0"/>
                    <w:bottom w:val="single" w:color="auto" w:sz="4" w:space="0"/>
                    <w:right w:val="single" w:color="auto" w:sz="4" w:space="0"/>
                  </w:tcBorders>
                  <w:vAlign w:val="center"/>
                </w:tcPr>
                <w:p w14:paraId="3BDCAFE5">
                  <w:pPr>
                    <w:bidi w:val="0"/>
                    <w:jc w:val="center"/>
                    <w:rPr>
                      <w:rFonts w:hint="default"/>
                      <w:color w:val="auto"/>
                      <w:highlight w:val="none"/>
                    </w:rPr>
                  </w:pPr>
                  <w:r>
                    <w:rPr>
                      <w:rFonts w:hint="default"/>
                      <w:color w:val="auto"/>
                      <w:highlight w:val="none"/>
                    </w:rPr>
                    <w:t>更换周期</w:t>
                  </w:r>
                </w:p>
              </w:tc>
              <w:tc>
                <w:tcPr>
                  <w:tcW w:w="3166" w:type="pct"/>
                  <w:tcBorders>
                    <w:top w:val="single" w:color="auto" w:sz="4" w:space="0"/>
                    <w:left w:val="single" w:color="auto" w:sz="4" w:space="0"/>
                    <w:bottom w:val="single" w:color="auto" w:sz="4" w:space="0"/>
                    <w:right w:val="single" w:color="auto" w:sz="4" w:space="0"/>
                  </w:tcBorders>
                  <w:vAlign w:val="center"/>
                </w:tcPr>
                <w:p w14:paraId="3DF20CDA">
                  <w:pPr>
                    <w:bidi w:val="0"/>
                    <w:jc w:val="center"/>
                    <w:rPr>
                      <w:rFonts w:hint="default"/>
                      <w:color w:val="auto"/>
                      <w:highlight w:val="none"/>
                    </w:rPr>
                  </w:pPr>
                  <w:r>
                    <w:rPr>
                      <w:rFonts w:hint="eastAsia"/>
                      <w:color w:val="auto"/>
                      <w:highlight w:val="none"/>
                      <w:lang w:val="en-US" w:eastAsia="zh-CN"/>
                    </w:rPr>
                    <w:t>1</w:t>
                  </w:r>
                  <w:r>
                    <w:rPr>
                      <w:rFonts w:hint="default"/>
                      <w:color w:val="auto"/>
                      <w:highlight w:val="none"/>
                    </w:rPr>
                    <w:t>次/年</w:t>
                  </w:r>
                </w:p>
              </w:tc>
            </w:tr>
            <w:tr w14:paraId="393A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tcBorders>
                    <w:top w:val="single" w:color="auto" w:sz="4" w:space="0"/>
                    <w:left w:val="single" w:color="auto" w:sz="4" w:space="0"/>
                    <w:bottom w:val="single" w:color="auto" w:sz="4" w:space="0"/>
                    <w:right w:val="single" w:color="auto" w:sz="4" w:space="0"/>
                  </w:tcBorders>
                  <w:vAlign w:val="center"/>
                </w:tcPr>
                <w:p w14:paraId="2621473F">
                  <w:pPr>
                    <w:bidi w:val="0"/>
                    <w:jc w:val="center"/>
                    <w:rPr>
                      <w:rFonts w:hint="default"/>
                      <w:color w:val="auto"/>
                      <w:highlight w:val="none"/>
                    </w:rPr>
                  </w:pPr>
                  <w:r>
                    <w:rPr>
                      <w:rFonts w:hint="default"/>
                      <w:color w:val="auto"/>
                      <w:highlight w:val="none"/>
                    </w:rPr>
                    <w:t>吸附容量</w:t>
                  </w:r>
                </w:p>
              </w:tc>
              <w:tc>
                <w:tcPr>
                  <w:tcW w:w="3166" w:type="pct"/>
                  <w:tcBorders>
                    <w:top w:val="single" w:color="auto" w:sz="4" w:space="0"/>
                    <w:left w:val="single" w:color="auto" w:sz="4" w:space="0"/>
                    <w:bottom w:val="single" w:color="auto" w:sz="4" w:space="0"/>
                    <w:right w:val="single" w:color="auto" w:sz="4" w:space="0"/>
                  </w:tcBorders>
                  <w:vAlign w:val="center"/>
                </w:tcPr>
                <w:p w14:paraId="0FCAA9DB">
                  <w:pPr>
                    <w:bidi w:val="0"/>
                    <w:jc w:val="center"/>
                    <w:rPr>
                      <w:rFonts w:hint="default"/>
                      <w:color w:val="auto"/>
                      <w:highlight w:val="none"/>
                    </w:rPr>
                  </w:pPr>
                  <w:r>
                    <w:rPr>
                      <w:rFonts w:hint="default"/>
                      <w:color w:val="auto"/>
                      <w:highlight w:val="none"/>
                    </w:rPr>
                    <w:t>0.3kg/kg</w:t>
                  </w:r>
                </w:p>
              </w:tc>
            </w:tr>
          </w:tbl>
          <w:p w14:paraId="790B8F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32"/>
                <w:highlight w:val="none"/>
              </w:rPr>
            </w:pPr>
            <w:r>
              <w:rPr>
                <w:rFonts w:hint="eastAsia"/>
                <w:color w:val="auto"/>
                <w:sz w:val="24"/>
                <w:szCs w:val="32"/>
                <w:highlight w:val="none"/>
              </w:rPr>
              <w:t>本项目采用</w:t>
            </w:r>
            <w:r>
              <w:rPr>
                <w:rFonts w:hint="eastAsia"/>
                <w:color w:val="auto"/>
                <w:sz w:val="24"/>
                <w:szCs w:val="32"/>
                <w:highlight w:val="none"/>
                <w:lang w:eastAsia="zh-CN"/>
              </w:rPr>
              <w:t>颗粒</w:t>
            </w:r>
            <w:r>
              <w:rPr>
                <w:rFonts w:hint="eastAsia"/>
                <w:color w:val="auto"/>
                <w:sz w:val="24"/>
                <w:szCs w:val="32"/>
                <w:highlight w:val="none"/>
              </w:rPr>
              <w:t>状活性炭，进行吸附处理。依据《吸附法工业有机废气治理工程技术规范》(HJ 2026—2013)，采用</w:t>
            </w:r>
            <w:r>
              <w:rPr>
                <w:rFonts w:hint="eastAsia"/>
                <w:color w:val="auto"/>
                <w:sz w:val="24"/>
                <w:szCs w:val="32"/>
                <w:highlight w:val="none"/>
                <w:lang w:eastAsia="zh-CN"/>
              </w:rPr>
              <w:t>颗粒</w:t>
            </w:r>
            <w:r>
              <w:rPr>
                <w:rFonts w:hint="eastAsia"/>
                <w:color w:val="auto"/>
                <w:sz w:val="24"/>
                <w:szCs w:val="32"/>
                <w:highlight w:val="none"/>
              </w:rPr>
              <w:t>状活性炭吸附气体时，气体流速宜低于</w:t>
            </w:r>
            <w:r>
              <w:rPr>
                <w:rFonts w:hint="eastAsia"/>
                <w:color w:val="auto"/>
                <w:sz w:val="24"/>
                <w:szCs w:val="32"/>
                <w:highlight w:val="none"/>
                <w:lang w:val="en-US" w:eastAsia="zh-CN"/>
              </w:rPr>
              <w:t>0.6</w:t>
            </w:r>
            <w:r>
              <w:rPr>
                <w:rFonts w:hint="eastAsia"/>
                <w:color w:val="auto"/>
                <w:sz w:val="24"/>
                <w:szCs w:val="32"/>
                <w:highlight w:val="none"/>
              </w:rPr>
              <w:t>m/s</w:t>
            </w:r>
            <w:r>
              <w:rPr>
                <w:rFonts w:hint="eastAsia"/>
                <w:color w:val="auto"/>
                <w:sz w:val="24"/>
                <w:szCs w:val="32"/>
                <w:highlight w:val="none"/>
                <w:lang w:eastAsia="zh-CN"/>
              </w:rPr>
              <w:t>，本项目采用</w:t>
            </w:r>
            <w:r>
              <w:rPr>
                <w:rFonts w:hint="eastAsia"/>
                <w:color w:val="auto"/>
                <w:sz w:val="24"/>
                <w:szCs w:val="32"/>
                <w:highlight w:val="none"/>
                <w:lang w:val="en-US" w:eastAsia="zh-CN"/>
              </w:rPr>
              <w:t>颗粒</w:t>
            </w:r>
            <w:r>
              <w:rPr>
                <w:rFonts w:hint="eastAsia"/>
                <w:color w:val="auto"/>
                <w:sz w:val="24"/>
                <w:szCs w:val="32"/>
                <w:highlight w:val="none"/>
                <w:lang w:eastAsia="zh-CN"/>
              </w:rPr>
              <w:t>状活性炭吸附时气体流速为</w:t>
            </w:r>
            <w:r>
              <w:rPr>
                <w:rFonts w:hint="eastAsia"/>
                <w:color w:val="auto"/>
                <w:sz w:val="24"/>
                <w:szCs w:val="32"/>
                <w:highlight w:val="none"/>
                <w:lang w:val="en-US" w:eastAsia="zh-CN"/>
              </w:rPr>
              <w:t>0.52m/s，满足</w:t>
            </w:r>
            <w:r>
              <w:rPr>
                <w:rFonts w:hint="eastAsia"/>
                <w:color w:val="auto"/>
                <w:sz w:val="24"/>
                <w:szCs w:val="32"/>
                <w:highlight w:val="none"/>
              </w:rPr>
              <w:t>《吸附法工业有机废气治理工程技术规范》(HJ 2026—2013)</w:t>
            </w:r>
            <w:r>
              <w:rPr>
                <w:rFonts w:hint="eastAsia"/>
                <w:color w:val="auto"/>
                <w:sz w:val="24"/>
                <w:szCs w:val="32"/>
                <w:highlight w:val="none"/>
                <w:lang w:eastAsia="zh-CN"/>
              </w:rPr>
              <w:t>要求</w:t>
            </w:r>
            <w:r>
              <w:rPr>
                <w:rFonts w:hint="eastAsia"/>
                <w:color w:val="auto"/>
                <w:sz w:val="24"/>
                <w:szCs w:val="32"/>
                <w:highlight w:val="none"/>
              </w:rPr>
              <w:t>。</w:t>
            </w:r>
          </w:p>
          <w:p w14:paraId="3BC77AA1">
            <w:pPr>
              <w:pStyle w:val="51"/>
              <w:jc w:val="both"/>
              <w:rPr>
                <w:rFonts w:hint="default" w:ascii="Times New Roman" w:hAnsi="Times New Roman" w:cs="Times New Roman"/>
                <w:color w:val="auto"/>
                <w:highlight w:val="none"/>
                <w:lang w:bidi="ar"/>
              </w:rPr>
            </w:pPr>
            <w:r>
              <w:rPr>
                <w:rFonts w:hint="default" w:ascii="Times New Roman" w:hAnsi="Times New Roman" w:cs="Times New Roman"/>
                <w:color w:val="auto"/>
                <w:highlight w:val="none"/>
                <w:lang w:bidi="ar"/>
              </w:rPr>
              <w:t>活性炭吸附装置的规格为长度</w:t>
            </w:r>
            <w:r>
              <w:rPr>
                <w:rFonts w:hint="eastAsia" w:cs="Times New Roman"/>
                <w:color w:val="auto"/>
                <w:highlight w:val="none"/>
                <w:lang w:val="en-US" w:eastAsia="zh-CN" w:bidi="ar"/>
              </w:rPr>
              <w:t>1.0</w:t>
            </w:r>
            <w:r>
              <w:rPr>
                <w:rFonts w:hint="default" w:ascii="Times New Roman" w:hAnsi="Times New Roman" w:cs="Times New Roman"/>
                <w:color w:val="auto"/>
                <w:highlight w:val="none"/>
                <w:lang w:bidi="ar"/>
              </w:rPr>
              <w:t>m，宽度</w:t>
            </w:r>
            <w:r>
              <w:rPr>
                <w:rFonts w:hint="eastAsia" w:cs="Times New Roman"/>
                <w:color w:val="auto"/>
                <w:highlight w:val="none"/>
                <w:lang w:val="en-US" w:eastAsia="zh-CN" w:bidi="ar"/>
              </w:rPr>
              <w:t>0.8</w:t>
            </w:r>
            <w:r>
              <w:rPr>
                <w:rFonts w:hint="default" w:ascii="Times New Roman" w:hAnsi="Times New Roman" w:cs="Times New Roman"/>
                <w:color w:val="auto"/>
                <w:highlight w:val="none"/>
                <w:lang w:bidi="ar"/>
              </w:rPr>
              <w:t>m，活性炭有效填充厚度0.</w:t>
            </w:r>
            <w:r>
              <w:rPr>
                <w:rFonts w:hint="eastAsia" w:cs="Times New Roman"/>
                <w:color w:val="auto"/>
                <w:highlight w:val="none"/>
                <w:lang w:val="en-US" w:eastAsia="zh-CN" w:bidi="ar"/>
              </w:rPr>
              <w:t>3</w:t>
            </w:r>
            <w:r>
              <w:rPr>
                <w:rFonts w:hint="default" w:ascii="Times New Roman" w:hAnsi="Times New Roman" w:cs="Times New Roman"/>
                <w:color w:val="auto"/>
                <w:highlight w:val="none"/>
                <w:lang w:bidi="ar"/>
              </w:rPr>
              <w:t>m，每个吸附箱内放2层，活性炭密度为0.</w:t>
            </w:r>
            <w:r>
              <w:rPr>
                <w:rFonts w:hint="eastAsia" w:cs="Times New Roman"/>
                <w:color w:val="auto"/>
                <w:highlight w:val="none"/>
                <w:lang w:val="en-US" w:eastAsia="zh-CN" w:bidi="ar"/>
              </w:rPr>
              <w:t>5</w:t>
            </w:r>
            <w:r>
              <w:rPr>
                <w:rFonts w:hint="default" w:ascii="Times New Roman" w:hAnsi="Times New Roman" w:cs="Times New Roman"/>
                <w:color w:val="auto"/>
                <w:highlight w:val="none"/>
                <w:lang w:bidi="ar"/>
              </w:rPr>
              <w:t>5g/cm</w:t>
            </w:r>
            <w:r>
              <w:rPr>
                <w:rFonts w:hint="default" w:ascii="Times New Roman" w:hAnsi="Times New Roman" w:cs="Times New Roman"/>
                <w:color w:val="auto"/>
                <w:highlight w:val="none"/>
                <w:vertAlign w:val="superscript"/>
                <w:lang w:bidi="ar"/>
              </w:rPr>
              <w:t>3</w:t>
            </w:r>
            <w:r>
              <w:rPr>
                <w:rFonts w:hint="default" w:ascii="Times New Roman" w:hAnsi="Times New Roman" w:cs="Times New Roman"/>
                <w:color w:val="auto"/>
                <w:highlight w:val="none"/>
                <w:lang w:bidi="ar"/>
              </w:rPr>
              <w:t>。则每个活性炭吸附装置有效容积=有效长度×有效宽度×有效填充厚度=</w:t>
            </w:r>
            <w:r>
              <w:rPr>
                <w:rFonts w:hint="eastAsia" w:cs="Times New Roman"/>
                <w:color w:val="auto"/>
                <w:highlight w:val="none"/>
                <w:lang w:val="en-US" w:eastAsia="zh-CN" w:bidi="ar"/>
              </w:rPr>
              <w:t>1.0</w:t>
            </w:r>
            <w:r>
              <w:rPr>
                <w:rFonts w:hint="default" w:ascii="Times New Roman" w:hAnsi="Times New Roman" w:cs="Times New Roman"/>
                <w:color w:val="auto"/>
                <w:highlight w:val="none"/>
                <w:lang w:bidi="ar"/>
              </w:rPr>
              <w:t>m×</w:t>
            </w:r>
            <w:r>
              <w:rPr>
                <w:rFonts w:hint="eastAsia" w:cs="Times New Roman"/>
                <w:color w:val="auto"/>
                <w:highlight w:val="none"/>
                <w:lang w:val="en-US" w:eastAsia="zh-CN" w:bidi="ar"/>
              </w:rPr>
              <w:t>0.8</w:t>
            </w:r>
            <w:r>
              <w:rPr>
                <w:rFonts w:hint="default" w:ascii="Times New Roman" w:hAnsi="Times New Roman" w:cs="Times New Roman"/>
                <w:color w:val="auto"/>
                <w:highlight w:val="none"/>
                <w:lang w:bidi="ar"/>
              </w:rPr>
              <w:t>m×0.</w:t>
            </w:r>
            <w:r>
              <w:rPr>
                <w:rFonts w:hint="eastAsia" w:cs="Times New Roman"/>
                <w:color w:val="auto"/>
                <w:highlight w:val="none"/>
                <w:lang w:val="en-US" w:eastAsia="zh-CN" w:bidi="ar"/>
              </w:rPr>
              <w:t>3</w:t>
            </w:r>
            <w:r>
              <w:rPr>
                <w:rFonts w:hint="default" w:ascii="Times New Roman" w:hAnsi="Times New Roman" w:cs="Times New Roman"/>
                <w:color w:val="auto"/>
                <w:highlight w:val="none"/>
                <w:lang w:bidi="ar"/>
              </w:rPr>
              <w:t>m=0.</w:t>
            </w:r>
            <w:r>
              <w:rPr>
                <w:rFonts w:hint="eastAsia" w:cs="Times New Roman"/>
                <w:color w:val="auto"/>
                <w:highlight w:val="none"/>
                <w:lang w:val="en-US" w:eastAsia="zh-CN" w:bidi="ar"/>
              </w:rPr>
              <w:t>24</w:t>
            </w:r>
            <w:r>
              <w:rPr>
                <w:rFonts w:hint="default" w:ascii="Times New Roman" w:hAnsi="Times New Roman" w:cs="Times New Roman"/>
                <w:color w:val="auto"/>
                <w:highlight w:val="none"/>
                <w:lang w:bidi="ar"/>
              </w:rPr>
              <w:t>m</w:t>
            </w:r>
            <w:r>
              <w:rPr>
                <w:rFonts w:hint="default" w:ascii="Times New Roman" w:hAnsi="Times New Roman" w:cs="Times New Roman"/>
                <w:color w:val="auto"/>
                <w:highlight w:val="none"/>
                <w:vertAlign w:val="superscript"/>
                <w:lang w:bidi="ar"/>
              </w:rPr>
              <w:t>3</w:t>
            </w:r>
            <w:r>
              <w:rPr>
                <w:rFonts w:hint="default" w:ascii="Times New Roman" w:hAnsi="Times New Roman" w:cs="Times New Roman"/>
                <w:color w:val="auto"/>
                <w:highlight w:val="none"/>
                <w:lang w:bidi="ar"/>
              </w:rPr>
              <w:t>，则每个活性炭填充量经计算=0.</w:t>
            </w:r>
            <w:r>
              <w:rPr>
                <w:rFonts w:hint="eastAsia" w:cs="Times New Roman"/>
                <w:color w:val="auto"/>
                <w:highlight w:val="none"/>
                <w:lang w:val="en-US" w:eastAsia="zh-CN" w:bidi="ar"/>
              </w:rPr>
              <w:t>24</w:t>
            </w:r>
            <w:r>
              <w:rPr>
                <w:rFonts w:hint="default" w:ascii="Times New Roman" w:hAnsi="Times New Roman" w:cs="Times New Roman"/>
                <w:color w:val="auto"/>
                <w:highlight w:val="none"/>
                <w:lang w:bidi="ar"/>
              </w:rPr>
              <w:t>×0.5</w:t>
            </w:r>
            <w:r>
              <w:rPr>
                <w:rFonts w:hint="eastAsia" w:cs="Times New Roman"/>
                <w:color w:val="auto"/>
                <w:highlight w:val="none"/>
                <w:lang w:val="en-US" w:eastAsia="zh-CN" w:bidi="ar"/>
              </w:rPr>
              <w:t>5</w:t>
            </w:r>
            <w:r>
              <w:rPr>
                <w:rFonts w:hint="default" w:ascii="Times New Roman" w:hAnsi="Times New Roman" w:cs="Times New Roman"/>
                <w:color w:val="auto"/>
                <w:highlight w:val="none"/>
                <w:lang w:bidi="ar"/>
              </w:rPr>
              <w:t>=0.</w:t>
            </w:r>
            <w:r>
              <w:rPr>
                <w:rFonts w:hint="eastAsia" w:cs="Times New Roman"/>
                <w:color w:val="auto"/>
                <w:highlight w:val="none"/>
                <w:lang w:val="en-US" w:eastAsia="zh-CN" w:bidi="ar"/>
              </w:rPr>
              <w:t>132</w:t>
            </w:r>
            <w:r>
              <w:rPr>
                <w:rFonts w:hint="default" w:ascii="Times New Roman" w:hAnsi="Times New Roman" w:cs="Times New Roman"/>
                <w:color w:val="auto"/>
                <w:highlight w:val="none"/>
                <w:lang w:bidi="ar"/>
              </w:rPr>
              <w:t>t，则填充的活性炭量为0.</w:t>
            </w:r>
            <w:r>
              <w:rPr>
                <w:rFonts w:hint="eastAsia" w:cs="Times New Roman"/>
                <w:color w:val="auto"/>
                <w:highlight w:val="none"/>
                <w:lang w:val="en-US" w:eastAsia="zh-CN" w:bidi="ar"/>
              </w:rPr>
              <w:t>264</w:t>
            </w:r>
            <w:r>
              <w:rPr>
                <w:rFonts w:hint="default" w:ascii="Times New Roman" w:hAnsi="Times New Roman" w:cs="Times New Roman"/>
                <w:color w:val="auto"/>
                <w:highlight w:val="none"/>
                <w:lang w:bidi="ar"/>
              </w:rPr>
              <w:t>t/次。</w:t>
            </w:r>
          </w:p>
          <w:p w14:paraId="2E3EF896">
            <w:pPr>
              <w:pStyle w:val="51"/>
              <w:jc w:val="both"/>
              <w:rPr>
                <w:rFonts w:hint="default" w:ascii="Times New Roman" w:hAnsi="Times New Roman" w:cs="Times New Roman"/>
                <w:color w:val="auto"/>
                <w:highlight w:val="none"/>
                <w:lang w:bidi="ar"/>
              </w:rPr>
            </w:pPr>
            <w:r>
              <w:rPr>
                <w:rFonts w:hint="default" w:ascii="Times New Roman" w:hAnsi="Times New Roman" w:cs="Times New Roman"/>
                <w:color w:val="auto"/>
                <w:highlight w:val="none"/>
                <w:lang w:bidi="ar"/>
              </w:rPr>
              <w:t>根据上述分析，活性炭更换次数为</w:t>
            </w:r>
            <w:r>
              <w:rPr>
                <w:rFonts w:hint="default" w:ascii="Times New Roman" w:hAnsi="Times New Roman" w:cs="Times New Roman"/>
                <w:color w:val="auto"/>
                <w:highlight w:val="none"/>
                <w:lang w:val="en-US" w:eastAsia="zh-CN" w:bidi="ar"/>
              </w:rPr>
              <w:t>1.72</w:t>
            </w:r>
            <w:r>
              <w:rPr>
                <w:rFonts w:hint="default" w:ascii="Times New Roman" w:hAnsi="Times New Roman" w:cs="Times New Roman"/>
                <w:color w:val="auto"/>
                <w:highlight w:val="none"/>
                <w:lang w:bidi="ar"/>
              </w:rPr>
              <w:t>t/0.</w:t>
            </w:r>
            <w:r>
              <w:rPr>
                <w:rFonts w:hint="default" w:ascii="Times New Roman" w:hAnsi="Times New Roman" w:cs="Times New Roman"/>
                <w:color w:val="auto"/>
                <w:highlight w:val="none"/>
                <w:lang w:val="en-US" w:eastAsia="zh-CN" w:bidi="ar"/>
              </w:rPr>
              <w:t>264</w:t>
            </w:r>
            <w:r>
              <w:rPr>
                <w:rFonts w:hint="default" w:ascii="Times New Roman" w:hAnsi="Times New Roman" w:cs="Times New Roman"/>
                <w:color w:val="auto"/>
                <w:highlight w:val="none"/>
                <w:lang w:bidi="ar"/>
              </w:rPr>
              <w:t>t=</w:t>
            </w:r>
            <w:r>
              <w:rPr>
                <w:rFonts w:hint="default" w:ascii="Times New Roman" w:hAnsi="Times New Roman" w:cs="Times New Roman"/>
                <w:color w:val="auto"/>
                <w:highlight w:val="none"/>
                <w:lang w:val="en-US" w:eastAsia="zh-CN" w:bidi="ar"/>
              </w:rPr>
              <w:t>7</w:t>
            </w:r>
            <w:r>
              <w:rPr>
                <w:rFonts w:hint="default" w:ascii="Times New Roman" w:hAnsi="Times New Roman" w:cs="Times New Roman"/>
                <w:color w:val="auto"/>
                <w:highlight w:val="none"/>
                <w:lang w:bidi="ar"/>
              </w:rPr>
              <w:t>次/年，</w:t>
            </w:r>
            <w:r>
              <w:rPr>
                <w:rFonts w:hint="default" w:ascii="Times New Roman" w:hAnsi="Times New Roman" w:cs="Times New Roman"/>
                <w:color w:val="auto"/>
                <w:highlight w:val="none"/>
                <w:lang w:eastAsia="zh-CN" w:bidi="ar"/>
              </w:rPr>
              <w:t>则</w:t>
            </w:r>
            <w:r>
              <w:rPr>
                <w:rFonts w:hint="default" w:ascii="Times New Roman" w:hAnsi="Times New Roman" w:cs="Times New Roman"/>
                <w:color w:val="auto"/>
                <w:highlight w:val="none"/>
                <w:lang w:bidi="ar"/>
              </w:rPr>
              <w:t>废活性炭产生量=0.</w:t>
            </w:r>
            <w:r>
              <w:rPr>
                <w:rFonts w:hint="default" w:ascii="Times New Roman" w:hAnsi="Times New Roman" w:cs="Times New Roman"/>
                <w:color w:val="auto"/>
                <w:highlight w:val="none"/>
                <w:lang w:val="en-US" w:eastAsia="zh-CN" w:bidi="ar"/>
              </w:rPr>
              <w:t>264</w:t>
            </w:r>
            <w:r>
              <w:rPr>
                <w:rFonts w:hint="default" w:ascii="Times New Roman" w:hAnsi="Times New Roman" w:cs="Times New Roman"/>
                <w:color w:val="auto"/>
                <w:highlight w:val="none"/>
                <w:lang w:bidi="ar"/>
              </w:rPr>
              <w:t>×</w:t>
            </w:r>
            <w:r>
              <w:rPr>
                <w:rFonts w:hint="default" w:ascii="Times New Roman" w:hAnsi="Times New Roman" w:cs="Times New Roman"/>
                <w:color w:val="auto"/>
                <w:highlight w:val="none"/>
                <w:lang w:val="en-US" w:eastAsia="zh-CN" w:bidi="ar"/>
              </w:rPr>
              <w:t>7</w:t>
            </w:r>
            <w:r>
              <w:rPr>
                <w:rFonts w:hint="default" w:ascii="Times New Roman" w:hAnsi="Times New Roman" w:cs="Times New Roman"/>
                <w:color w:val="auto"/>
                <w:highlight w:val="none"/>
                <w:lang w:bidi="ar"/>
              </w:rPr>
              <w:t>+0.</w:t>
            </w:r>
            <w:r>
              <w:rPr>
                <w:rFonts w:hint="default" w:ascii="Times New Roman" w:hAnsi="Times New Roman" w:cs="Times New Roman"/>
                <w:color w:val="auto"/>
                <w:highlight w:val="none"/>
                <w:lang w:val="en-US" w:eastAsia="zh-CN" w:bidi="ar"/>
              </w:rPr>
              <w:t>516</w:t>
            </w:r>
            <w:r>
              <w:rPr>
                <w:rFonts w:hint="default" w:ascii="Times New Roman" w:hAnsi="Times New Roman" w:cs="Times New Roman"/>
                <w:color w:val="auto"/>
                <w:highlight w:val="none"/>
                <w:lang w:bidi="ar"/>
              </w:rPr>
              <w:t>=</w:t>
            </w:r>
            <w:r>
              <w:rPr>
                <w:rFonts w:hint="default" w:ascii="Times New Roman" w:hAnsi="Times New Roman" w:cs="Times New Roman"/>
                <w:color w:val="auto"/>
                <w:highlight w:val="none"/>
                <w:lang w:val="en-US" w:eastAsia="zh-CN" w:bidi="ar"/>
              </w:rPr>
              <w:t>2.364</w:t>
            </w:r>
            <w:r>
              <w:rPr>
                <w:rFonts w:hint="default" w:ascii="Times New Roman" w:hAnsi="Times New Roman" w:cs="Times New Roman"/>
                <w:color w:val="auto"/>
                <w:highlight w:val="none"/>
                <w:lang w:bidi="ar"/>
              </w:rPr>
              <w:t>t/a。</w:t>
            </w:r>
          </w:p>
          <w:p w14:paraId="2B24F5BE">
            <w:pPr>
              <w:pStyle w:val="49"/>
              <w:spacing w:line="360" w:lineRule="auto"/>
              <w:ind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②</w:t>
            </w:r>
            <w:r>
              <w:rPr>
                <w:rFonts w:hint="default" w:ascii="Times New Roman" w:hAnsi="Times New Roman" w:cs="Times New Roman"/>
                <w:color w:val="auto"/>
                <w:sz w:val="24"/>
                <w:szCs w:val="24"/>
                <w:highlight w:val="none"/>
                <w:lang w:bidi="ar"/>
              </w:rPr>
              <w:t>废</w:t>
            </w:r>
            <w:r>
              <w:rPr>
                <w:rFonts w:hint="eastAsia" w:cs="Times New Roman"/>
                <w:color w:val="auto"/>
                <w:sz w:val="24"/>
                <w:szCs w:val="24"/>
                <w:highlight w:val="none"/>
                <w:lang w:eastAsia="zh-CN" w:bidi="ar"/>
              </w:rPr>
              <w:t>机油</w:t>
            </w:r>
          </w:p>
          <w:p w14:paraId="7294700C">
            <w:pPr>
              <w:pStyle w:val="49"/>
              <w:spacing w:line="360" w:lineRule="auto"/>
              <w:ind w:firstLineChars="200"/>
              <w:rPr>
                <w:rFonts w:hint="default" w:ascii="Times New Roman" w:hAnsi="Times New Roman"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项目设备维护与保养过程中，会产生废机油，年产生量约</w:t>
            </w:r>
            <w:r>
              <w:rPr>
                <w:rFonts w:hint="default" w:ascii="Times New Roman" w:hAnsi="Times New Roman" w:eastAsia="宋体" w:cs="Times New Roman"/>
                <w:color w:val="auto"/>
                <w:kern w:val="0"/>
                <w:sz w:val="24"/>
                <w:szCs w:val="24"/>
                <w:highlight w:val="none"/>
                <w:lang w:val="en-US" w:eastAsia="zh-CN" w:bidi="ar"/>
              </w:rPr>
              <w:t>0.</w:t>
            </w:r>
            <w:r>
              <w:rPr>
                <w:rFonts w:hint="eastAsia" w:ascii="Times New Roman" w:hAnsi="Times New Roman" w:eastAsia="宋体" w:cs="Times New Roman"/>
                <w:color w:val="auto"/>
                <w:kern w:val="0"/>
                <w:sz w:val="24"/>
                <w:szCs w:val="24"/>
                <w:highlight w:val="none"/>
                <w:lang w:val="en-US" w:eastAsia="zh-CN" w:bidi="ar"/>
              </w:rPr>
              <w:t>1</w:t>
            </w:r>
            <w:r>
              <w:rPr>
                <w:rFonts w:hint="default" w:ascii="Times New Roman" w:hAnsi="Times New Roman" w:eastAsia="宋体" w:cs="Times New Roman"/>
                <w:color w:val="auto"/>
                <w:kern w:val="0"/>
                <w:sz w:val="24"/>
                <w:szCs w:val="24"/>
                <w:highlight w:val="none"/>
                <w:lang w:val="en-US" w:eastAsia="zh-CN" w:bidi="ar"/>
              </w:rPr>
              <w:t>t/a</w:t>
            </w:r>
            <w:r>
              <w:rPr>
                <w:rFonts w:hint="eastAsia" w:ascii="宋体" w:hAnsi="宋体" w:eastAsia="宋体" w:cs="宋体"/>
                <w:color w:val="auto"/>
                <w:kern w:val="0"/>
                <w:sz w:val="24"/>
                <w:szCs w:val="24"/>
                <w:highlight w:val="none"/>
                <w:lang w:val="en-US" w:eastAsia="zh-CN" w:bidi="ar"/>
              </w:rPr>
              <w:t>。</w:t>
            </w:r>
          </w:p>
          <w:p w14:paraId="297993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highlight w:val="none"/>
                <w:lang w:eastAsia="zh-CN"/>
              </w:rPr>
            </w:pPr>
            <w:r>
              <w:rPr>
                <w:rFonts w:hint="default" w:ascii="Times New Roman" w:hAnsi="Times New Roman" w:eastAsia="宋体" w:cs="Times New Roman"/>
                <w:color w:val="auto"/>
                <w:sz w:val="24"/>
                <w:szCs w:val="32"/>
                <w:highlight w:val="none"/>
              </w:rPr>
              <w:t>③</w:t>
            </w:r>
            <w:r>
              <w:rPr>
                <w:rFonts w:hint="default" w:ascii="Times New Roman" w:hAnsi="Times New Roman" w:eastAsia="宋体" w:cs="Times New Roman"/>
                <w:color w:val="auto"/>
                <w:sz w:val="24"/>
                <w:szCs w:val="32"/>
                <w:highlight w:val="none"/>
                <w:lang w:eastAsia="zh-CN"/>
              </w:rPr>
              <w:t>废机油桶</w:t>
            </w:r>
          </w:p>
          <w:p w14:paraId="6C86E6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项目设备维护与保养过程中，会产生废机油桶，年产生量约</w:t>
            </w:r>
            <w:r>
              <w:rPr>
                <w:rFonts w:hint="default" w:ascii="Times New Roman" w:hAnsi="Times New Roman" w:eastAsia="宋体" w:cs="Times New Roman"/>
                <w:color w:val="auto"/>
                <w:kern w:val="0"/>
                <w:sz w:val="24"/>
                <w:szCs w:val="24"/>
                <w:highlight w:val="none"/>
                <w:lang w:val="en-US" w:eastAsia="zh-CN" w:bidi="ar"/>
              </w:rPr>
              <w:t>0.</w:t>
            </w:r>
            <w:r>
              <w:rPr>
                <w:rFonts w:hint="eastAsia" w:ascii="Times New Roman" w:hAnsi="Times New Roman" w:eastAsia="宋体" w:cs="Times New Roman"/>
                <w:color w:val="auto"/>
                <w:kern w:val="0"/>
                <w:sz w:val="24"/>
                <w:szCs w:val="24"/>
                <w:highlight w:val="none"/>
                <w:lang w:val="en-US" w:eastAsia="zh-CN" w:bidi="ar"/>
              </w:rPr>
              <w:t>05</w:t>
            </w:r>
            <w:r>
              <w:rPr>
                <w:rFonts w:hint="default" w:ascii="Times New Roman" w:hAnsi="Times New Roman" w:eastAsia="宋体" w:cs="Times New Roman"/>
                <w:color w:val="auto"/>
                <w:kern w:val="0"/>
                <w:sz w:val="24"/>
                <w:szCs w:val="24"/>
                <w:highlight w:val="none"/>
                <w:lang w:val="en-US" w:eastAsia="zh-CN" w:bidi="ar"/>
              </w:rPr>
              <w:t>t/a</w:t>
            </w:r>
            <w:r>
              <w:rPr>
                <w:rFonts w:hint="eastAsia" w:ascii="宋体" w:hAnsi="宋体" w:eastAsia="宋体" w:cs="宋体"/>
                <w:color w:val="auto"/>
                <w:kern w:val="0"/>
                <w:sz w:val="24"/>
                <w:szCs w:val="24"/>
                <w:highlight w:val="none"/>
                <w:lang w:val="en-US" w:eastAsia="zh-CN" w:bidi="ar"/>
              </w:rPr>
              <w:t>。</w:t>
            </w:r>
          </w:p>
          <w:p w14:paraId="048575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highlight w:val="none"/>
              </w:rPr>
              <w:t>④</w:t>
            </w:r>
            <w:r>
              <w:rPr>
                <w:rFonts w:hint="default" w:ascii="Times New Roman" w:hAnsi="Times New Roman" w:eastAsia="宋体" w:cs="Times New Roman"/>
                <w:color w:val="auto"/>
                <w:sz w:val="24"/>
                <w:szCs w:val="32"/>
                <w:highlight w:val="none"/>
                <w:lang w:eastAsia="zh-CN"/>
              </w:rPr>
              <w:t>废含油抹布</w:t>
            </w:r>
          </w:p>
          <w:p w14:paraId="12A8750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color w:val="auto"/>
                <w:sz w:val="24"/>
                <w:szCs w:val="32"/>
                <w:highlight w:val="none"/>
              </w:rPr>
            </w:pPr>
            <w:r>
              <w:rPr>
                <w:rFonts w:hint="eastAsia" w:ascii="宋体" w:hAnsi="宋体" w:eastAsia="宋体" w:cs="宋体"/>
                <w:color w:val="auto"/>
                <w:kern w:val="0"/>
                <w:sz w:val="24"/>
                <w:szCs w:val="24"/>
                <w:highlight w:val="none"/>
                <w:lang w:val="en-US" w:eastAsia="zh-CN" w:bidi="ar"/>
              </w:rPr>
              <w:t>项目设备维护与保养过程中会产生废含油抹布，废油抹布产生量约为</w:t>
            </w:r>
            <w:r>
              <w:rPr>
                <w:rFonts w:hint="default" w:ascii="Times New Roman" w:hAnsi="Times New Roman" w:eastAsia="宋体" w:cs="Times New Roman"/>
                <w:color w:val="auto"/>
                <w:kern w:val="0"/>
                <w:sz w:val="24"/>
                <w:szCs w:val="24"/>
                <w:highlight w:val="none"/>
                <w:lang w:val="en-US" w:eastAsia="zh-CN" w:bidi="ar"/>
              </w:rPr>
              <w:t>0.</w:t>
            </w:r>
            <w:r>
              <w:rPr>
                <w:rFonts w:hint="eastAsia" w:ascii="Times New Roman" w:hAnsi="Times New Roman" w:eastAsia="宋体" w:cs="Times New Roman"/>
                <w:color w:val="auto"/>
                <w:kern w:val="0"/>
                <w:sz w:val="24"/>
                <w:szCs w:val="24"/>
                <w:highlight w:val="none"/>
                <w:lang w:val="en-US" w:eastAsia="zh-CN" w:bidi="ar"/>
              </w:rPr>
              <w:t>0</w:t>
            </w:r>
            <w:r>
              <w:rPr>
                <w:rFonts w:hint="default" w:ascii="Times New Roman" w:hAnsi="Times New Roman" w:eastAsia="宋体" w:cs="Times New Roman"/>
                <w:color w:val="auto"/>
                <w:kern w:val="0"/>
                <w:sz w:val="24"/>
                <w:szCs w:val="24"/>
                <w:highlight w:val="none"/>
                <w:lang w:val="en-US" w:eastAsia="zh-CN" w:bidi="ar"/>
              </w:rPr>
              <w:t>5t/a</w:t>
            </w:r>
            <w:r>
              <w:rPr>
                <w:rFonts w:hint="eastAsia" w:ascii="Times New Roman" w:hAnsi="Times New Roman" w:eastAsia="宋体" w:cs="Times New Roman"/>
                <w:color w:val="auto"/>
                <w:kern w:val="0"/>
                <w:sz w:val="24"/>
                <w:szCs w:val="24"/>
                <w:highlight w:val="none"/>
                <w:lang w:val="en-US" w:eastAsia="zh-CN" w:bidi="ar"/>
              </w:rPr>
              <w:t>。</w:t>
            </w:r>
          </w:p>
          <w:p w14:paraId="6CEC63F0">
            <w:pPr>
              <w:pStyle w:val="51"/>
              <w:spacing w:line="240" w:lineRule="auto"/>
              <w:ind w:firstLine="482"/>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Cs w:val="21"/>
                <w:highlight w:val="none"/>
              </w:rPr>
              <w:t>表4-1</w:t>
            </w:r>
            <w:r>
              <w:rPr>
                <w:rFonts w:hint="eastAsia" w:cs="Times New Roman"/>
                <w:b/>
                <w:bCs/>
                <w:color w:val="auto"/>
                <w:szCs w:val="21"/>
                <w:highlight w:val="none"/>
                <w:lang w:val="en-US" w:eastAsia="zh-CN"/>
              </w:rPr>
              <w:t>5</w:t>
            </w:r>
            <w:r>
              <w:rPr>
                <w:rFonts w:hint="default" w:ascii="Times New Roman" w:hAnsi="Times New Roman" w:cs="Times New Roman"/>
                <w:b/>
                <w:bCs/>
                <w:color w:val="auto"/>
                <w:szCs w:val="21"/>
                <w:highlight w:val="none"/>
              </w:rPr>
              <w:t xml:space="preserve">  一般固体废物产生及处置情况一览表</w:t>
            </w:r>
          </w:p>
          <w:tbl>
            <w:tblPr>
              <w:tblStyle w:val="39"/>
              <w:tblW w:w="4974"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2037"/>
              <w:gridCol w:w="943"/>
              <w:gridCol w:w="1873"/>
              <w:gridCol w:w="1678"/>
              <w:gridCol w:w="1922"/>
            </w:tblGrid>
            <w:tr w14:paraId="4C70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2" w:type="pct"/>
                  <w:vAlign w:val="center"/>
                </w:tcPr>
                <w:p w14:paraId="5BBF1B75">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117" w:type="pct"/>
                  <w:vAlign w:val="center"/>
                </w:tcPr>
                <w:p w14:paraId="0D5E5452">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名称</w:t>
                  </w:r>
                </w:p>
              </w:tc>
              <w:tc>
                <w:tcPr>
                  <w:tcW w:w="517" w:type="pct"/>
                  <w:vAlign w:val="center"/>
                </w:tcPr>
                <w:p w14:paraId="6FF2ACAC">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性状</w:t>
                  </w:r>
                </w:p>
              </w:tc>
              <w:tc>
                <w:tcPr>
                  <w:tcW w:w="1027" w:type="pct"/>
                  <w:vAlign w:val="center"/>
                </w:tcPr>
                <w:p w14:paraId="00D194AF">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代码</w:t>
                  </w:r>
                </w:p>
              </w:tc>
              <w:tc>
                <w:tcPr>
                  <w:tcW w:w="920" w:type="pct"/>
                  <w:vAlign w:val="center"/>
                </w:tcPr>
                <w:p w14:paraId="38613AB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产生量（t/a）</w:t>
                  </w:r>
                </w:p>
              </w:tc>
              <w:tc>
                <w:tcPr>
                  <w:tcW w:w="1054" w:type="pct"/>
                  <w:vAlign w:val="center"/>
                </w:tcPr>
                <w:p w14:paraId="047455A0">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处理或处置方式</w:t>
                  </w:r>
                </w:p>
              </w:tc>
            </w:tr>
            <w:tr w14:paraId="0076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2" w:type="pct"/>
                  <w:vAlign w:val="center"/>
                </w:tcPr>
                <w:p w14:paraId="7BDD9430">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117" w:type="pct"/>
                  <w:vAlign w:val="center"/>
                </w:tcPr>
                <w:p w14:paraId="03F93A2E">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生活垃圾</w:t>
                  </w:r>
                </w:p>
              </w:tc>
              <w:tc>
                <w:tcPr>
                  <w:tcW w:w="517" w:type="pct"/>
                  <w:vAlign w:val="center"/>
                </w:tcPr>
                <w:p w14:paraId="18214715">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1027" w:type="pct"/>
                  <w:vAlign w:val="center"/>
                </w:tcPr>
                <w:p w14:paraId="7B134F99">
                  <w:pPr>
                    <w:adjustRightInd w:val="0"/>
                    <w:snapToGrid w:val="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920" w:type="pct"/>
                  <w:vAlign w:val="center"/>
                </w:tcPr>
                <w:p w14:paraId="704CC2CE">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0.9</w:t>
                  </w:r>
                </w:p>
              </w:tc>
              <w:tc>
                <w:tcPr>
                  <w:tcW w:w="1054" w:type="pct"/>
                  <w:vMerge w:val="restart"/>
                  <w:vAlign w:val="center"/>
                </w:tcPr>
                <w:p w14:paraId="0D414AC0">
                  <w:pPr>
                    <w:pStyle w:val="21"/>
                    <w:tabs>
                      <w:tab w:val="left" w:pos="2944"/>
                    </w:tabs>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环卫部门统一清运</w:t>
                  </w:r>
                </w:p>
              </w:tc>
            </w:tr>
            <w:tr w14:paraId="6791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2" w:type="pct"/>
                  <w:vAlign w:val="center"/>
                </w:tcPr>
                <w:p w14:paraId="57515457">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117" w:type="pct"/>
                  <w:vAlign w:val="center"/>
                </w:tcPr>
                <w:p w14:paraId="1494C9C2">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废布袋</w:t>
                  </w:r>
                </w:p>
              </w:tc>
              <w:tc>
                <w:tcPr>
                  <w:tcW w:w="517" w:type="pct"/>
                  <w:vAlign w:val="center"/>
                </w:tcPr>
                <w:p w14:paraId="3DBBC86A">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1027" w:type="pct"/>
                  <w:vAlign w:val="center"/>
                </w:tcPr>
                <w:p w14:paraId="46D0C7C7">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900-009-S59</w:t>
                  </w:r>
                </w:p>
              </w:tc>
              <w:tc>
                <w:tcPr>
                  <w:tcW w:w="920" w:type="pct"/>
                  <w:vAlign w:val="center"/>
                </w:tcPr>
                <w:p w14:paraId="08CAC026">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0.1</w:t>
                  </w:r>
                </w:p>
              </w:tc>
              <w:tc>
                <w:tcPr>
                  <w:tcW w:w="1054" w:type="pct"/>
                  <w:vMerge w:val="continue"/>
                  <w:vAlign w:val="center"/>
                </w:tcPr>
                <w:p w14:paraId="09FD4CE4">
                  <w:pPr>
                    <w:pStyle w:val="21"/>
                    <w:tabs>
                      <w:tab w:val="left" w:pos="2944"/>
                    </w:tabs>
                    <w:adjustRightInd w:val="0"/>
                    <w:snapToGrid w:val="0"/>
                    <w:jc w:val="center"/>
                    <w:rPr>
                      <w:rFonts w:hint="default" w:ascii="Times New Roman" w:hAnsi="Times New Roman" w:cs="Times New Roman"/>
                      <w:color w:val="auto"/>
                      <w:szCs w:val="21"/>
                      <w:highlight w:val="none"/>
                    </w:rPr>
                  </w:pPr>
                </w:p>
              </w:tc>
            </w:tr>
            <w:tr w14:paraId="6CB1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2" w:type="pct"/>
                  <w:vAlign w:val="center"/>
                </w:tcPr>
                <w:p w14:paraId="457630F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117" w:type="pct"/>
                  <w:vAlign w:val="center"/>
                </w:tcPr>
                <w:p w14:paraId="2D49B8A1">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废石英砂</w:t>
                  </w:r>
                </w:p>
              </w:tc>
              <w:tc>
                <w:tcPr>
                  <w:tcW w:w="517" w:type="pct"/>
                  <w:vAlign w:val="center"/>
                </w:tcPr>
                <w:p w14:paraId="1AAC8850">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1027" w:type="pct"/>
                  <w:vAlign w:val="center"/>
                </w:tcPr>
                <w:p w14:paraId="39DB8AD9">
                  <w:pPr>
                    <w:adjustRightInd w:val="0"/>
                    <w:snapToGrid w:val="0"/>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900-099-S59</w:t>
                  </w:r>
                </w:p>
              </w:tc>
              <w:tc>
                <w:tcPr>
                  <w:tcW w:w="920" w:type="pct"/>
                  <w:vAlign w:val="center"/>
                </w:tcPr>
                <w:p w14:paraId="18FB7705">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3.6</w:t>
                  </w:r>
                </w:p>
              </w:tc>
              <w:tc>
                <w:tcPr>
                  <w:tcW w:w="1054" w:type="pct"/>
                  <w:vMerge w:val="continue"/>
                  <w:vAlign w:val="center"/>
                </w:tcPr>
                <w:p w14:paraId="3879CD18">
                  <w:pPr>
                    <w:pStyle w:val="21"/>
                    <w:tabs>
                      <w:tab w:val="left" w:pos="2944"/>
                    </w:tabs>
                    <w:adjustRightInd w:val="0"/>
                    <w:snapToGrid w:val="0"/>
                    <w:jc w:val="center"/>
                    <w:rPr>
                      <w:rFonts w:hint="default" w:ascii="Times New Roman" w:hAnsi="Times New Roman" w:cs="Times New Roman"/>
                      <w:color w:val="auto"/>
                      <w:szCs w:val="21"/>
                      <w:highlight w:val="none"/>
                    </w:rPr>
                  </w:pPr>
                </w:p>
              </w:tc>
            </w:tr>
            <w:tr w14:paraId="678C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2" w:type="pct"/>
                  <w:vAlign w:val="center"/>
                </w:tcPr>
                <w:p w14:paraId="2CAAC44C">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117" w:type="pct"/>
                  <w:vAlign w:val="center"/>
                </w:tcPr>
                <w:p w14:paraId="2FF55A77">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废活性炭</w:t>
                  </w:r>
                </w:p>
              </w:tc>
              <w:tc>
                <w:tcPr>
                  <w:tcW w:w="517" w:type="pct"/>
                  <w:vAlign w:val="center"/>
                </w:tcPr>
                <w:p w14:paraId="2C3980B8">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1027" w:type="pct"/>
                  <w:vAlign w:val="center"/>
                </w:tcPr>
                <w:p w14:paraId="4CE374BE">
                  <w:pPr>
                    <w:adjustRightInd w:val="0"/>
                    <w:snapToGrid w:val="0"/>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900-008-S59</w:t>
                  </w:r>
                </w:p>
              </w:tc>
              <w:tc>
                <w:tcPr>
                  <w:tcW w:w="920" w:type="pct"/>
                  <w:vAlign w:val="center"/>
                </w:tcPr>
                <w:p w14:paraId="423DF3D2">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0.3</w:t>
                  </w:r>
                </w:p>
              </w:tc>
              <w:tc>
                <w:tcPr>
                  <w:tcW w:w="1054" w:type="pct"/>
                  <w:vMerge w:val="restart"/>
                  <w:vAlign w:val="center"/>
                </w:tcPr>
                <w:p w14:paraId="27F19176">
                  <w:pPr>
                    <w:pStyle w:val="21"/>
                    <w:tabs>
                      <w:tab w:val="left" w:pos="2944"/>
                    </w:tabs>
                    <w:adjustRightInd w:val="0"/>
                    <w:snapToGrid w:val="0"/>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厂家回收处置</w:t>
                  </w:r>
                </w:p>
              </w:tc>
            </w:tr>
            <w:tr w14:paraId="76CC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2" w:type="pct"/>
                  <w:vAlign w:val="center"/>
                </w:tcPr>
                <w:p w14:paraId="73B6A463">
                  <w:pPr>
                    <w:adjustRightInd w:val="0"/>
                    <w:snapToGrid w:val="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w:t>
                  </w:r>
                </w:p>
              </w:tc>
              <w:tc>
                <w:tcPr>
                  <w:tcW w:w="1117" w:type="pct"/>
                  <w:vAlign w:val="center"/>
                </w:tcPr>
                <w:p w14:paraId="2D721D45">
                  <w:pPr>
                    <w:adjustRightInd w:val="0"/>
                    <w:snapToGrid w:val="0"/>
                    <w:jc w:val="center"/>
                    <w:rPr>
                      <w:rFonts w:hint="eastAsia" w:cs="Times New Roman"/>
                      <w:color w:val="auto"/>
                      <w:szCs w:val="21"/>
                      <w:highlight w:val="none"/>
                      <w:lang w:eastAsia="zh-CN"/>
                    </w:rPr>
                  </w:pPr>
                  <w:r>
                    <w:rPr>
                      <w:rFonts w:hint="eastAsia" w:cs="Times New Roman"/>
                      <w:color w:val="auto"/>
                      <w:szCs w:val="21"/>
                      <w:highlight w:val="none"/>
                      <w:lang w:eastAsia="zh-CN"/>
                    </w:rPr>
                    <w:t>废滤芯</w:t>
                  </w:r>
                </w:p>
              </w:tc>
              <w:tc>
                <w:tcPr>
                  <w:tcW w:w="517" w:type="pct"/>
                  <w:shd w:val="clear" w:color="auto" w:fill="auto"/>
                  <w:vAlign w:val="center"/>
                </w:tcPr>
                <w:p w14:paraId="13F0C89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固态</w:t>
                  </w:r>
                </w:p>
              </w:tc>
              <w:tc>
                <w:tcPr>
                  <w:tcW w:w="1027" w:type="pct"/>
                  <w:vAlign w:val="center"/>
                </w:tcPr>
                <w:p w14:paraId="1FAFDCB1">
                  <w:pPr>
                    <w:adjustRightInd w:val="0"/>
                    <w:snapToGrid w:val="0"/>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900-009-S59</w:t>
                  </w:r>
                </w:p>
              </w:tc>
              <w:tc>
                <w:tcPr>
                  <w:tcW w:w="920" w:type="pct"/>
                  <w:vAlign w:val="center"/>
                </w:tcPr>
                <w:p w14:paraId="4818D7B3">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0.05</w:t>
                  </w:r>
                </w:p>
              </w:tc>
              <w:tc>
                <w:tcPr>
                  <w:tcW w:w="1054" w:type="pct"/>
                  <w:vMerge w:val="continue"/>
                  <w:vAlign w:val="center"/>
                </w:tcPr>
                <w:p w14:paraId="270BA5A7">
                  <w:pPr>
                    <w:pStyle w:val="21"/>
                    <w:tabs>
                      <w:tab w:val="left" w:pos="2944"/>
                    </w:tabs>
                    <w:adjustRightInd w:val="0"/>
                    <w:snapToGrid w:val="0"/>
                    <w:jc w:val="center"/>
                    <w:rPr>
                      <w:rFonts w:hint="default" w:ascii="Times New Roman" w:hAnsi="Times New Roman" w:cs="Times New Roman"/>
                      <w:color w:val="auto"/>
                      <w:szCs w:val="21"/>
                      <w:highlight w:val="none"/>
                    </w:rPr>
                  </w:pPr>
                </w:p>
              </w:tc>
            </w:tr>
            <w:tr w14:paraId="001F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2" w:type="pct"/>
                  <w:vAlign w:val="center"/>
                </w:tcPr>
                <w:p w14:paraId="6E6DBEBA">
                  <w:pPr>
                    <w:adjustRightInd w:val="0"/>
                    <w:snapToGrid w:val="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w:t>
                  </w:r>
                </w:p>
              </w:tc>
              <w:tc>
                <w:tcPr>
                  <w:tcW w:w="1117" w:type="pct"/>
                  <w:vAlign w:val="center"/>
                </w:tcPr>
                <w:p w14:paraId="7BCD0FD5">
                  <w:pPr>
                    <w:adjustRightInd w:val="0"/>
                    <w:snapToGrid w:val="0"/>
                    <w:jc w:val="center"/>
                    <w:rPr>
                      <w:rFonts w:hint="eastAsia" w:cs="Times New Roman"/>
                      <w:color w:val="auto"/>
                      <w:szCs w:val="21"/>
                      <w:highlight w:val="none"/>
                      <w:lang w:eastAsia="zh-CN"/>
                    </w:rPr>
                  </w:pPr>
                  <w:r>
                    <w:rPr>
                      <w:rFonts w:hint="eastAsia" w:cs="Times New Roman"/>
                      <w:color w:val="auto"/>
                      <w:szCs w:val="21"/>
                      <w:highlight w:val="none"/>
                      <w:lang w:eastAsia="zh-CN"/>
                    </w:rPr>
                    <w:t>废纳滤膜</w:t>
                  </w:r>
                </w:p>
              </w:tc>
              <w:tc>
                <w:tcPr>
                  <w:tcW w:w="517" w:type="pct"/>
                  <w:shd w:val="clear" w:color="auto" w:fill="auto"/>
                  <w:vAlign w:val="center"/>
                </w:tcPr>
                <w:p w14:paraId="15E0905C">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固态</w:t>
                  </w:r>
                </w:p>
              </w:tc>
              <w:tc>
                <w:tcPr>
                  <w:tcW w:w="1027" w:type="pct"/>
                  <w:vAlign w:val="center"/>
                </w:tcPr>
                <w:p w14:paraId="09B98245">
                  <w:pPr>
                    <w:adjustRightInd w:val="0"/>
                    <w:snapToGrid w:val="0"/>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900-009-S59</w:t>
                  </w:r>
                </w:p>
              </w:tc>
              <w:tc>
                <w:tcPr>
                  <w:tcW w:w="920" w:type="pct"/>
                  <w:vAlign w:val="center"/>
                </w:tcPr>
                <w:p w14:paraId="5A133DFE">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0.01</w:t>
                  </w:r>
                </w:p>
              </w:tc>
              <w:tc>
                <w:tcPr>
                  <w:tcW w:w="1054" w:type="pct"/>
                  <w:vMerge w:val="continue"/>
                  <w:vAlign w:val="center"/>
                </w:tcPr>
                <w:p w14:paraId="58C2315F">
                  <w:pPr>
                    <w:pStyle w:val="21"/>
                    <w:tabs>
                      <w:tab w:val="left" w:pos="2944"/>
                    </w:tabs>
                    <w:adjustRightInd w:val="0"/>
                    <w:snapToGrid w:val="0"/>
                    <w:jc w:val="center"/>
                    <w:rPr>
                      <w:rFonts w:hint="default" w:ascii="Times New Roman" w:hAnsi="Times New Roman" w:cs="Times New Roman"/>
                      <w:color w:val="auto"/>
                      <w:szCs w:val="21"/>
                      <w:highlight w:val="none"/>
                    </w:rPr>
                  </w:pPr>
                </w:p>
              </w:tc>
            </w:tr>
            <w:tr w14:paraId="3DD3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2" w:type="pct"/>
                  <w:vAlign w:val="center"/>
                </w:tcPr>
                <w:p w14:paraId="386F8D14">
                  <w:pPr>
                    <w:adjustRightInd w:val="0"/>
                    <w:snapToGrid w:val="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w:t>
                  </w:r>
                </w:p>
              </w:tc>
              <w:tc>
                <w:tcPr>
                  <w:tcW w:w="1117" w:type="pct"/>
                  <w:vAlign w:val="center"/>
                </w:tcPr>
                <w:p w14:paraId="3733C6BB">
                  <w:pPr>
                    <w:adjustRightInd w:val="0"/>
                    <w:snapToGrid w:val="0"/>
                    <w:jc w:val="center"/>
                    <w:rPr>
                      <w:rFonts w:hint="eastAsia" w:cs="Times New Roman"/>
                      <w:color w:val="auto"/>
                      <w:szCs w:val="21"/>
                      <w:highlight w:val="none"/>
                      <w:lang w:eastAsia="zh-CN"/>
                    </w:rPr>
                  </w:pPr>
                  <w:r>
                    <w:rPr>
                      <w:rFonts w:hint="eastAsia" w:cs="Times New Roman"/>
                      <w:color w:val="auto"/>
                      <w:szCs w:val="21"/>
                      <w:highlight w:val="none"/>
                      <w:lang w:eastAsia="zh-CN"/>
                    </w:rPr>
                    <w:t>废反渗透膜</w:t>
                  </w:r>
                </w:p>
              </w:tc>
              <w:tc>
                <w:tcPr>
                  <w:tcW w:w="517" w:type="pct"/>
                  <w:shd w:val="clear" w:color="auto" w:fill="auto"/>
                  <w:vAlign w:val="center"/>
                </w:tcPr>
                <w:p w14:paraId="6CF50CB4">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固态</w:t>
                  </w:r>
                </w:p>
              </w:tc>
              <w:tc>
                <w:tcPr>
                  <w:tcW w:w="1027" w:type="pct"/>
                  <w:vAlign w:val="center"/>
                </w:tcPr>
                <w:p w14:paraId="2C72AED3">
                  <w:pPr>
                    <w:adjustRightInd w:val="0"/>
                    <w:snapToGrid w:val="0"/>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900-009-S59</w:t>
                  </w:r>
                </w:p>
              </w:tc>
              <w:tc>
                <w:tcPr>
                  <w:tcW w:w="920" w:type="pct"/>
                  <w:vAlign w:val="center"/>
                </w:tcPr>
                <w:p w14:paraId="225748C1">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0.01</w:t>
                  </w:r>
                </w:p>
              </w:tc>
              <w:tc>
                <w:tcPr>
                  <w:tcW w:w="1054" w:type="pct"/>
                  <w:vMerge w:val="continue"/>
                  <w:vAlign w:val="center"/>
                </w:tcPr>
                <w:p w14:paraId="19A8D140">
                  <w:pPr>
                    <w:pStyle w:val="21"/>
                    <w:tabs>
                      <w:tab w:val="left" w:pos="2944"/>
                    </w:tabs>
                    <w:adjustRightInd w:val="0"/>
                    <w:snapToGrid w:val="0"/>
                    <w:jc w:val="center"/>
                    <w:rPr>
                      <w:rFonts w:hint="default" w:ascii="Times New Roman" w:hAnsi="Times New Roman" w:cs="Times New Roman"/>
                      <w:color w:val="auto"/>
                      <w:szCs w:val="21"/>
                      <w:highlight w:val="none"/>
                    </w:rPr>
                  </w:pPr>
                </w:p>
              </w:tc>
            </w:tr>
            <w:tr w14:paraId="2CD1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2" w:type="pct"/>
                  <w:vAlign w:val="center"/>
                </w:tcPr>
                <w:p w14:paraId="7B0CE39E">
                  <w:pPr>
                    <w:adjustRightInd w:val="0"/>
                    <w:snapToGrid w:val="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8</w:t>
                  </w:r>
                </w:p>
              </w:tc>
              <w:tc>
                <w:tcPr>
                  <w:tcW w:w="1117" w:type="pct"/>
                  <w:vAlign w:val="center"/>
                </w:tcPr>
                <w:p w14:paraId="252BF7A5">
                  <w:pPr>
                    <w:adjustRightInd w:val="0"/>
                    <w:snapToGrid w:val="0"/>
                    <w:jc w:val="center"/>
                    <w:rPr>
                      <w:rFonts w:hint="default" w:cs="Times New Roman"/>
                      <w:color w:val="auto"/>
                      <w:szCs w:val="21"/>
                      <w:highlight w:val="none"/>
                      <w:lang w:val="en-US" w:eastAsia="zh-CN"/>
                    </w:rPr>
                  </w:pPr>
                  <w:r>
                    <w:rPr>
                      <w:rFonts w:hint="eastAsia" w:cs="Times New Roman"/>
                      <w:color w:val="auto"/>
                      <w:szCs w:val="21"/>
                      <w:highlight w:val="none"/>
                      <w:lang w:eastAsia="zh-CN"/>
                    </w:rPr>
                    <w:t>废瓶</w:t>
                  </w:r>
                  <w:r>
                    <w:rPr>
                      <w:rFonts w:hint="eastAsia" w:cs="Times New Roman"/>
                      <w:color w:val="auto"/>
                      <w:szCs w:val="21"/>
                      <w:highlight w:val="none"/>
                      <w:lang w:val="en-US" w:eastAsia="zh-CN"/>
                    </w:rPr>
                    <w:t>/桶/盖</w:t>
                  </w:r>
                </w:p>
              </w:tc>
              <w:tc>
                <w:tcPr>
                  <w:tcW w:w="517" w:type="pct"/>
                  <w:shd w:val="clear" w:color="auto" w:fill="auto"/>
                  <w:vAlign w:val="center"/>
                </w:tcPr>
                <w:p w14:paraId="4BFA0A50">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固态</w:t>
                  </w:r>
                </w:p>
              </w:tc>
              <w:tc>
                <w:tcPr>
                  <w:tcW w:w="1027" w:type="pct"/>
                  <w:vAlign w:val="center"/>
                </w:tcPr>
                <w:p w14:paraId="7BD46FA5">
                  <w:pPr>
                    <w:keepNext w:val="0"/>
                    <w:keepLines w:val="0"/>
                    <w:widowControl/>
                    <w:suppressLineNumbers w:val="0"/>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900-099-S59</w:t>
                  </w:r>
                </w:p>
              </w:tc>
              <w:tc>
                <w:tcPr>
                  <w:tcW w:w="920" w:type="pct"/>
                  <w:vAlign w:val="center"/>
                </w:tcPr>
                <w:p w14:paraId="6F07BCBD">
                  <w:pPr>
                    <w:adjustRightInd w:val="0"/>
                    <w:snapToGrid w:val="0"/>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2</w:t>
                  </w:r>
                </w:p>
              </w:tc>
              <w:tc>
                <w:tcPr>
                  <w:tcW w:w="1054" w:type="pct"/>
                  <w:vAlign w:val="center"/>
                </w:tcPr>
                <w:p w14:paraId="4034756B">
                  <w:pPr>
                    <w:pStyle w:val="21"/>
                    <w:tabs>
                      <w:tab w:val="left" w:pos="2944"/>
                    </w:tabs>
                    <w:adjustRightInd w:val="0"/>
                    <w:snapToGrid w:val="0"/>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外售</w:t>
                  </w:r>
                </w:p>
              </w:tc>
            </w:tr>
            <w:tr w14:paraId="3E61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2" w:type="pct"/>
                  <w:vAlign w:val="center"/>
                </w:tcPr>
                <w:p w14:paraId="6599D432">
                  <w:pPr>
                    <w:adjustRightInd w:val="0"/>
                    <w:snapToGrid w:val="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9</w:t>
                  </w:r>
                </w:p>
              </w:tc>
              <w:tc>
                <w:tcPr>
                  <w:tcW w:w="1117" w:type="pct"/>
                  <w:vAlign w:val="center"/>
                </w:tcPr>
                <w:p w14:paraId="62FECF36">
                  <w:pPr>
                    <w:adjustRightInd w:val="0"/>
                    <w:snapToGrid w:val="0"/>
                    <w:jc w:val="center"/>
                    <w:rPr>
                      <w:rFonts w:hint="eastAsia" w:cs="Times New Roman"/>
                      <w:color w:val="auto"/>
                      <w:szCs w:val="21"/>
                      <w:highlight w:val="none"/>
                      <w:lang w:eastAsia="zh-CN"/>
                    </w:rPr>
                  </w:pPr>
                  <w:r>
                    <w:rPr>
                      <w:rFonts w:hint="eastAsia" w:cs="Times New Roman"/>
                      <w:color w:val="auto"/>
                      <w:szCs w:val="21"/>
                      <w:highlight w:val="none"/>
                      <w:lang w:eastAsia="zh-CN"/>
                    </w:rPr>
                    <w:t>废包装材料</w:t>
                  </w:r>
                </w:p>
              </w:tc>
              <w:tc>
                <w:tcPr>
                  <w:tcW w:w="517" w:type="pct"/>
                  <w:vAlign w:val="center"/>
                </w:tcPr>
                <w:p w14:paraId="05AA67D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1027" w:type="pct"/>
                  <w:vAlign w:val="center"/>
                </w:tcPr>
                <w:p w14:paraId="6B285A14">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900-099-S59</w:t>
                  </w:r>
                </w:p>
              </w:tc>
              <w:tc>
                <w:tcPr>
                  <w:tcW w:w="920" w:type="pct"/>
                  <w:vAlign w:val="center"/>
                </w:tcPr>
                <w:p w14:paraId="760ED411">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0.01</w:t>
                  </w:r>
                </w:p>
              </w:tc>
              <w:tc>
                <w:tcPr>
                  <w:tcW w:w="1054" w:type="pct"/>
                  <w:vMerge w:val="restart"/>
                  <w:vAlign w:val="center"/>
                </w:tcPr>
                <w:p w14:paraId="0A8AB1D4">
                  <w:pPr>
                    <w:pStyle w:val="21"/>
                    <w:tabs>
                      <w:tab w:val="left" w:pos="2944"/>
                    </w:tabs>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环卫部门统一清运</w:t>
                  </w:r>
                </w:p>
              </w:tc>
            </w:tr>
            <w:tr w14:paraId="69B8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2" w:type="pct"/>
                  <w:vAlign w:val="center"/>
                </w:tcPr>
                <w:p w14:paraId="4360531E">
                  <w:pPr>
                    <w:adjustRightInd w:val="0"/>
                    <w:snapToGrid w:val="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10</w:t>
                  </w:r>
                </w:p>
              </w:tc>
              <w:tc>
                <w:tcPr>
                  <w:tcW w:w="1117" w:type="pct"/>
                  <w:vAlign w:val="center"/>
                </w:tcPr>
                <w:p w14:paraId="2209BC57">
                  <w:pPr>
                    <w:adjustRightInd w:val="0"/>
                    <w:snapToGrid w:val="0"/>
                    <w:jc w:val="center"/>
                    <w:rPr>
                      <w:rFonts w:hint="eastAsia" w:cs="Times New Roman"/>
                      <w:color w:val="auto"/>
                      <w:szCs w:val="21"/>
                      <w:highlight w:val="none"/>
                      <w:lang w:eastAsia="zh-CN"/>
                    </w:rPr>
                  </w:pPr>
                  <w:r>
                    <w:rPr>
                      <w:rFonts w:hint="eastAsia" w:cs="Times New Roman"/>
                      <w:color w:val="auto"/>
                      <w:szCs w:val="21"/>
                      <w:highlight w:val="none"/>
                      <w:lang w:eastAsia="zh-CN"/>
                    </w:rPr>
                    <w:t>废灯管</w:t>
                  </w:r>
                </w:p>
              </w:tc>
              <w:tc>
                <w:tcPr>
                  <w:tcW w:w="517" w:type="pct"/>
                  <w:vAlign w:val="center"/>
                </w:tcPr>
                <w:p w14:paraId="1A91C154">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固态</w:t>
                  </w:r>
                </w:p>
              </w:tc>
              <w:tc>
                <w:tcPr>
                  <w:tcW w:w="1027" w:type="pct"/>
                  <w:shd w:val="clear" w:color="auto" w:fill="auto"/>
                  <w:vAlign w:val="center"/>
                </w:tcPr>
                <w:p w14:paraId="21A02DB1">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900-099-S59</w:t>
                  </w:r>
                </w:p>
              </w:tc>
              <w:tc>
                <w:tcPr>
                  <w:tcW w:w="920" w:type="pct"/>
                  <w:shd w:val="clear" w:color="auto" w:fill="auto"/>
                  <w:vAlign w:val="center"/>
                </w:tcPr>
                <w:p w14:paraId="7510F522">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0.05</w:t>
                  </w:r>
                </w:p>
              </w:tc>
              <w:tc>
                <w:tcPr>
                  <w:tcW w:w="1054" w:type="pct"/>
                  <w:vMerge w:val="continue"/>
                  <w:vAlign w:val="center"/>
                </w:tcPr>
                <w:p w14:paraId="7337581C">
                  <w:pPr>
                    <w:pStyle w:val="21"/>
                    <w:tabs>
                      <w:tab w:val="left" w:pos="2944"/>
                    </w:tabs>
                    <w:adjustRightInd w:val="0"/>
                    <w:snapToGrid w:val="0"/>
                    <w:jc w:val="center"/>
                    <w:rPr>
                      <w:rFonts w:hint="default" w:ascii="Times New Roman" w:hAnsi="Times New Roman" w:cs="Times New Roman"/>
                      <w:color w:val="auto"/>
                      <w:szCs w:val="21"/>
                      <w:highlight w:val="none"/>
                    </w:rPr>
                  </w:pPr>
                </w:p>
              </w:tc>
            </w:tr>
          </w:tbl>
          <w:p w14:paraId="5FF5959D">
            <w:pPr>
              <w:keepNext w:val="0"/>
              <w:keepLines w:val="0"/>
              <w:pageBreakBefore w:val="0"/>
              <w:widowControl w:val="0"/>
              <w:kinsoku/>
              <w:wordWrap/>
              <w:overflowPunct/>
              <w:topLinePunct/>
              <w:autoSpaceDE/>
              <w:autoSpaceDN/>
              <w:bidi w:val="0"/>
              <w:adjustRightInd w:val="0"/>
              <w:snapToGrid w:val="0"/>
              <w:spacing w:before="157" w:beforeLines="5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 w:val="24"/>
                <w:highlight w:val="none"/>
              </w:rPr>
              <w:t>表4-1</w:t>
            </w:r>
            <w:r>
              <w:rPr>
                <w:rFonts w:hint="eastAsia" w:cs="Times New Roman"/>
                <w:b/>
                <w:color w:val="auto"/>
                <w:sz w:val="24"/>
                <w:highlight w:val="none"/>
                <w:lang w:val="en-US" w:eastAsia="zh-CN"/>
              </w:rPr>
              <w:t>6</w:t>
            </w:r>
            <w:r>
              <w:rPr>
                <w:rFonts w:hint="default" w:ascii="Times New Roman" w:hAnsi="Times New Roman" w:cs="Times New Roman"/>
                <w:b/>
                <w:color w:val="auto"/>
                <w:sz w:val="24"/>
                <w:highlight w:val="none"/>
              </w:rPr>
              <w:t xml:space="preserve"> 危险废物产生及处置情况一览表</w:t>
            </w:r>
          </w:p>
          <w:tbl>
            <w:tblPr>
              <w:tblStyle w:val="39"/>
              <w:tblW w:w="497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1210"/>
              <w:gridCol w:w="876"/>
              <w:gridCol w:w="1196"/>
              <w:gridCol w:w="998"/>
              <w:gridCol w:w="818"/>
              <w:gridCol w:w="698"/>
              <w:gridCol w:w="1044"/>
              <w:gridCol w:w="905"/>
              <w:gridCol w:w="903"/>
            </w:tblGrid>
            <w:tr w14:paraId="521D1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65" w:type="pct"/>
                  <w:vAlign w:val="center"/>
                </w:tcPr>
                <w:p w14:paraId="3A5FBA22">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序号</w:t>
                  </w:r>
                </w:p>
              </w:tc>
              <w:tc>
                <w:tcPr>
                  <w:tcW w:w="674" w:type="pct"/>
                  <w:vAlign w:val="center"/>
                </w:tcPr>
                <w:p w14:paraId="79577B6B">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危险废物名称</w:t>
                  </w:r>
                </w:p>
              </w:tc>
              <w:tc>
                <w:tcPr>
                  <w:tcW w:w="491" w:type="pct"/>
                  <w:vAlign w:val="center"/>
                </w:tcPr>
                <w:p w14:paraId="1FABC6CB">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危险废物类别</w:t>
                  </w:r>
                </w:p>
              </w:tc>
              <w:tc>
                <w:tcPr>
                  <w:tcW w:w="562" w:type="pct"/>
                  <w:vAlign w:val="center"/>
                </w:tcPr>
                <w:p w14:paraId="45AA2F1A">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危险废物代码</w:t>
                  </w:r>
                </w:p>
              </w:tc>
              <w:tc>
                <w:tcPr>
                  <w:tcW w:w="558" w:type="pct"/>
                  <w:vAlign w:val="center"/>
                </w:tcPr>
                <w:p w14:paraId="7F76D1C4">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产生量（吨/年）</w:t>
                  </w:r>
                </w:p>
              </w:tc>
              <w:tc>
                <w:tcPr>
                  <w:tcW w:w="459" w:type="pct"/>
                  <w:vAlign w:val="center"/>
                </w:tcPr>
                <w:p w14:paraId="4C5D7F9B">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产生工序及装置</w:t>
                  </w:r>
                </w:p>
              </w:tc>
              <w:tc>
                <w:tcPr>
                  <w:tcW w:w="393" w:type="pct"/>
                  <w:vAlign w:val="center"/>
                </w:tcPr>
                <w:p w14:paraId="133FD70E">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形态</w:t>
                  </w:r>
                </w:p>
              </w:tc>
              <w:tc>
                <w:tcPr>
                  <w:tcW w:w="583" w:type="pct"/>
                  <w:vAlign w:val="center"/>
                </w:tcPr>
                <w:p w14:paraId="67B0F98A">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主要成分</w:t>
                  </w:r>
                </w:p>
              </w:tc>
              <w:tc>
                <w:tcPr>
                  <w:tcW w:w="501" w:type="pct"/>
                  <w:vAlign w:val="center"/>
                </w:tcPr>
                <w:p w14:paraId="462096B7">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危险</w:t>
                  </w:r>
                </w:p>
                <w:p w14:paraId="1953B49D">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特性</w:t>
                  </w:r>
                </w:p>
              </w:tc>
              <w:tc>
                <w:tcPr>
                  <w:tcW w:w="511" w:type="pct"/>
                  <w:vAlign w:val="center"/>
                </w:tcPr>
                <w:p w14:paraId="07E776C5">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污染防治措施</w:t>
                  </w:r>
                </w:p>
              </w:tc>
            </w:tr>
            <w:tr w14:paraId="34358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65" w:type="pct"/>
                  <w:vAlign w:val="center"/>
                </w:tcPr>
                <w:p w14:paraId="35B19214">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p>
              </w:tc>
              <w:tc>
                <w:tcPr>
                  <w:tcW w:w="674" w:type="pct"/>
                  <w:vAlign w:val="center"/>
                </w:tcPr>
                <w:p w14:paraId="4C134810">
                  <w:pPr>
                    <w:adjustRightInd w:val="0"/>
                    <w:snapToGrid w:val="0"/>
                    <w:jc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废</w:t>
                  </w:r>
                  <w:r>
                    <w:rPr>
                      <w:rFonts w:hint="eastAsia" w:cs="Times New Roman"/>
                      <w:color w:val="auto"/>
                      <w:szCs w:val="21"/>
                      <w:highlight w:val="none"/>
                      <w:lang w:eastAsia="zh-CN" w:bidi="ar"/>
                    </w:rPr>
                    <w:t>吸附</w:t>
                  </w:r>
                  <w:r>
                    <w:rPr>
                      <w:rFonts w:hint="default" w:ascii="Times New Roman" w:hAnsi="Times New Roman" w:cs="Times New Roman"/>
                      <w:color w:val="auto"/>
                      <w:szCs w:val="21"/>
                      <w:highlight w:val="none"/>
                      <w:lang w:bidi="ar"/>
                    </w:rPr>
                    <w:t>活性炭</w:t>
                  </w:r>
                </w:p>
              </w:tc>
              <w:tc>
                <w:tcPr>
                  <w:tcW w:w="491" w:type="pct"/>
                  <w:vAlign w:val="center"/>
                </w:tcPr>
                <w:p w14:paraId="4762A22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HW49</w:t>
                  </w:r>
                </w:p>
              </w:tc>
              <w:tc>
                <w:tcPr>
                  <w:tcW w:w="562" w:type="pct"/>
                  <w:vAlign w:val="center"/>
                </w:tcPr>
                <w:p w14:paraId="3B481B0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900-039-49</w:t>
                  </w:r>
                </w:p>
              </w:tc>
              <w:tc>
                <w:tcPr>
                  <w:tcW w:w="558" w:type="pct"/>
                  <w:vAlign w:val="center"/>
                </w:tcPr>
                <w:p w14:paraId="0CCC0F48">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2.364</w:t>
                  </w:r>
                </w:p>
              </w:tc>
              <w:tc>
                <w:tcPr>
                  <w:tcW w:w="459" w:type="pct"/>
                  <w:vAlign w:val="center"/>
                </w:tcPr>
                <w:p w14:paraId="4632C5E4">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废气治理</w:t>
                  </w:r>
                </w:p>
              </w:tc>
              <w:tc>
                <w:tcPr>
                  <w:tcW w:w="393" w:type="pct"/>
                  <w:vAlign w:val="center"/>
                </w:tcPr>
                <w:p w14:paraId="17DCF2B3">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固态</w:t>
                  </w:r>
                </w:p>
              </w:tc>
              <w:tc>
                <w:tcPr>
                  <w:tcW w:w="583" w:type="pct"/>
                  <w:vAlign w:val="center"/>
                </w:tcPr>
                <w:p w14:paraId="78701A7C">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沾染有毒性有害物质</w:t>
                  </w:r>
                </w:p>
              </w:tc>
              <w:tc>
                <w:tcPr>
                  <w:tcW w:w="501" w:type="pct"/>
                  <w:vAlign w:val="center"/>
                </w:tcPr>
                <w:p w14:paraId="7E63C342">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T</w:t>
                  </w:r>
                </w:p>
              </w:tc>
              <w:tc>
                <w:tcPr>
                  <w:tcW w:w="511" w:type="pct"/>
                  <w:vMerge w:val="restart"/>
                  <w:vAlign w:val="center"/>
                </w:tcPr>
                <w:p w14:paraId="55E3CE3C">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委托有资质单位进行处理</w:t>
                  </w:r>
                </w:p>
              </w:tc>
            </w:tr>
            <w:tr w14:paraId="5BD4A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265" w:type="pct"/>
                  <w:vAlign w:val="center"/>
                </w:tcPr>
                <w:p w14:paraId="73248A35">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p>
              </w:tc>
              <w:tc>
                <w:tcPr>
                  <w:tcW w:w="674" w:type="pct"/>
                  <w:vAlign w:val="center"/>
                </w:tcPr>
                <w:p w14:paraId="64208CB9">
                  <w:pPr>
                    <w:adjustRightInd w:val="0"/>
                    <w:snapToGrid w:val="0"/>
                    <w:jc w:val="center"/>
                    <w:rPr>
                      <w:rFonts w:hint="eastAsia" w:ascii="Times New Roman" w:hAnsi="Times New Roman" w:eastAsia="宋体" w:cs="Times New Roman"/>
                      <w:color w:val="auto"/>
                      <w:szCs w:val="21"/>
                      <w:highlight w:val="none"/>
                      <w:lang w:eastAsia="zh-CN" w:bidi="ar"/>
                    </w:rPr>
                  </w:pPr>
                  <w:r>
                    <w:rPr>
                      <w:rFonts w:hint="default" w:ascii="Times New Roman" w:hAnsi="Times New Roman" w:cs="Times New Roman"/>
                      <w:color w:val="auto"/>
                      <w:szCs w:val="21"/>
                      <w:highlight w:val="none"/>
                    </w:rPr>
                    <w:t>废</w:t>
                  </w:r>
                  <w:r>
                    <w:rPr>
                      <w:rFonts w:hint="eastAsia" w:cs="Times New Roman"/>
                      <w:color w:val="auto"/>
                      <w:szCs w:val="21"/>
                      <w:highlight w:val="none"/>
                      <w:lang w:eastAsia="zh-CN"/>
                    </w:rPr>
                    <w:t>机油</w:t>
                  </w:r>
                </w:p>
              </w:tc>
              <w:tc>
                <w:tcPr>
                  <w:tcW w:w="491" w:type="pct"/>
                  <w:vAlign w:val="center"/>
                </w:tcPr>
                <w:p w14:paraId="3DC85C68">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HW</w:t>
                  </w:r>
                  <w:r>
                    <w:rPr>
                      <w:rFonts w:hint="eastAsia" w:cs="Times New Roman"/>
                      <w:color w:val="auto"/>
                      <w:szCs w:val="21"/>
                      <w:highlight w:val="none"/>
                      <w:lang w:val="en-US" w:eastAsia="zh-CN"/>
                    </w:rPr>
                    <w:t>08</w:t>
                  </w:r>
                </w:p>
              </w:tc>
              <w:tc>
                <w:tcPr>
                  <w:tcW w:w="562" w:type="pct"/>
                  <w:vAlign w:val="center"/>
                </w:tcPr>
                <w:p w14:paraId="1FF94752">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900-214-08</w:t>
                  </w:r>
                </w:p>
              </w:tc>
              <w:tc>
                <w:tcPr>
                  <w:tcW w:w="558" w:type="pct"/>
                  <w:vAlign w:val="center"/>
                </w:tcPr>
                <w:p w14:paraId="45727AC1">
                  <w:pPr>
                    <w:adjustRightInd w:val="0"/>
                    <w:snapToGrid w:val="0"/>
                    <w:jc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1</w:t>
                  </w:r>
                </w:p>
              </w:tc>
              <w:tc>
                <w:tcPr>
                  <w:tcW w:w="459" w:type="pct"/>
                  <w:vAlign w:val="center"/>
                </w:tcPr>
                <w:p w14:paraId="1AB55A1C">
                  <w:pPr>
                    <w:topLinePunct/>
                    <w:adjustRightInd w:val="0"/>
                    <w:snapToGrid w:val="0"/>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设备检修</w:t>
                  </w:r>
                </w:p>
              </w:tc>
              <w:tc>
                <w:tcPr>
                  <w:tcW w:w="393" w:type="pct"/>
                  <w:vAlign w:val="center"/>
                </w:tcPr>
                <w:p w14:paraId="7E32ED07">
                  <w:pPr>
                    <w:topLinePunct/>
                    <w:adjustRightInd w:val="0"/>
                    <w:snapToGrid w:val="0"/>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液态</w:t>
                  </w:r>
                </w:p>
              </w:tc>
              <w:tc>
                <w:tcPr>
                  <w:tcW w:w="583" w:type="pct"/>
                  <w:vAlign w:val="center"/>
                </w:tcPr>
                <w:p w14:paraId="317D2098">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沾染有毒性有害物质</w:t>
                  </w:r>
                </w:p>
              </w:tc>
              <w:tc>
                <w:tcPr>
                  <w:tcW w:w="501" w:type="pct"/>
                  <w:vAlign w:val="center"/>
                </w:tcPr>
                <w:p w14:paraId="7DC575B1">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T、I</w:t>
                  </w:r>
                </w:p>
              </w:tc>
              <w:tc>
                <w:tcPr>
                  <w:tcW w:w="511" w:type="pct"/>
                  <w:vMerge w:val="continue"/>
                  <w:vAlign w:val="center"/>
                </w:tcPr>
                <w:p w14:paraId="106D99D1">
                  <w:pPr>
                    <w:topLinePunct/>
                    <w:adjustRightInd w:val="0"/>
                    <w:snapToGrid w:val="0"/>
                    <w:jc w:val="center"/>
                    <w:rPr>
                      <w:rFonts w:hint="default" w:ascii="Times New Roman" w:hAnsi="Times New Roman" w:cs="Times New Roman"/>
                      <w:color w:val="auto"/>
                      <w:kern w:val="0"/>
                      <w:szCs w:val="21"/>
                      <w:highlight w:val="none"/>
                    </w:rPr>
                  </w:pPr>
                </w:p>
              </w:tc>
            </w:tr>
            <w:tr w14:paraId="24DAA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265" w:type="pct"/>
                  <w:vAlign w:val="center"/>
                </w:tcPr>
                <w:p w14:paraId="0D983198">
                  <w:pPr>
                    <w:topLinePunct/>
                    <w:adjustRightInd w:val="0"/>
                    <w:snapToGrid w:val="0"/>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w:t>
                  </w:r>
                </w:p>
              </w:tc>
              <w:tc>
                <w:tcPr>
                  <w:tcW w:w="674" w:type="pct"/>
                  <w:vAlign w:val="center"/>
                </w:tcPr>
                <w:p w14:paraId="1CEE8803">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废机油桶</w:t>
                  </w:r>
                </w:p>
              </w:tc>
              <w:tc>
                <w:tcPr>
                  <w:tcW w:w="491" w:type="pct"/>
                  <w:shd w:val="clear" w:color="auto" w:fill="auto"/>
                  <w:vAlign w:val="center"/>
                </w:tcPr>
                <w:p w14:paraId="5AEF663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HW49</w:t>
                  </w:r>
                </w:p>
              </w:tc>
              <w:tc>
                <w:tcPr>
                  <w:tcW w:w="562" w:type="pct"/>
                  <w:shd w:val="clear" w:color="auto" w:fill="auto"/>
                  <w:vAlign w:val="center"/>
                </w:tcPr>
                <w:p w14:paraId="5F92A09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highlight w:val="none"/>
                    </w:rPr>
                    <w:t>900-041-49</w:t>
                  </w:r>
                  <w:r>
                    <w:rPr>
                      <w:rFonts w:hint="default" w:ascii="Times New Roman" w:hAnsi="Times New Roman" w:cs="Times New Roman"/>
                      <w:color w:val="auto"/>
                      <w:szCs w:val="21"/>
                      <w:highlight w:val="none"/>
                    </w:rPr>
                    <w:t xml:space="preserve"> </w:t>
                  </w:r>
                </w:p>
              </w:tc>
              <w:tc>
                <w:tcPr>
                  <w:tcW w:w="558" w:type="pct"/>
                  <w:vAlign w:val="center"/>
                </w:tcPr>
                <w:p w14:paraId="2FAFF810">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0.05</w:t>
                  </w:r>
                </w:p>
              </w:tc>
              <w:tc>
                <w:tcPr>
                  <w:tcW w:w="459" w:type="pct"/>
                  <w:vAlign w:val="center"/>
                </w:tcPr>
                <w:p w14:paraId="297ED6F4">
                  <w:pPr>
                    <w:topLinePunct/>
                    <w:adjustRightInd w:val="0"/>
                    <w:snapToGrid w:val="0"/>
                    <w:jc w:val="center"/>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设备检修</w:t>
                  </w:r>
                </w:p>
              </w:tc>
              <w:tc>
                <w:tcPr>
                  <w:tcW w:w="393" w:type="pct"/>
                  <w:shd w:val="clear" w:color="auto" w:fill="auto"/>
                  <w:vAlign w:val="center"/>
                </w:tcPr>
                <w:p w14:paraId="612D32F2">
                  <w:pPr>
                    <w:topLinePunct/>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固态</w:t>
                  </w:r>
                </w:p>
              </w:tc>
              <w:tc>
                <w:tcPr>
                  <w:tcW w:w="583" w:type="pct"/>
                  <w:shd w:val="clear" w:color="auto" w:fill="auto"/>
                  <w:vAlign w:val="center"/>
                </w:tcPr>
                <w:p w14:paraId="01987738">
                  <w:pPr>
                    <w:topLinePunct/>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沾染有毒性有害物质</w:t>
                  </w:r>
                </w:p>
              </w:tc>
              <w:tc>
                <w:tcPr>
                  <w:tcW w:w="501" w:type="pct"/>
                  <w:shd w:val="clear" w:color="auto" w:fill="auto"/>
                  <w:vAlign w:val="center"/>
                </w:tcPr>
                <w:p w14:paraId="10B6C1FB">
                  <w:pPr>
                    <w:widowControl/>
                    <w:jc w:val="center"/>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lang w:bidi="ar"/>
                    </w:rPr>
                    <w:t>T/C/In/I</w:t>
                  </w:r>
                </w:p>
                <w:p w14:paraId="1C64CB2B">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bidi="ar"/>
                    </w:rPr>
                    <w:t>/R</w:t>
                  </w:r>
                </w:p>
              </w:tc>
              <w:tc>
                <w:tcPr>
                  <w:tcW w:w="511" w:type="pct"/>
                  <w:vMerge w:val="continue"/>
                  <w:vAlign w:val="center"/>
                </w:tcPr>
                <w:p w14:paraId="33F3513E">
                  <w:pPr>
                    <w:topLinePunct/>
                    <w:adjustRightInd w:val="0"/>
                    <w:snapToGrid w:val="0"/>
                    <w:jc w:val="center"/>
                    <w:rPr>
                      <w:rFonts w:hint="default" w:ascii="Times New Roman" w:hAnsi="Times New Roman" w:cs="Times New Roman"/>
                      <w:color w:val="auto"/>
                      <w:kern w:val="0"/>
                      <w:szCs w:val="21"/>
                      <w:highlight w:val="none"/>
                    </w:rPr>
                  </w:pPr>
                </w:p>
              </w:tc>
            </w:tr>
            <w:tr w14:paraId="022D6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265" w:type="pct"/>
                  <w:vAlign w:val="center"/>
                </w:tcPr>
                <w:p w14:paraId="6487BB69">
                  <w:pPr>
                    <w:topLinePunct/>
                    <w:adjustRightInd w:val="0"/>
                    <w:snapToGrid w:val="0"/>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4</w:t>
                  </w:r>
                </w:p>
              </w:tc>
              <w:tc>
                <w:tcPr>
                  <w:tcW w:w="674" w:type="pct"/>
                  <w:vAlign w:val="center"/>
                </w:tcPr>
                <w:p w14:paraId="20B83CDF">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废含油抹布</w:t>
                  </w:r>
                </w:p>
              </w:tc>
              <w:tc>
                <w:tcPr>
                  <w:tcW w:w="491" w:type="pct"/>
                  <w:shd w:val="clear" w:color="auto" w:fill="auto"/>
                  <w:vAlign w:val="center"/>
                </w:tcPr>
                <w:p w14:paraId="2F22547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HW49</w:t>
                  </w:r>
                </w:p>
              </w:tc>
              <w:tc>
                <w:tcPr>
                  <w:tcW w:w="562" w:type="pct"/>
                  <w:shd w:val="clear" w:color="auto" w:fill="auto"/>
                  <w:vAlign w:val="center"/>
                </w:tcPr>
                <w:p w14:paraId="17635EE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highlight w:val="none"/>
                    </w:rPr>
                    <w:t>900-041-49</w:t>
                  </w:r>
                  <w:r>
                    <w:rPr>
                      <w:rFonts w:hint="default" w:ascii="Times New Roman" w:hAnsi="Times New Roman" w:cs="Times New Roman"/>
                      <w:color w:val="auto"/>
                      <w:szCs w:val="21"/>
                      <w:highlight w:val="none"/>
                    </w:rPr>
                    <w:t xml:space="preserve"> </w:t>
                  </w:r>
                </w:p>
              </w:tc>
              <w:tc>
                <w:tcPr>
                  <w:tcW w:w="558" w:type="pct"/>
                  <w:vAlign w:val="center"/>
                </w:tcPr>
                <w:p w14:paraId="1EDD4F79">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0.05</w:t>
                  </w:r>
                </w:p>
              </w:tc>
              <w:tc>
                <w:tcPr>
                  <w:tcW w:w="459" w:type="pct"/>
                  <w:vAlign w:val="center"/>
                </w:tcPr>
                <w:p w14:paraId="7C2C7ECC">
                  <w:pPr>
                    <w:topLinePunct/>
                    <w:adjustRightInd w:val="0"/>
                    <w:snapToGrid w:val="0"/>
                    <w:jc w:val="center"/>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设备检修</w:t>
                  </w:r>
                </w:p>
              </w:tc>
              <w:tc>
                <w:tcPr>
                  <w:tcW w:w="393" w:type="pct"/>
                  <w:shd w:val="clear" w:color="auto" w:fill="auto"/>
                  <w:vAlign w:val="center"/>
                </w:tcPr>
                <w:p w14:paraId="3D6482DE">
                  <w:pPr>
                    <w:topLinePunct/>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highlight w:val="none"/>
                    </w:rPr>
                    <w:t>固态</w:t>
                  </w:r>
                </w:p>
              </w:tc>
              <w:tc>
                <w:tcPr>
                  <w:tcW w:w="583" w:type="pct"/>
                  <w:shd w:val="clear" w:color="auto" w:fill="auto"/>
                  <w:vAlign w:val="center"/>
                </w:tcPr>
                <w:p w14:paraId="606925F8">
                  <w:pPr>
                    <w:topLinePunct/>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Cs w:val="21"/>
                      <w:highlight w:val="none"/>
                    </w:rPr>
                    <w:t>沾染有毒性有害物质</w:t>
                  </w:r>
                </w:p>
              </w:tc>
              <w:tc>
                <w:tcPr>
                  <w:tcW w:w="501" w:type="pct"/>
                  <w:vAlign w:val="center"/>
                </w:tcPr>
                <w:p w14:paraId="01EE0B42">
                  <w:pPr>
                    <w:widowControl/>
                    <w:jc w:val="center"/>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lang w:bidi="ar"/>
                    </w:rPr>
                    <w:t>T/C/In/I</w:t>
                  </w:r>
                </w:p>
                <w:p w14:paraId="7A02C6A3">
                  <w:pPr>
                    <w:widowControl/>
                    <w:jc w:val="center"/>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/R</w:t>
                  </w:r>
                </w:p>
              </w:tc>
              <w:tc>
                <w:tcPr>
                  <w:tcW w:w="511" w:type="pct"/>
                  <w:vMerge w:val="continue"/>
                  <w:vAlign w:val="center"/>
                </w:tcPr>
                <w:p w14:paraId="53F75AFE">
                  <w:pPr>
                    <w:topLinePunct/>
                    <w:adjustRightInd w:val="0"/>
                    <w:snapToGrid w:val="0"/>
                    <w:jc w:val="center"/>
                    <w:rPr>
                      <w:rFonts w:hint="default" w:ascii="Times New Roman" w:hAnsi="Times New Roman" w:cs="Times New Roman"/>
                      <w:color w:val="auto"/>
                      <w:kern w:val="0"/>
                      <w:szCs w:val="21"/>
                      <w:highlight w:val="none"/>
                    </w:rPr>
                  </w:pPr>
                </w:p>
              </w:tc>
            </w:tr>
            <w:tr w14:paraId="581B2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993" w:type="pct"/>
                  <w:gridSpan w:val="4"/>
                  <w:vAlign w:val="center"/>
                </w:tcPr>
                <w:p w14:paraId="218BBE1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合计</w:t>
                  </w:r>
                </w:p>
              </w:tc>
              <w:tc>
                <w:tcPr>
                  <w:tcW w:w="558" w:type="pct"/>
                  <w:vAlign w:val="center"/>
                </w:tcPr>
                <w:p w14:paraId="0D849559">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2.564</w:t>
                  </w:r>
                </w:p>
              </w:tc>
              <w:tc>
                <w:tcPr>
                  <w:tcW w:w="459" w:type="pct"/>
                  <w:vAlign w:val="center"/>
                </w:tcPr>
                <w:p w14:paraId="39C24FD5">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p>
              </w:tc>
              <w:tc>
                <w:tcPr>
                  <w:tcW w:w="393" w:type="pct"/>
                  <w:vAlign w:val="center"/>
                </w:tcPr>
                <w:p w14:paraId="71F11295">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p>
              </w:tc>
              <w:tc>
                <w:tcPr>
                  <w:tcW w:w="583" w:type="pct"/>
                  <w:vAlign w:val="center"/>
                </w:tcPr>
                <w:p w14:paraId="1DC669AC">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p>
              </w:tc>
              <w:tc>
                <w:tcPr>
                  <w:tcW w:w="501" w:type="pct"/>
                  <w:vAlign w:val="center"/>
                </w:tcPr>
                <w:p w14:paraId="253108D4">
                  <w:pPr>
                    <w:topLinePunct/>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p>
              </w:tc>
              <w:tc>
                <w:tcPr>
                  <w:tcW w:w="511" w:type="pct"/>
                  <w:vAlign w:val="center"/>
                </w:tcPr>
                <w:p w14:paraId="043E2B25">
                  <w:pPr>
                    <w:topLinePunct/>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14:paraId="6422FFC7">
            <w:pPr>
              <w:kinsoku w:val="0"/>
              <w:overflowPunct w:val="0"/>
              <w:autoSpaceDE w:val="0"/>
              <w:autoSpaceDN w:val="0"/>
              <w:adjustRightIn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危险废物收集暂存场所</w:t>
            </w:r>
          </w:p>
          <w:p w14:paraId="0BF2A188">
            <w:pPr>
              <w:widowControl/>
              <w:spacing w:line="360" w:lineRule="auto"/>
              <w:ind w:firstLine="482" w:firstLineChars="200"/>
              <w:jc w:val="left"/>
              <w:rPr>
                <w:rFonts w:hint="default" w:ascii="Times New Roman" w:hAnsi="Times New Roman" w:cs="Times New Roman"/>
                <w:color w:val="auto"/>
                <w:highlight w:val="none"/>
              </w:rPr>
            </w:pPr>
            <w:r>
              <w:rPr>
                <w:rFonts w:hint="default" w:ascii="Times New Roman" w:hAnsi="Times New Roman" w:cs="Times New Roman"/>
                <w:b/>
                <w:bCs/>
                <w:color w:val="auto"/>
                <w:kern w:val="0"/>
                <w:sz w:val="24"/>
                <w:highlight w:val="none"/>
                <w:lang w:bidi="ar"/>
              </w:rPr>
              <w:t xml:space="preserve">危废管理要求： </w:t>
            </w:r>
          </w:p>
          <w:p w14:paraId="11A1144B">
            <w:pPr>
              <w:widowControl/>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1）包装 </w:t>
            </w:r>
          </w:p>
          <w:p w14:paraId="45776703">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危险废物收集时应根据危险废物的种类、数量、危险特性、物理形态、运输要求等因素确定包装形式，具体包装应符合如下要求：</w:t>
            </w:r>
          </w:p>
          <w:p w14:paraId="2843B42E">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A、包装材质要与危险废物相容，可根据废物特性选择钢、铝、塑料等材质。</w:t>
            </w:r>
          </w:p>
          <w:p w14:paraId="63C95174">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B、性质类似的废物可收集到同一容器中，性质不相容的危险废物不应混合包装。</w:t>
            </w:r>
          </w:p>
          <w:p w14:paraId="11CC5963">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C、危险废物包装应能有效隔断危险废物迁移扩散途径，并达到防渗、防漏要求。</w:t>
            </w:r>
          </w:p>
          <w:p w14:paraId="7F4009EA">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D、包装好的危险废物应设置相应的标签，标签信息应填写完整详实。</w:t>
            </w:r>
          </w:p>
          <w:p w14:paraId="7D79B11B">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E、盛装过危险废物的包装袋或包装容器破损后应按危险废物进行管理和处置。</w:t>
            </w:r>
          </w:p>
          <w:p w14:paraId="192CD4B5">
            <w:pPr>
              <w:widowControl/>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kern w:val="0"/>
                <w:sz w:val="24"/>
                <w:highlight w:val="none"/>
                <w:lang w:bidi="ar"/>
              </w:rPr>
              <w:t>F、危险废物还应根据GB12463的有关要求进行运输包装。</w:t>
            </w:r>
          </w:p>
          <w:p w14:paraId="3777CB58">
            <w:pPr>
              <w:widowControl/>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2）运输 </w:t>
            </w:r>
          </w:p>
          <w:p w14:paraId="159BB34D">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危险废物内部转运作业应满足如下要求：</w:t>
            </w:r>
          </w:p>
          <w:p w14:paraId="7FA5067E">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A、危险废物内部转运应综合考虑厂区的实际情况确定转运路线，尽量避开办公区与生活区。</w:t>
            </w:r>
          </w:p>
          <w:p w14:paraId="0D05AB68">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B、危险废物内部转运作业应采用专用的工具，危险废物内部转运应参照《危险废物收集贮存运输技术规范》（HJ2025-2012）中附录B填写《危险废物厂内转运记录表》。</w:t>
            </w:r>
          </w:p>
          <w:p w14:paraId="2038964D">
            <w:pPr>
              <w:widowControl/>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kern w:val="0"/>
                <w:sz w:val="24"/>
                <w:highlight w:val="none"/>
                <w:lang w:bidi="ar"/>
              </w:rPr>
              <w:t xml:space="preserve">C、危险废物内部转运结束后，应对转运线路检查和清理，确保无危险废物遗失在转运路线上，并对转运工具进行清洗。 </w:t>
            </w:r>
          </w:p>
          <w:p w14:paraId="62F2822E">
            <w:pPr>
              <w:widowControl/>
              <w:spacing w:line="360" w:lineRule="auto"/>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3）贮存</w:t>
            </w:r>
          </w:p>
          <w:p w14:paraId="3D711E8C">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本项目拟在厂区西北角设置一间危险废物暂存间，面积为</w:t>
            </w:r>
            <w:r>
              <w:rPr>
                <w:rFonts w:hint="eastAsia" w:cs="Times New Roman"/>
                <w:color w:val="auto"/>
                <w:kern w:val="0"/>
                <w:sz w:val="24"/>
                <w:highlight w:val="none"/>
                <w:lang w:val="en-US" w:eastAsia="zh-CN" w:bidi="ar"/>
              </w:rPr>
              <w:t>5</w:t>
            </w:r>
            <w:r>
              <w:rPr>
                <w:rFonts w:hint="default" w:ascii="Times New Roman" w:hAnsi="Times New Roman" w:cs="Times New Roman"/>
                <w:color w:val="auto"/>
                <w:kern w:val="0"/>
                <w:sz w:val="24"/>
                <w:highlight w:val="none"/>
                <w:lang w:bidi="ar"/>
              </w:rPr>
              <w:t>m</w:t>
            </w:r>
            <w:r>
              <w:rPr>
                <w:rFonts w:hint="default" w:ascii="Times New Roman" w:hAnsi="Times New Roman" w:cs="Times New Roman"/>
                <w:color w:val="auto"/>
                <w:kern w:val="0"/>
                <w:sz w:val="24"/>
                <w:highlight w:val="none"/>
                <w:vertAlign w:val="superscript"/>
                <w:lang w:bidi="ar"/>
              </w:rPr>
              <w:t>2</w:t>
            </w:r>
            <w:r>
              <w:rPr>
                <w:rFonts w:hint="default" w:ascii="Times New Roman" w:hAnsi="Times New Roman" w:cs="Times New Roman"/>
                <w:color w:val="auto"/>
                <w:kern w:val="0"/>
                <w:sz w:val="24"/>
                <w:highlight w:val="none"/>
                <w:lang w:bidi="ar"/>
              </w:rPr>
              <w:t>。危废间地面采取重点防腐防渗，地面无裂缝，配备通讯设备、照明设施、安全防护服装及工具，并设有应急防护设施，内部放置防渗漏密封桶以及防渗托盘，危险废液用密封桶封装，避免对地下水产生影响。定期对危废间进行检查，发现破损，应及时进行修理；贮存场所应设置警示标志，危险废物必须粘贴危废识别标志，配备称重设备；危废的贮存期限不得超过一年，年周转次数至少1次。延长贮存期限的，需报经生态环境部门批准；做好危险废物情况的记录，记录上须注明危险废物的名称、来源、数量、特性和包装容器的类别、入库日期、堆放库位、废物出库日期及接收单位名称；严格按照危险废物转移联单制度进行转移，危险废物定期送往有资质的危废处置单位进行处置。</w:t>
            </w:r>
          </w:p>
          <w:p w14:paraId="7898800A">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危险废物暂存间应符合以下要求：</w:t>
            </w:r>
          </w:p>
          <w:p w14:paraId="0AAFCB14">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①贮存设施应根据危险废物的形态、物理化学性质、包装形式和污染物迁移途径，采取必要的防风、防晒、防雨、防漏、防渗、防腐以及其他环境污染防治措施，不应露天堆放危险废物。</w:t>
            </w:r>
          </w:p>
          <w:p w14:paraId="6F8FB552">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②贮存设施应根据危险废物的类别、数量、形态、物理化学性质和污染防治等要求设置必要的贮存分区，避免不相容的危险废物接触、混合。</w:t>
            </w:r>
          </w:p>
          <w:p w14:paraId="46CF964E">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③贮存设施或贮存分区内地面、墙面裙脚、堵截泄漏的围堰、接触危险废物的隔板和墙体等应采用坚固的材料建造，表面无裂缝。</w:t>
            </w:r>
          </w:p>
          <w:p w14:paraId="0B623DA8">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m厚黏土层（渗透系数不大于10</w:t>
            </w:r>
            <w:r>
              <w:rPr>
                <w:rFonts w:hint="default" w:ascii="Times New Roman" w:hAnsi="Times New Roman" w:cs="Times New Roman"/>
                <w:color w:val="auto"/>
                <w:kern w:val="0"/>
                <w:sz w:val="24"/>
                <w:highlight w:val="none"/>
                <w:vertAlign w:val="superscript"/>
                <w:lang w:bidi="ar"/>
              </w:rPr>
              <w:t>-7</w:t>
            </w:r>
            <w:r>
              <w:rPr>
                <w:rFonts w:hint="default" w:ascii="Times New Roman" w:hAnsi="Times New Roman" w:cs="Times New Roman"/>
                <w:color w:val="auto"/>
                <w:kern w:val="0"/>
                <w:sz w:val="24"/>
                <w:highlight w:val="none"/>
                <w:lang w:bidi="ar"/>
              </w:rPr>
              <w:t xml:space="preserve"> cm/s），或至少2 mm厚高密度聚乙烯膜等人工防渗材料（渗透系数不大于10</w:t>
            </w:r>
            <w:r>
              <w:rPr>
                <w:rFonts w:hint="default" w:ascii="Times New Roman" w:hAnsi="Times New Roman" w:cs="Times New Roman"/>
                <w:color w:val="auto"/>
                <w:kern w:val="0"/>
                <w:sz w:val="24"/>
                <w:highlight w:val="none"/>
                <w:vertAlign w:val="superscript"/>
                <w:lang w:bidi="ar"/>
              </w:rPr>
              <w:t>-10</w:t>
            </w:r>
            <w:r>
              <w:rPr>
                <w:rFonts w:hint="default" w:ascii="Times New Roman" w:hAnsi="Times New Roman" w:cs="Times New Roman"/>
                <w:color w:val="auto"/>
                <w:kern w:val="0"/>
                <w:sz w:val="24"/>
                <w:highlight w:val="none"/>
                <w:lang w:bidi="ar"/>
              </w:rPr>
              <w:t xml:space="preserve"> cm/s），或其他防渗性能等效的材料。</w:t>
            </w:r>
          </w:p>
          <w:p w14:paraId="77FC7A36">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⑤同一贮存设施宜采用相同的防渗、防腐工艺（包括防渗、防腐结构或材料），防渗、防腐材料应覆盖所有可能与废物及其渗滤液、渗漏液等接触的构筑物表面；采用不同防渗、防腐工艺应分别建设贮存分区。</w:t>
            </w:r>
          </w:p>
          <w:p w14:paraId="25859EA8">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⑥贮存设施应采取技术和管理措施防止无关人员进入。</w:t>
            </w:r>
          </w:p>
          <w:p w14:paraId="0D16ECA5">
            <w:pPr>
              <w:widowControl/>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4）转移和运输 </w:t>
            </w:r>
          </w:p>
          <w:p w14:paraId="3F5D7A65">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①危险废物场内转移应做好各项防泄漏措施。</w:t>
            </w:r>
          </w:p>
          <w:p w14:paraId="115DA78C">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②危险废物的转移和运输按《危险废物转移联单管理办法》的规定报批危险废物转移计划，填写好转运联单，并必须交由有资质的单位承运，做好每次外运处置废弃物的运输登记。</w:t>
            </w:r>
          </w:p>
          <w:p w14:paraId="3D65F7B6">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③运输车辆必须具有车辆危险货物运输许可证。</w:t>
            </w:r>
          </w:p>
          <w:p w14:paraId="53D09D89">
            <w:pPr>
              <w:widowControl/>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kern w:val="0"/>
                <w:sz w:val="24"/>
                <w:highlight w:val="none"/>
                <w:lang w:bidi="ar"/>
              </w:rPr>
              <w:t>④处置单位在运输危险废弃物时不得超装、超载，严格按照所在城市规定的行车时间和行车路线行驶，不得进入危废运输车辆禁止通行的区域。</w:t>
            </w:r>
          </w:p>
          <w:p w14:paraId="7195F129">
            <w:pPr>
              <w:widowControl/>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2、环境管理要求 </w:t>
            </w:r>
          </w:p>
          <w:p w14:paraId="3CBC4245">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针对本项目正常运行阶段所产生的危险废物的日常管理提出要求：</w:t>
            </w:r>
          </w:p>
          <w:p w14:paraId="0813ABCB">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①履行申报登记制度；</w:t>
            </w:r>
          </w:p>
          <w:p w14:paraId="2DD6EBDE">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②建立台账管理制度，企业须做好危险废物情况的记录，记录上需注明危险废物的名称、来源、数量、特性和包装容器的类别；</w:t>
            </w:r>
          </w:p>
          <w:p w14:paraId="2FC2DB60">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③委托处置应执行报批和转移联单等制度；</w:t>
            </w:r>
          </w:p>
          <w:p w14:paraId="250A9E3D">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④定期对暂存的危险废物包装容器及贮存设施进行检查，及早发现破损，及时采取措施清理更换；</w:t>
            </w:r>
          </w:p>
          <w:p w14:paraId="33B160CA">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⑤直接从事收集、贮存、运输、利用、处置危险废物的人员，应当接受专业培训，经考核合格，方可从事该项工作；</w:t>
            </w:r>
          </w:p>
          <w:p w14:paraId="18B54295">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⑥固废贮存（处置）场所规范化设置，固体废物贮存（处置）场所应在醒目处设置标志牌。</w:t>
            </w:r>
          </w:p>
          <w:p w14:paraId="7FED16DA">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采取以上措施后，项目产生的危险废物均可得到有效处置，不会造成二次污染，从环保角度考虑，危险固体废物防治措施可行。</w:t>
            </w:r>
          </w:p>
          <w:p w14:paraId="3E903B50">
            <w:pPr>
              <w:widowControl/>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3、固体废物达标分析 </w:t>
            </w:r>
          </w:p>
          <w:p w14:paraId="37E566B7">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本项目产生的一般固体废物主要有员工生活垃圾、废布袋</w:t>
            </w:r>
            <w:r>
              <w:rPr>
                <w:rFonts w:hint="eastAsia" w:cs="Times New Roman"/>
                <w:color w:val="auto"/>
                <w:kern w:val="0"/>
                <w:sz w:val="24"/>
                <w:highlight w:val="none"/>
                <w:lang w:eastAsia="zh-CN" w:bidi="ar"/>
              </w:rPr>
              <w:t>、</w:t>
            </w:r>
            <w:r>
              <w:rPr>
                <w:rFonts w:hint="default" w:ascii="Times New Roman" w:hAnsi="Times New Roman" w:cs="Times New Roman"/>
                <w:color w:val="auto"/>
                <w:kern w:val="0"/>
                <w:sz w:val="24"/>
                <w:highlight w:val="none"/>
                <w:lang w:bidi="ar"/>
              </w:rPr>
              <w:t>废石英砂</w:t>
            </w:r>
            <w:r>
              <w:rPr>
                <w:rFonts w:hint="eastAsia" w:cs="Times New Roman"/>
                <w:color w:val="auto"/>
                <w:kern w:val="0"/>
                <w:sz w:val="24"/>
                <w:highlight w:val="none"/>
                <w:lang w:eastAsia="zh-CN" w:bidi="ar"/>
              </w:rPr>
              <w:t>、</w:t>
            </w:r>
            <w:r>
              <w:rPr>
                <w:rFonts w:hint="default" w:ascii="Times New Roman" w:hAnsi="Times New Roman" w:cs="Times New Roman"/>
                <w:color w:val="auto"/>
                <w:kern w:val="0"/>
                <w:sz w:val="24"/>
                <w:highlight w:val="none"/>
                <w:lang w:bidi="ar"/>
              </w:rPr>
              <w:t>废活性炭</w:t>
            </w:r>
            <w:r>
              <w:rPr>
                <w:rFonts w:hint="eastAsia" w:cs="Times New Roman"/>
                <w:color w:val="auto"/>
                <w:kern w:val="0"/>
                <w:sz w:val="24"/>
                <w:highlight w:val="none"/>
                <w:lang w:eastAsia="zh-CN" w:bidi="ar"/>
              </w:rPr>
              <w:t>、</w:t>
            </w:r>
            <w:r>
              <w:rPr>
                <w:rFonts w:hint="default" w:ascii="Times New Roman" w:hAnsi="Times New Roman" w:cs="Times New Roman"/>
                <w:color w:val="auto"/>
                <w:kern w:val="0"/>
                <w:sz w:val="24"/>
                <w:highlight w:val="none"/>
                <w:lang w:bidi="ar"/>
              </w:rPr>
              <w:t>废滤芯</w:t>
            </w:r>
            <w:r>
              <w:rPr>
                <w:rFonts w:hint="eastAsia" w:cs="Times New Roman"/>
                <w:color w:val="auto"/>
                <w:kern w:val="0"/>
                <w:sz w:val="24"/>
                <w:highlight w:val="none"/>
                <w:lang w:eastAsia="zh-CN" w:bidi="ar"/>
              </w:rPr>
              <w:t>、</w:t>
            </w:r>
            <w:r>
              <w:rPr>
                <w:rFonts w:hint="default" w:ascii="Times New Roman" w:hAnsi="Times New Roman" w:cs="Times New Roman"/>
                <w:color w:val="auto"/>
                <w:kern w:val="0"/>
                <w:sz w:val="24"/>
                <w:highlight w:val="none"/>
                <w:lang w:bidi="ar"/>
              </w:rPr>
              <w:t>废纳滤膜</w:t>
            </w:r>
            <w:r>
              <w:rPr>
                <w:rFonts w:hint="eastAsia" w:cs="Times New Roman"/>
                <w:color w:val="auto"/>
                <w:kern w:val="0"/>
                <w:sz w:val="24"/>
                <w:highlight w:val="none"/>
                <w:lang w:eastAsia="zh-CN" w:bidi="ar"/>
              </w:rPr>
              <w:t>、</w:t>
            </w:r>
            <w:r>
              <w:rPr>
                <w:rFonts w:hint="default" w:ascii="Times New Roman" w:hAnsi="Times New Roman" w:cs="Times New Roman"/>
                <w:color w:val="auto"/>
                <w:kern w:val="0"/>
                <w:sz w:val="24"/>
                <w:highlight w:val="none"/>
                <w:lang w:bidi="ar"/>
              </w:rPr>
              <w:t>废反渗透膜</w:t>
            </w:r>
            <w:r>
              <w:rPr>
                <w:rFonts w:hint="eastAsia" w:cs="Times New Roman"/>
                <w:color w:val="auto"/>
                <w:kern w:val="0"/>
                <w:sz w:val="24"/>
                <w:highlight w:val="none"/>
                <w:lang w:eastAsia="zh-CN" w:bidi="ar"/>
              </w:rPr>
              <w:t>、</w:t>
            </w:r>
            <w:r>
              <w:rPr>
                <w:rFonts w:hint="default" w:ascii="Times New Roman" w:hAnsi="Times New Roman" w:cs="Times New Roman"/>
                <w:color w:val="auto"/>
                <w:kern w:val="0"/>
                <w:sz w:val="24"/>
                <w:highlight w:val="none"/>
                <w:lang w:bidi="ar"/>
              </w:rPr>
              <w:t>废瓶/桶/盖</w:t>
            </w:r>
            <w:r>
              <w:rPr>
                <w:rFonts w:hint="eastAsia" w:cs="Times New Roman"/>
                <w:color w:val="auto"/>
                <w:kern w:val="0"/>
                <w:sz w:val="24"/>
                <w:highlight w:val="none"/>
                <w:lang w:eastAsia="zh-CN" w:bidi="ar"/>
              </w:rPr>
              <w:t>、</w:t>
            </w:r>
            <w:r>
              <w:rPr>
                <w:rFonts w:hint="default" w:ascii="Times New Roman" w:hAnsi="Times New Roman" w:cs="Times New Roman"/>
                <w:color w:val="auto"/>
                <w:kern w:val="0"/>
                <w:sz w:val="24"/>
                <w:highlight w:val="none"/>
                <w:lang w:bidi="ar"/>
              </w:rPr>
              <w:t>废包装材料</w:t>
            </w:r>
            <w:r>
              <w:rPr>
                <w:rFonts w:hint="eastAsia" w:cs="Times New Roman"/>
                <w:color w:val="auto"/>
                <w:kern w:val="0"/>
                <w:sz w:val="24"/>
                <w:highlight w:val="none"/>
                <w:lang w:eastAsia="zh-CN" w:bidi="ar"/>
              </w:rPr>
              <w:t>和废灯管</w:t>
            </w:r>
            <w:r>
              <w:rPr>
                <w:rFonts w:hint="default" w:ascii="Times New Roman" w:hAnsi="Times New Roman" w:cs="Times New Roman"/>
                <w:color w:val="auto"/>
                <w:kern w:val="0"/>
                <w:sz w:val="24"/>
                <w:highlight w:val="none"/>
                <w:lang w:bidi="ar"/>
              </w:rPr>
              <w:t>。本项目产生的危险固体废物为废</w:t>
            </w:r>
            <w:r>
              <w:rPr>
                <w:rFonts w:hint="eastAsia" w:cs="Times New Roman"/>
                <w:color w:val="auto"/>
                <w:kern w:val="0"/>
                <w:sz w:val="24"/>
                <w:highlight w:val="none"/>
                <w:lang w:eastAsia="zh-CN" w:bidi="ar"/>
              </w:rPr>
              <w:t>吸附</w:t>
            </w:r>
            <w:r>
              <w:rPr>
                <w:rFonts w:hint="default" w:ascii="Times New Roman" w:hAnsi="Times New Roman" w:cs="Times New Roman"/>
                <w:color w:val="auto"/>
                <w:kern w:val="0"/>
                <w:sz w:val="24"/>
                <w:highlight w:val="none"/>
                <w:lang w:bidi="ar"/>
              </w:rPr>
              <w:t>活性炭、</w:t>
            </w:r>
            <w:r>
              <w:rPr>
                <w:rFonts w:hint="eastAsia" w:cs="Times New Roman"/>
                <w:color w:val="auto"/>
                <w:kern w:val="0"/>
                <w:sz w:val="24"/>
                <w:highlight w:val="none"/>
                <w:lang w:eastAsia="zh-CN" w:bidi="ar"/>
              </w:rPr>
              <w:t>废机油、废机油桶和废含油抹布</w:t>
            </w:r>
            <w:r>
              <w:rPr>
                <w:rFonts w:hint="default" w:ascii="Times New Roman" w:hAnsi="Times New Roman" w:cs="Times New Roman"/>
                <w:color w:val="auto"/>
                <w:kern w:val="0"/>
                <w:sz w:val="24"/>
                <w:highlight w:val="none"/>
                <w:lang w:bidi="ar"/>
              </w:rPr>
              <w:t>。本项目新建危废间，用于存放废</w:t>
            </w:r>
            <w:r>
              <w:rPr>
                <w:rFonts w:hint="eastAsia" w:cs="Times New Roman"/>
                <w:color w:val="auto"/>
                <w:kern w:val="0"/>
                <w:sz w:val="24"/>
                <w:highlight w:val="none"/>
                <w:lang w:eastAsia="zh-CN" w:bidi="ar"/>
              </w:rPr>
              <w:t>吸附</w:t>
            </w:r>
            <w:r>
              <w:rPr>
                <w:rFonts w:hint="default" w:ascii="Times New Roman" w:hAnsi="Times New Roman" w:cs="Times New Roman"/>
                <w:color w:val="auto"/>
                <w:kern w:val="0"/>
                <w:sz w:val="24"/>
                <w:highlight w:val="none"/>
                <w:lang w:bidi="ar"/>
              </w:rPr>
              <w:t>活性炭、</w:t>
            </w:r>
            <w:r>
              <w:rPr>
                <w:rFonts w:hint="eastAsia" w:cs="Times New Roman"/>
                <w:color w:val="auto"/>
                <w:kern w:val="0"/>
                <w:sz w:val="24"/>
                <w:highlight w:val="none"/>
                <w:lang w:eastAsia="zh-CN" w:bidi="ar"/>
              </w:rPr>
              <w:t>废机油、废机油桶和废含油抹布</w:t>
            </w:r>
            <w:r>
              <w:rPr>
                <w:rFonts w:hint="default" w:ascii="Times New Roman" w:hAnsi="Times New Roman" w:cs="Times New Roman"/>
                <w:color w:val="auto"/>
                <w:kern w:val="0"/>
                <w:sz w:val="24"/>
                <w:highlight w:val="none"/>
                <w:lang w:bidi="ar"/>
              </w:rPr>
              <w:t>。危险固体废物委托有关资质单位进行处置；生活垃圾、废布袋</w:t>
            </w:r>
            <w:r>
              <w:rPr>
                <w:rFonts w:hint="eastAsia" w:cs="Times New Roman"/>
                <w:color w:val="auto"/>
                <w:kern w:val="0"/>
                <w:sz w:val="24"/>
                <w:highlight w:val="none"/>
                <w:lang w:eastAsia="zh-CN" w:bidi="ar"/>
              </w:rPr>
              <w:t>、</w:t>
            </w:r>
            <w:r>
              <w:rPr>
                <w:rFonts w:hint="default" w:ascii="Times New Roman" w:hAnsi="Times New Roman" w:cs="Times New Roman"/>
                <w:color w:val="auto"/>
                <w:kern w:val="0"/>
                <w:sz w:val="24"/>
                <w:highlight w:val="none"/>
                <w:lang w:bidi="ar"/>
              </w:rPr>
              <w:t>废石英砂</w:t>
            </w:r>
            <w:r>
              <w:rPr>
                <w:rFonts w:hint="eastAsia" w:cs="Times New Roman"/>
                <w:color w:val="auto"/>
                <w:kern w:val="0"/>
                <w:sz w:val="24"/>
                <w:highlight w:val="none"/>
                <w:lang w:eastAsia="zh-CN" w:bidi="ar"/>
              </w:rPr>
              <w:t>、</w:t>
            </w:r>
            <w:r>
              <w:rPr>
                <w:rFonts w:hint="eastAsia" w:ascii="Times New Roman" w:hAnsi="Times New Roman" w:cs="Times New Roman"/>
                <w:color w:val="auto"/>
                <w:kern w:val="0"/>
                <w:sz w:val="24"/>
                <w:highlight w:val="none"/>
                <w:lang w:eastAsia="zh-CN" w:bidi="ar"/>
              </w:rPr>
              <w:t>废包装材料</w:t>
            </w:r>
            <w:r>
              <w:rPr>
                <w:rFonts w:hint="eastAsia" w:cs="Times New Roman"/>
                <w:color w:val="auto"/>
                <w:kern w:val="0"/>
                <w:sz w:val="24"/>
                <w:highlight w:val="none"/>
                <w:lang w:eastAsia="zh-CN" w:bidi="ar"/>
              </w:rPr>
              <w:t>和废灯管</w:t>
            </w:r>
            <w:r>
              <w:rPr>
                <w:rFonts w:hint="default" w:ascii="Times New Roman" w:hAnsi="Times New Roman" w:cs="Times New Roman"/>
                <w:color w:val="auto"/>
                <w:kern w:val="0"/>
                <w:sz w:val="24"/>
                <w:highlight w:val="none"/>
                <w:lang w:bidi="ar"/>
              </w:rPr>
              <w:t>统一收集后由环卫部门统一清理，废活性炭</w:t>
            </w:r>
            <w:r>
              <w:rPr>
                <w:rFonts w:hint="eastAsia" w:cs="Times New Roman"/>
                <w:color w:val="auto"/>
                <w:kern w:val="0"/>
                <w:sz w:val="24"/>
                <w:highlight w:val="none"/>
                <w:lang w:eastAsia="zh-CN" w:bidi="ar"/>
              </w:rPr>
              <w:t>、</w:t>
            </w:r>
            <w:r>
              <w:rPr>
                <w:rFonts w:hint="default" w:ascii="Times New Roman" w:hAnsi="Times New Roman" w:cs="Times New Roman"/>
                <w:color w:val="auto"/>
                <w:kern w:val="0"/>
                <w:sz w:val="24"/>
                <w:highlight w:val="none"/>
                <w:lang w:bidi="ar"/>
              </w:rPr>
              <w:t>废滤芯</w:t>
            </w:r>
            <w:r>
              <w:rPr>
                <w:rFonts w:hint="eastAsia" w:cs="Times New Roman"/>
                <w:color w:val="auto"/>
                <w:kern w:val="0"/>
                <w:sz w:val="24"/>
                <w:highlight w:val="none"/>
                <w:lang w:eastAsia="zh-CN" w:bidi="ar"/>
              </w:rPr>
              <w:t>、</w:t>
            </w:r>
            <w:r>
              <w:rPr>
                <w:rFonts w:hint="default" w:ascii="Times New Roman" w:hAnsi="Times New Roman" w:cs="Times New Roman"/>
                <w:color w:val="auto"/>
                <w:kern w:val="0"/>
                <w:sz w:val="24"/>
                <w:highlight w:val="none"/>
                <w:lang w:bidi="ar"/>
              </w:rPr>
              <w:t>废纳滤膜</w:t>
            </w:r>
            <w:r>
              <w:rPr>
                <w:rFonts w:hint="eastAsia" w:cs="Times New Roman"/>
                <w:color w:val="auto"/>
                <w:kern w:val="0"/>
                <w:sz w:val="24"/>
                <w:highlight w:val="none"/>
                <w:lang w:eastAsia="zh-CN" w:bidi="ar"/>
              </w:rPr>
              <w:t>、</w:t>
            </w:r>
            <w:r>
              <w:rPr>
                <w:rFonts w:hint="default" w:ascii="Times New Roman" w:hAnsi="Times New Roman" w:cs="Times New Roman"/>
                <w:color w:val="auto"/>
                <w:kern w:val="0"/>
                <w:sz w:val="24"/>
                <w:highlight w:val="none"/>
                <w:lang w:bidi="ar"/>
              </w:rPr>
              <w:t>废反渗透</w:t>
            </w:r>
            <w:r>
              <w:rPr>
                <w:rFonts w:hint="eastAsia" w:ascii="Times New Roman" w:hAnsi="Times New Roman" w:cs="Times New Roman"/>
                <w:color w:val="auto"/>
                <w:kern w:val="0"/>
                <w:sz w:val="24"/>
                <w:highlight w:val="none"/>
                <w:lang w:eastAsia="zh-CN" w:bidi="ar"/>
              </w:rPr>
              <w:t>膜收集后交由厂家回收处置，</w:t>
            </w:r>
            <w:r>
              <w:rPr>
                <w:rFonts w:hint="default" w:ascii="Times New Roman" w:hAnsi="Times New Roman" w:cs="Times New Roman"/>
                <w:color w:val="auto"/>
                <w:kern w:val="0"/>
                <w:sz w:val="24"/>
                <w:highlight w:val="none"/>
                <w:lang w:bidi="ar"/>
              </w:rPr>
              <w:t>废瓶/桶/盖外售处置。综上所述，项目产生的固体废物均得到妥善处理处置，对外环境的影响较小。</w:t>
            </w:r>
          </w:p>
          <w:p w14:paraId="392F1D07">
            <w:pPr>
              <w:pStyle w:val="277"/>
              <w:ind w:firstLine="48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五、土壤及地下水污染防治措施</w:t>
            </w:r>
          </w:p>
          <w:p w14:paraId="24EA3EEC">
            <w:pPr>
              <w:spacing w:line="360" w:lineRule="auto"/>
              <w:ind w:firstLine="480" w:firstLineChars="200"/>
              <w:outlineLvl w:val="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1、土壤及地下水污染源分析</w:t>
            </w:r>
          </w:p>
          <w:p w14:paraId="6A3054E7">
            <w:pPr>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本项目运营期对地下水和土壤的</w:t>
            </w:r>
            <w:r>
              <w:rPr>
                <w:rFonts w:hint="default" w:ascii="Times New Roman" w:hAnsi="Times New Roman" w:cs="Times New Roman"/>
                <w:color w:val="auto"/>
                <w:sz w:val="24"/>
                <w:highlight w:val="none"/>
              </w:rPr>
              <w:t>污染途径主要为危废发生泄漏事故，未进行及时处理，可能对土壤、地下水造成一定程度的影响。</w:t>
            </w:r>
          </w:p>
          <w:p w14:paraId="04F43E5B">
            <w:pPr>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本项目厂区采用雨污分流</w:t>
            </w:r>
            <w:r>
              <w:rPr>
                <w:rFonts w:hint="default" w:ascii="Times New Roman" w:hAnsi="Times New Roman" w:cs="Times New Roman"/>
                <w:color w:val="auto"/>
                <w:sz w:val="24"/>
                <w:szCs w:val="24"/>
                <w:highlight w:val="none"/>
              </w:rPr>
              <w:t>制；本项目</w:t>
            </w:r>
            <w:r>
              <w:rPr>
                <w:rFonts w:hint="eastAsia"/>
                <w:color w:val="auto"/>
                <w:sz w:val="24"/>
                <w:szCs w:val="24"/>
                <w:highlight w:val="none"/>
                <w:lang w:val="en-US" w:eastAsia="zh-CN"/>
              </w:rPr>
              <w:t>实验室质检、</w:t>
            </w:r>
            <w:r>
              <w:rPr>
                <w:rFonts w:hint="eastAsia" w:cs="Times New Roman"/>
                <w:color w:val="auto"/>
                <w:sz w:val="24"/>
                <w:szCs w:val="24"/>
                <w:highlight w:val="none"/>
                <w:lang w:eastAsia="zh-CN"/>
              </w:rPr>
              <w:t>瓶</w:t>
            </w:r>
            <w:r>
              <w:rPr>
                <w:rFonts w:hint="eastAsia" w:cs="Times New Roman"/>
                <w:color w:val="auto"/>
                <w:sz w:val="24"/>
                <w:szCs w:val="24"/>
                <w:highlight w:val="none"/>
                <w:lang w:val="en-US" w:eastAsia="zh-CN"/>
              </w:rPr>
              <w:t>/桶/盖清洗、</w:t>
            </w:r>
            <w:r>
              <w:rPr>
                <w:rFonts w:hint="eastAsia" w:cs="Times New Roman"/>
                <w:color w:val="auto"/>
                <w:sz w:val="24"/>
                <w:szCs w:val="24"/>
                <w:highlight w:val="none"/>
                <w:lang w:eastAsia="zh-CN"/>
              </w:rPr>
              <w:t>反冲洗废水、纯净水制备浓水与</w:t>
            </w:r>
            <w:r>
              <w:rPr>
                <w:bCs/>
                <w:color w:val="auto"/>
                <w:kern w:val="44"/>
                <w:sz w:val="24"/>
                <w:szCs w:val="24"/>
                <w:highlight w:val="none"/>
              </w:rPr>
              <w:t>生活污水、</w:t>
            </w:r>
            <w:r>
              <w:rPr>
                <w:rFonts w:hint="eastAsia"/>
                <w:bCs/>
                <w:color w:val="auto"/>
                <w:kern w:val="44"/>
                <w:sz w:val="24"/>
                <w:szCs w:val="24"/>
                <w:highlight w:val="none"/>
                <w:lang w:eastAsia="zh-CN"/>
              </w:rPr>
              <w:t>保洁废水</w:t>
            </w:r>
            <w:r>
              <w:rPr>
                <w:rFonts w:hint="eastAsia" w:cs="Times New Roman"/>
                <w:color w:val="auto"/>
                <w:sz w:val="24"/>
                <w:szCs w:val="24"/>
                <w:highlight w:val="none"/>
                <w:lang w:eastAsia="zh-CN"/>
              </w:rPr>
              <w:t>一同</w:t>
            </w:r>
            <w:r>
              <w:rPr>
                <w:rFonts w:hint="default" w:ascii="Times New Roman" w:hAnsi="Times New Roman" w:cs="Times New Roman"/>
                <w:color w:val="auto"/>
                <w:sz w:val="24"/>
                <w:szCs w:val="24"/>
                <w:highlight w:val="none"/>
              </w:rPr>
              <w:t>排至</w:t>
            </w:r>
            <w:r>
              <w:rPr>
                <w:rFonts w:hint="eastAsia" w:cs="Times New Roman"/>
                <w:color w:val="auto"/>
                <w:sz w:val="24"/>
                <w:szCs w:val="24"/>
                <w:highlight w:val="none"/>
                <w:lang w:eastAsia="zh-CN"/>
              </w:rPr>
              <w:t>宿州市循环经济示范园污水</w:t>
            </w:r>
            <w:r>
              <w:rPr>
                <w:rFonts w:hint="default" w:ascii="Times New Roman" w:hAnsi="Times New Roman" w:cs="Times New Roman"/>
                <w:color w:val="auto"/>
                <w:sz w:val="24"/>
                <w:szCs w:val="24"/>
                <w:highlight w:val="none"/>
              </w:rPr>
              <w:t>处理厂处理；</w:t>
            </w:r>
            <w:r>
              <w:rPr>
                <w:rFonts w:hint="default" w:ascii="Times New Roman" w:hAnsi="Times New Roman" w:cs="Times New Roman"/>
                <w:color w:val="auto"/>
                <w:sz w:val="24"/>
                <w:szCs w:val="32"/>
                <w:highlight w:val="none"/>
              </w:rPr>
              <w:t>危废间进行重点防渗，可有效防止原料泄漏对土壤及地下水产生影响。</w:t>
            </w:r>
          </w:p>
          <w:p w14:paraId="5A6160A4">
            <w:pPr>
              <w:spacing w:line="360" w:lineRule="auto"/>
              <w:ind w:firstLine="480" w:firstLineChars="200"/>
              <w:outlineLvl w:val="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2、环境污染防治措施</w:t>
            </w:r>
          </w:p>
          <w:p w14:paraId="1F612539">
            <w:pPr>
              <w:spacing w:line="360" w:lineRule="auto"/>
              <w:ind w:firstLine="480" w:firstLineChars="200"/>
              <w:outlineLvl w:val="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按照《环境影响评价技术导则 地下水环境》(HJ610-2016) 中的有关要</w:t>
            </w:r>
            <w:r>
              <w:rPr>
                <w:rFonts w:hint="default" w:ascii="Times New Roman" w:hAnsi="Times New Roman" w:cs="Times New Roman"/>
                <w:color w:val="auto"/>
                <w:highlight w:val="none"/>
              </w:rPr>
              <w:t>求</w:t>
            </w:r>
            <w:r>
              <w:rPr>
                <w:rFonts w:hint="default" w:ascii="Times New Roman" w:hAnsi="Times New Roman" w:cs="Times New Roman"/>
                <w:color w:val="auto"/>
                <w:sz w:val="24"/>
                <w:highlight w:val="none"/>
              </w:rPr>
              <w:t>一般企业分区防渗分为重点防渗区、一般防渗区和简单防渗区。</w:t>
            </w:r>
          </w:p>
          <w:p w14:paraId="120B1135">
            <w:pPr>
              <w:spacing w:line="360" w:lineRule="auto"/>
              <w:ind w:firstLine="480" w:firstLineChars="200"/>
              <w:outlineLvl w:val="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根据厂区各生产功能单元是否可能对土壤、地下水造成污染及其环境风险程度，将厂区划分为重点防渗区、一般防渗区及简单防渗区。厂区污染防渗分区、防渗标准及要求如下表。</w:t>
            </w:r>
          </w:p>
          <w:p w14:paraId="509B7FD6">
            <w:pPr>
              <w:spacing w:line="360" w:lineRule="auto"/>
              <w:ind w:firstLine="480" w:firstLineChars="200"/>
              <w:outlineLvl w:val="2"/>
              <w:rPr>
                <w:rFonts w:hint="default" w:ascii="Times New Roman" w:hAnsi="Times New Roman" w:cs="Times New Roman"/>
                <w:color w:val="auto"/>
                <w:spacing w:val="-6"/>
                <w:szCs w:val="21"/>
                <w:highlight w:val="none"/>
              </w:rPr>
            </w:pPr>
            <w:r>
              <w:rPr>
                <w:rFonts w:hint="default" w:ascii="Times New Roman" w:hAnsi="Times New Roman" w:cs="Times New Roman"/>
                <w:color w:val="auto"/>
                <w:sz w:val="24"/>
                <w:highlight w:val="none"/>
              </w:rPr>
              <w:t>厂区分区防渗划分如下</w:t>
            </w:r>
            <w:r>
              <w:rPr>
                <w:rFonts w:hint="default" w:ascii="Times New Roman" w:hAnsi="Times New Roman" w:cs="Times New Roman"/>
                <w:color w:val="auto"/>
                <w:szCs w:val="21"/>
                <w:highlight w:val="none"/>
              </w:rPr>
              <w:t>：</w:t>
            </w:r>
          </w:p>
          <w:p w14:paraId="0823478A">
            <w:pPr>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w:t>
            </w:r>
            <w:r>
              <w:rPr>
                <w:rFonts w:hint="default" w:ascii="Times New Roman" w:hAnsi="Times New Roman" w:cs="Times New Roman"/>
                <w:b/>
                <w:snapToGrid w:val="0"/>
                <w:color w:val="auto"/>
                <w:sz w:val="24"/>
                <w:highlight w:val="none"/>
              </w:rPr>
              <w:t>4-1</w:t>
            </w:r>
            <w:r>
              <w:rPr>
                <w:rFonts w:hint="eastAsia" w:cs="Times New Roman"/>
                <w:b/>
                <w:snapToGrid w:val="0"/>
                <w:color w:val="auto"/>
                <w:sz w:val="24"/>
                <w:highlight w:val="none"/>
                <w:lang w:val="en-US" w:eastAsia="zh-CN"/>
              </w:rPr>
              <w:t>7</w:t>
            </w:r>
            <w:r>
              <w:rPr>
                <w:rFonts w:hint="default" w:ascii="Times New Roman" w:hAnsi="Times New Roman" w:cs="Times New Roman"/>
                <w:b/>
                <w:snapToGrid w:val="0"/>
                <w:color w:val="auto"/>
                <w:sz w:val="24"/>
                <w:highlight w:val="none"/>
              </w:rPr>
              <w:t xml:space="preserve"> </w:t>
            </w:r>
            <w:r>
              <w:rPr>
                <w:rFonts w:hint="default" w:ascii="Times New Roman" w:hAnsi="Times New Roman" w:cs="Times New Roman"/>
                <w:b/>
                <w:color w:val="auto"/>
                <w:sz w:val="24"/>
                <w:highlight w:val="none"/>
              </w:rPr>
              <w:t>本项目分区防渗方案及防渗措施表</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676"/>
              <w:gridCol w:w="2612"/>
              <w:gridCol w:w="4033"/>
            </w:tblGrid>
            <w:tr w14:paraId="34B8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pct"/>
                  <w:vAlign w:val="center"/>
                </w:tcPr>
                <w:p w14:paraId="2AD68E9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915" w:type="pct"/>
                  <w:vAlign w:val="center"/>
                </w:tcPr>
                <w:p w14:paraId="08EB1F1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防治分区</w:t>
                  </w:r>
                </w:p>
              </w:tc>
              <w:tc>
                <w:tcPr>
                  <w:tcW w:w="1426" w:type="pct"/>
                  <w:vAlign w:val="center"/>
                </w:tcPr>
                <w:p w14:paraId="0187C5A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分区位置</w:t>
                  </w:r>
                </w:p>
              </w:tc>
              <w:tc>
                <w:tcPr>
                  <w:tcW w:w="2201" w:type="pct"/>
                  <w:vAlign w:val="center"/>
                </w:tcPr>
                <w:p w14:paraId="73FED6D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防渗要求</w:t>
                  </w:r>
                </w:p>
              </w:tc>
            </w:tr>
            <w:tr w14:paraId="72F9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56" w:type="pct"/>
                  <w:vAlign w:val="center"/>
                </w:tcPr>
                <w:p w14:paraId="7FF2BF6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915" w:type="pct"/>
                  <w:vAlign w:val="center"/>
                </w:tcPr>
                <w:p w14:paraId="352E620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重点防渗区</w:t>
                  </w:r>
                </w:p>
              </w:tc>
              <w:tc>
                <w:tcPr>
                  <w:tcW w:w="1426" w:type="pct"/>
                  <w:vAlign w:val="center"/>
                </w:tcPr>
                <w:p w14:paraId="534C7F1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危废间</w:t>
                  </w:r>
                </w:p>
              </w:tc>
              <w:tc>
                <w:tcPr>
                  <w:tcW w:w="2201" w:type="pct"/>
                  <w:vAlign w:val="center"/>
                </w:tcPr>
                <w:p w14:paraId="72758877">
                  <w:pPr>
                    <w:jc w:val="center"/>
                    <w:rPr>
                      <w:rFonts w:hint="default" w:ascii="Times New Roman" w:hAnsi="Times New Roman" w:cs="Times New Roman"/>
                      <w:color w:val="auto"/>
                      <w:szCs w:val="21"/>
                      <w:highlight w:val="none"/>
                    </w:rPr>
                  </w:pPr>
                  <w:r>
                    <w:rPr>
                      <w:rFonts w:hint="eastAsia" w:cs="Times New Roman"/>
                      <w:color w:val="auto"/>
                      <w:szCs w:val="21"/>
                      <w:highlight w:val="none"/>
                      <w:lang w:eastAsia="zh-CN"/>
                    </w:rPr>
                    <w:t>要求</w:t>
                  </w:r>
                  <w:r>
                    <w:rPr>
                      <w:rFonts w:hint="default" w:ascii="Times New Roman" w:hAnsi="Times New Roman" w:cs="Times New Roman"/>
                      <w:color w:val="auto"/>
                      <w:szCs w:val="21"/>
                      <w:highlight w:val="none"/>
                    </w:rPr>
                    <w:t>在</w:t>
                  </w:r>
                  <w:r>
                    <w:rPr>
                      <w:rFonts w:hint="eastAsia" w:cs="Times New Roman"/>
                      <w:color w:val="auto"/>
                      <w:szCs w:val="21"/>
                      <w:highlight w:val="none"/>
                      <w:lang w:eastAsia="zh-CN"/>
                    </w:rPr>
                    <w:t>现有</w:t>
                  </w:r>
                  <w:r>
                    <w:rPr>
                      <w:rFonts w:hint="default" w:ascii="Times New Roman" w:hAnsi="Times New Roman" w:cs="Times New Roman"/>
                      <w:color w:val="auto"/>
                      <w:szCs w:val="16"/>
                      <w:highlight w:val="none"/>
                    </w:rPr>
                    <w:t>面层基础上铺设</w:t>
                  </w:r>
                  <w:r>
                    <w:rPr>
                      <w:rFonts w:hint="default" w:ascii="Times New Roman" w:hAnsi="Times New Roman" w:cs="Times New Roman"/>
                      <w:color w:val="auto"/>
                      <w:kern w:val="0"/>
                      <w:szCs w:val="21"/>
                      <w:highlight w:val="none"/>
                      <w:lang w:bidi="ar"/>
                    </w:rPr>
                    <w:t>至少2 mm厚高密度聚乙烯膜等人工防渗材料</w:t>
                  </w:r>
                  <w:r>
                    <w:rPr>
                      <w:rFonts w:hint="eastAsia" w:cs="Times New Roman"/>
                      <w:color w:val="auto"/>
                      <w:kern w:val="0"/>
                      <w:szCs w:val="21"/>
                      <w:highlight w:val="none"/>
                      <w:lang w:eastAsia="zh-CN" w:bidi="ar"/>
                    </w:rPr>
                    <w:t>，</w:t>
                  </w:r>
                  <w:r>
                    <w:rPr>
                      <w:rFonts w:hint="default" w:ascii="Times New Roman" w:hAnsi="Times New Roman" w:cs="Times New Roman"/>
                      <w:color w:val="auto"/>
                      <w:szCs w:val="21"/>
                      <w:highlight w:val="none"/>
                    </w:rPr>
                    <w:t>参照GB18598执行</w:t>
                  </w:r>
                </w:p>
              </w:tc>
            </w:tr>
            <w:tr w14:paraId="7B43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pct"/>
                  <w:vAlign w:val="center"/>
                </w:tcPr>
                <w:p w14:paraId="4EBC4B4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915" w:type="pct"/>
                  <w:vAlign w:val="center"/>
                </w:tcPr>
                <w:p w14:paraId="55A9E95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一般防渗区</w:t>
                  </w:r>
                </w:p>
              </w:tc>
              <w:tc>
                <w:tcPr>
                  <w:tcW w:w="1426" w:type="pct"/>
                  <w:vAlign w:val="center"/>
                </w:tcPr>
                <w:p w14:paraId="6C34417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其他区域</w:t>
                  </w:r>
                </w:p>
              </w:tc>
              <w:tc>
                <w:tcPr>
                  <w:tcW w:w="2201" w:type="pct"/>
                  <w:vAlign w:val="center"/>
                </w:tcPr>
                <w:p w14:paraId="4064002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等效黏土防渗层Mb≥1.5m，K≤1×10</w:t>
                  </w:r>
                  <w:r>
                    <w:rPr>
                      <w:rFonts w:hint="default" w:ascii="Times New Roman" w:hAnsi="Times New Roman" w:cs="Times New Roman"/>
                      <w:color w:val="auto"/>
                      <w:szCs w:val="21"/>
                      <w:highlight w:val="none"/>
                      <w:vertAlign w:val="superscript"/>
                    </w:rPr>
                    <w:t>-7</w:t>
                  </w:r>
                  <w:r>
                    <w:rPr>
                      <w:rFonts w:hint="default" w:ascii="Times New Roman" w:hAnsi="Times New Roman" w:cs="Times New Roman"/>
                      <w:color w:val="auto"/>
                      <w:szCs w:val="21"/>
                      <w:highlight w:val="none"/>
                    </w:rPr>
                    <w:t>cm/s；或参照GB16889执行</w:t>
                  </w:r>
                </w:p>
              </w:tc>
            </w:tr>
          </w:tbl>
          <w:p w14:paraId="2EEF77EE">
            <w:pPr>
              <w:pStyle w:val="277"/>
              <w:ind w:firstLine="48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综上所述，在严格落实分区防渗要求的前提下，项目运营期对土壤和地下水的影响较小。</w:t>
            </w:r>
          </w:p>
          <w:p w14:paraId="221C125C">
            <w:pPr>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六、环境风险评价</w:t>
            </w:r>
          </w:p>
          <w:p w14:paraId="63F6BB15">
            <w:pPr>
              <w:spacing w:line="360" w:lineRule="auto"/>
              <w:ind w:firstLine="240" w:firstLineChars="1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（1）危险物质及工艺系统危险性（P）分级</w:t>
            </w:r>
          </w:p>
          <w:p w14:paraId="0C8E0A9B">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根据《建设项目环境风险评价技术导则》（HJ 169-2018）附录B“重点关注的危险物质及临界量”和《危险化学品重大危险源辨识》（GB18218—2018），将项目所涉及和每种危险物质在厂界内最大存在总量，按式Q=q</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rPr>
              <w:t>+ q</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 xml:space="preserve"> +q</w:t>
            </w:r>
            <w:r>
              <w:rPr>
                <w:rFonts w:hint="default" w:ascii="Times New Roman" w:hAnsi="Times New Roman" w:cs="Times New Roman"/>
                <w:color w:val="auto"/>
                <w:sz w:val="24"/>
                <w:highlight w:val="none"/>
                <w:vertAlign w:val="subscript"/>
              </w:rPr>
              <w:t>3</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3</w:t>
            </w:r>
            <w:r>
              <w:rPr>
                <w:rFonts w:hint="default" w:ascii="Times New Roman" w:hAnsi="Times New Roman" w:cs="Times New Roman"/>
                <w:color w:val="auto"/>
                <w:sz w:val="24"/>
                <w:highlight w:val="none"/>
              </w:rPr>
              <w:t>+… +q</w:t>
            </w:r>
            <w:r>
              <w:rPr>
                <w:rFonts w:hint="default" w:ascii="Times New Roman" w:hAnsi="Times New Roman" w:cs="Times New Roman"/>
                <w:color w:val="auto"/>
                <w:sz w:val="24"/>
                <w:highlight w:val="none"/>
                <w:vertAlign w:val="subscript"/>
              </w:rPr>
              <w:t>n</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n</w:t>
            </w:r>
            <w:r>
              <w:rPr>
                <w:rFonts w:hint="default" w:ascii="Times New Roman" w:hAnsi="Times New Roman" w:cs="Times New Roman"/>
                <w:color w:val="auto"/>
                <w:sz w:val="24"/>
                <w:highlight w:val="none"/>
              </w:rPr>
              <w:t>计算后，其危险物质的总量与其临界量比值Q值为0。</w:t>
            </w:r>
          </w:p>
          <w:p w14:paraId="5B7A66B3">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式中：q</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3</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n</w:t>
            </w:r>
            <w:r>
              <w:rPr>
                <w:rFonts w:hint="default" w:ascii="Times New Roman" w:hAnsi="Times New Roman" w:cs="Times New Roman"/>
                <w:color w:val="auto"/>
                <w:sz w:val="24"/>
                <w:highlight w:val="none"/>
              </w:rPr>
              <w:t>――每种危险物质实际存在量，t；</w:t>
            </w:r>
          </w:p>
          <w:p w14:paraId="7F325E3B">
            <w:pPr>
              <w:spacing w:line="360" w:lineRule="auto"/>
              <w:ind w:firstLine="1262" w:firstLineChars="52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3</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n</w:t>
            </w:r>
            <w:r>
              <w:rPr>
                <w:rFonts w:hint="default" w:ascii="Times New Roman" w:hAnsi="Times New Roman" w:cs="Times New Roman"/>
                <w:color w:val="auto"/>
                <w:sz w:val="24"/>
                <w:highlight w:val="none"/>
              </w:rPr>
              <w:t>――对应危险物质的临界量。</w:t>
            </w:r>
          </w:p>
          <w:p w14:paraId="058C32D2">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根据导则，当Q&lt;1时，该项目环境风险潜势为Ⅰ。</w:t>
            </w:r>
          </w:p>
          <w:p w14:paraId="7B49CB3F">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当Q≥1时，将Q值划分为：（1）1≤Q＜10（2）10≤Q＜100（3）Q≥100。</w:t>
            </w:r>
          </w:p>
          <w:p w14:paraId="6B1B92B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根据《危险化学品重大危险源辨识》（GB18218-2018）及《建设项目环境风险评价技术导则》（HJ/T169-2018）分析，</w:t>
            </w:r>
            <w:r>
              <w:rPr>
                <w:rFonts w:hint="eastAsia" w:hAnsi="宋体" w:cs="宋体"/>
                <w:color w:val="auto"/>
                <w:sz w:val="24"/>
                <w:highlight w:val="none"/>
                <w:lang w:eastAsia="zh-CN"/>
              </w:rPr>
              <w:t>废活性炭、废机油、废机油桶、废含油抹布</w:t>
            </w:r>
            <w:r>
              <w:rPr>
                <w:rFonts w:hint="default" w:ascii="Times New Roman" w:hAnsi="Times New Roman" w:cs="Times New Roman"/>
                <w:color w:val="auto"/>
                <w:sz w:val="24"/>
                <w:highlight w:val="none"/>
              </w:rPr>
              <w:t>参考《建设项目环境风险评价技术导则》（HJ/T169-2018）附录B中表B.2中其他危险物质临界量推荐值中的健康危险急性毒性物质（类别2，类别3）的推荐临界量。</w:t>
            </w:r>
          </w:p>
          <w:p w14:paraId="115A4851">
            <w:pPr>
              <w:pStyle w:val="369"/>
              <w:spacing w:before="0" w:after="0"/>
              <w:ind w:right="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4"/>
                <w:szCs w:val="24"/>
                <w:highlight w:val="none"/>
              </w:rPr>
              <w:t>表4-</w:t>
            </w:r>
            <w:r>
              <w:rPr>
                <w:rFonts w:hint="eastAsia" w:cs="Times New Roman"/>
                <w:b/>
                <w:color w:val="auto"/>
                <w:sz w:val="24"/>
                <w:szCs w:val="24"/>
                <w:highlight w:val="none"/>
                <w:lang w:val="en-US" w:eastAsia="zh-CN"/>
              </w:rPr>
              <w:t>18</w:t>
            </w:r>
            <w:r>
              <w:rPr>
                <w:rFonts w:hint="default" w:ascii="Times New Roman" w:hAnsi="Times New Roman" w:cs="Times New Roman"/>
                <w:b/>
                <w:color w:val="auto"/>
                <w:sz w:val="24"/>
                <w:szCs w:val="24"/>
                <w:highlight w:val="none"/>
              </w:rPr>
              <w:t xml:space="preserve">  建设项目Q值确定表 单位：t</w:t>
            </w:r>
          </w:p>
          <w:tbl>
            <w:tblPr>
              <w:tblStyle w:val="3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5"/>
              <w:gridCol w:w="1632"/>
              <w:gridCol w:w="1645"/>
              <w:gridCol w:w="1489"/>
              <w:gridCol w:w="1556"/>
            </w:tblGrid>
            <w:tr w14:paraId="5936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44" w:type="pct"/>
                  <w:vAlign w:val="center"/>
                </w:tcPr>
                <w:p w14:paraId="199E9BE6">
                  <w:pPr>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危险物质名称</w:t>
                  </w:r>
                </w:p>
              </w:tc>
              <w:tc>
                <w:tcPr>
                  <w:tcW w:w="892" w:type="pct"/>
                  <w:vAlign w:val="center"/>
                </w:tcPr>
                <w:p w14:paraId="21124440">
                  <w:pPr>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储存位置</w:t>
                  </w:r>
                </w:p>
              </w:tc>
              <w:tc>
                <w:tcPr>
                  <w:tcW w:w="899" w:type="pct"/>
                  <w:vAlign w:val="center"/>
                </w:tcPr>
                <w:p w14:paraId="2DFB4A1F">
                  <w:pPr>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最大存在总量q</w:t>
                  </w:r>
                  <w:r>
                    <w:rPr>
                      <w:rFonts w:hint="default" w:ascii="Times New Roman" w:hAnsi="Times New Roman" w:cs="Times New Roman"/>
                      <w:b/>
                      <w:bCs/>
                      <w:color w:val="auto"/>
                      <w:szCs w:val="21"/>
                      <w:highlight w:val="none"/>
                      <w:vertAlign w:val="subscript"/>
                    </w:rPr>
                    <w:t>i</w:t>
                  </w:r>
                </w:p>
              </w:tc>
              <w:tc>
                <w:tcPr>
                  <w:tcW w:w="813" w:type="pct"/>
                  <w:vAlign w:val="center"/>
                </w:tcPr>
                <w:p w14:paraId="189BE56A">
                  <w:pPr>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临界量Q</w:t>
                  </w:r>
                  <w:r>
                    <w:rPr>
                      <w:rFonts w:hint="default" w:ascii="Times New Roman" w:hAnsi="Times New Roman" w:cs="Times New Roman"/>
                      <w:b/>
                      <w:bCs/>
                      <w:color w:val="auto"/>
                      <w:szCs w:val="21"/>
                      <w:highlight w:val="none"/>
                      <w:vertAlign w:val="subscript"/>
                    </w:rPr>
                    <w:t>i</w:t>
                  </w:r>
                </w:p>
              </w:tc>
              <w:tc>
                <w:tcPr>
                  <w:tcW w:w="850" w:type="pct"/>
                  <w:vAlign w:val="center"/>
                </w:tcPr>
                <w:p w14:paraId="7AA87927">
                  <w:pPr>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q</w:t>
                  </w:r>
                  <w:r>
                    <w:rPr>
                      <w:rFonts w:hint="default" w:ascii="Times New Roman" w:hAnsi="Times New Roman" w:cs="Times New Roman"/>
                      <w:b/>
                      <w:bCs/>
                      <w:color w:val="auto"/>
                      <w:szCs w:val="21"/>
                      <w:highlight w:val="none"/>
                      <w:vertAlign w:val="subscript"/>
                    </w:rPr>
                    <w:t>i</w:t>
                  </w:r>
                  <w:r>
                    <w:rPr>
                      <w:rFonts w:hint="default" w:ascii="Times New Roman" w:hAnsi="Times New Roman" w:cs="Times New Roman"/>
                      <w:b/>
                      <w:bCs/>
                      <w:color w:val="auto"/>
                      <w:szCs w:val="21"/>
                      <w:highlight w:val="none"/>
                    </w:rPr>
                    <w:t>/Q</w:t>
                  </w:r>
                  <w:r>
                    <w:rPr>
                      <w:rFonts w:hint="default" w:ascii="Times New Roman" w:hAnsi="Times New Roman" w:cs="Times New Roman"/>
                      <w:b/>
                      <w:bCs/>
                      <w:color w:val="auto"/>
                      <w:szCs w:val="21"/>
                      <w:highlight w:val="none"/>
                      <w:vertAlign w:val="subscript"/>
                    </w:rPr>
                    <w:t>i</w:t>
                  </w:r>
                </w:p>
              </w:tc>
            </w:tr>
            <w:tr w14:paraId="7AA3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4" w:type="pct"/>
                  <w:vAlign w:val="center"/>
                </w:tcPr>
                <w:p w14:paraId="7DAD766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w:t>
                  </w:r>
                  <w:r>
                    <w:rPr>
                      <w:rFonts w:hint="eastAsia" w:cs="Times New Roman"/>
                      <w:color w:val="auto"/>
                      <w:szCs w:val="21"/>
                      <w:highlight w:val="none"/>
                      <w:lang w:eastAsia="zh-CN"/>
                    </w:rPr>
                    <w:t>吸附</w:t>
                  </w:r>
                  <w:r>
                    <w:rPr>
                      <w:rFonts w:hint="default" w:ascii="Times New Roman" w:hAnsi="Times New Roman" w:cs="Times New Roman"/>
                      <w:color w:val="auto"/>
                      <w:szCs w:val="21"/>
                      <w:highlight w:val="none"/>
                    </w:rPr>
                    <w:t>活性炭</w:t>
                  </w:r>
                </w:p>
              </w:tc>
              <w:tc>
                <w:tcPr>
                  <w:tcW w:w="892" w:type="pct"/>
                  <w:vMerge w:val="restart"/>
                  <w:vAlign w:val="center"/>
                </w:tcPr>
                <w:p w14:paraId="653A94B5">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危废间</w:t>
                  </w:r>
                </w:p>
              </w:tc>
              <w:tc>
                <w:tcPr>
                  <w:tcW w:w="899" w:type="pct"/>
                  <w:vAlign w:val="center"/>
                </w:tcPr>
                <w:p w14:paraId="510BB2DF">
                  <w:pPr>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0.338</w:t>
                  </w:r>
                </w:p>
              </w:tc>
              <w:tc>
                <w:tcPr>
                  <w:tcW w:w="813" w:type="pct"/>
                  <w:vAlign w:val="center"/>
                </w:tcPr>
                <w:p w14:paraId="5C6050F5">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c>
                <w:tcPr>
                  <w:tcW w:w="850" w:type="pct"/>
                  <w:vAlign w:val="center"/>
                </w:tcPr>
                <w:p w14:paraId="52602714">
                  <w:pPr>
                    <w:widowControl/>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0.0</w:t>
                  </w:r>
                  <w:r>
                    <w:rPr>
                      <w:rFonts w:hint="eastAsia" w:cs="Times New Roman"/>
                      <w:color w:val="auto"/>
                      <w:szCs w:val="21"/>
                      <w:highlight w:val="none"/>
                      <w:lang w:val="en-US" w:eastAsia="zh-CN"/>
                    </w:rPr>
                    <w:t>0676</w:t>
                  </w:r>
                </w:p>
              </w:tc>
            </w:tr>
            <w:tr w14:paraId="1429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4" w:type="pct"/>
                  <w:vAlign w:val="center"/>
                </w:tcPr>
                <w:p w14:paraId="60EF0015">
                  <w:pPr>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废机油</w:t>
                  </w:r>
                </w:p>
              </w:tc>
              <w:tc>
                <w:tcPr>
                  <w:tcW w:w="892" w:type="pct"/>
                  <w:vMerge w:val="continue"/>
                  <w:vAlign w:val="center"/>
                </w:tcPr>
                <w:p w14:paraId="4AD60B8C">
                  <w:pPr>
                    <w:snapToGrid w:val="0"/>
                    <w:jc w:val="center"/>
                    <w:rPr>
                      <w:rFonts w:hint="default" w:ascii="Times New Roman" w:hAnsi="Times New Roman" w:cs="Times New Roman"/>
                      <w:color w:val="auto"/>
                      <w:szCs w:val="21"/>
                      <w:highlight w:val="none"/>
                    </w:rPr>
                  </w:pPr>
                </w:p>
              </w:tc>
              <w:tc>
                <w:tcPr>
                  <w:tcW w:w="899" w:type="pct"/>
                  <w:vAlign w:val="center"/>
                </w:tcPr>
                <w:p w14:paraId="6FDA5563">
                  <w:pPr>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0.1</w:t>
                  </w:r>
                </w:p>
              </w:tc>
              <w:tc>
                <w:tcPr>
                  <w:tcW w:w="813" w:type="pct"/>
                  <w:vAlign w:val="center"/>
                </w:tcPr>
                <w:p w14:paraId="4C7A51B9">
                  <w:pPr>
                    <w:widowControl/>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50</w:t>
                  </w:r>
                </w:p>
              </w:tc>
              <w:tc>
                <w:tcPr>
                  <w:tcW w:w="850" w:type="pct"/>
                  <w:vAlign w:val="center"/>
                </w:tcPr>
                <w:p w14:paraId="67F11E51">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0.002</w:t>
                  </w:r>
                </w:p>
              </w:tc>
            </w:tr>
            <w:tr w14:paraId="3087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4" w:type="pct"/>
                  <w:vAlign w:val="center"/>
                </w:tcPr>
                <w:p w14:paraId="79BE347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w:t>
                  </w:r>
                  <w:r>
                    <w:rPr>
                      <w:rFonts w:hint="eastAsia" w:cs="Times New Roman"/>
                      <w:color w:val="auto"/>
                      <w:szCs w:val="21"/>
                      <w:highlight w:val="none"/>
                      <w:lang w:eastAsia="zh-CN"/>
                    </w:rPr>
                    <w:t>机油桶</w:t>
                  </w:r>
                </w:p>
              </w:tc>
              <w:tc>
                <w:tcPr>
                  <w:tcW w:w="892" w:type="pct"/>
                  <w:vMerge w:val="continue"/>
                  <w:vAlign w:val="center"/>
                </w:tcPr>
                <w:p w14:paraId="7924A0CB">
                  <w:pPr>
                    <w:snapToGrid w:val="0"/>
                    <w:jc w:val="center"/>
                    <w:rPr>
                      <w:rFonts w:hint="default" w:ascii="Times New Roman" w:hAnsi="Times New Roman" w:cs="Times New Roman"/>
                      <w:color w:val="auto"/>
                      <w:szCs w:val="21"/>
                      <w:highlight w:val="none"/>
                    </w:rPr>
                  </w:pPr>
                </w:p>
              </w:tc>
              <w:tc>
                <w:tcPr>
                  <w:tcW w:w="899" w:type="pct"/>
                  <w:vAlign w:val="center"/>
                </w:tcPr>
                <w:p w14:paraId="517B07B4">
                  <w:pPr>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0.05</w:t>
                  </w:r>
                </w:p>
              </w:tc>
              <w:tc>
                <w:tcPr>
                  <w:tcW w:w="813" w:type="pct"/>
                  <w:vAlign w:val="center"/>
                </w:tcPr>
                <w:p w14:paraId="2498B3A3">
                  <w:pPr>
                    <w:widowControl/>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50</w:t>
                  </w:r>
                </w:p>
              </w:tc>
              <w:tc>
                <w:tcPr>
                  <w:tcW w:w="850" w:type="pct"/>
                  <w:vAlign w:val="center"/>
                </w:tcPr>
                <w:p w14:paraId="07028170">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0.002</w:t>
                  </w:r>
                </w:p>
              </w:tc>
            </w:tr>
            <w:tr w14:paraId="4030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4" w:type="pct"/>
                  <w:vAlign w:val="center"/>
                </w:tcPr>
                <w:p w14:paraId="08044E9C">
                  <w:pPr>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废含油抹布</w:t>
                  </w:r>
                </w:p>
              </w:tc>
              <w:tc>
                <w:tcPr>
                  <w:tcW w:w="892" w:type="pct"/>
                  <w:vMerge w:val="continue"/>
                  <w:vAlign w:val="center"/>
                </w:tcPr>
                <w:p w14:paraId="099DB2C1">
                  <w:pPr>
                    <w:snapToGrid w:val="0"/>
                    <w:jc w:val="center"/>
                    <w:rPr>
                      <w:rFonts w:hint="default" w:ascii="Times New Roman" w:hAnsi="Times New Roman" w:cs="Times New Roman"/>
                      <w:color w:val="auto"/>
                      <w:szCs w:val="21"/>
                      <w:highlight w:val="none"/>
                    </w:rPr>
                  </w:pPr>
                </w:p>
              </w:tc>
              <w:tc>
                <w:tcPr>
                  <w:tcW w:w="899" w:type="pct"/>
                  <w:vAlign w:val="center"/>
                </w:tcPr>
                <w:p w14:paraId="782E440A">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0</w:t>
                  </w:r>
                  <w:r>
                    <w:rPr>
                      <w:rFonts w:hint="default" w:ascii="Times New Roman" w:hAnsi="Times New Roman" w:cs="Times New Roman"/>
                      <w:color w:val="auto"/>
                      <w:szCs w:val="21"/>
                      <w:highlight w:val="none"/>
                    </w:rPr>
                    <w:t>5</w:t>
                  </w:r>
                </w:p>
              </w:tc>
              <w:tc>
                <w:tcPr>
                  <w:tcW w:w="813" w:type="pct"/>
                  <w:vAlign w:val="center"/>
                </w:tcPr>
                <w:p w14:paraId="3C255012">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c>
                <w:tcPr>
                  <w:tcW w:w="850" w:type="pct"/>
                  <w:vAlign w:val="center"/>
                </w:tcPr>
                <w:p w14:paraId="25DE27FD">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w:t>
                  </w:r>
                  <w:r>
                    <w:rPr>
                      <w:rFonts w:hint="eastAsia" w:cs="Times New Roman"/>
                      <w:color w:val="auto"/>
                      <w:szCs w:val="21"/>
                      <w:highlight w:val="none"/>
                      <w:lang w:val="en-US" w:eastAsia="zh-CN"/>
                    </w:rPr>
                    <w:t>0</w:t>
                  </w:r>
                  <w:r>
                    <w:rPr>
                      <w:rFonts w:hint="default" w:ascii="Times New Roman" w:hAnsi="Times New Roman" w:cs="Times New Roman"/>
                      <w:color w:val="auto"/>
                      <w:szCs w:val="21"/>
                      <w:highlight w:val="none"/>
                    </w:rPr>
                    <w:t>1</w:t>
                  </w:r>
                </w:p>
              </w:tc>
            </w:tr>
            <w:tr w14:paraId="64C4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pct"/>
                  <w:gridSpan w:val="4"/>
                  <w:vAlign w:val="center"/>
                </w:tcPr>
                <w:p w14:paraId="6B0D240A">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合计</w:t>
                  </w:r>
                </w:p>
              </w:tc>
              <w:tc>
                <w:tcPr>
                  <w:tcW w:w="850" w:type="pct"/>
                  <w:vAlign w:val="center"/>
                </w:tcPr>
                <w:p w14:paraId="69A04F3D">
                  <w:pPr>
                    <w:widowControl/>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01176</w:t>
                  </w:r>
                </w:p>
              </w:tc>
            </w:tr>
          </w:tbl>
          <w:p w14:paraId="306D2F87">
            <w:pPr>
              <w:spacing w:before="120" w:beforeLines="50"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根据计算，Q值为0.</w:t>
            </w:r>
            <w:r>
              <w:rPr>
                <w:rFonts w:hint="eastAsia" w:cs="Times New Roman"/>
                <w:color w:val="auto"/>
                <w:sz w:val="24"/>
                <w:highlight w:val="none"/>
                <w:lang w:val="en-US" w:eastAsia="zh-CN"/>
              </w:rPr>
              <w:t>01176</w:t>
            </w:r>
            <w:r>
              <w:rPr>
                <w:rFonts w:hint="default" w:ascii="Times New Roman" w:hAnsi="Times New Roman" w:cs="Times New Roman"/>
                <w:color w:val="auto"/>
                <w:sz w:val="24"/>
                <w:highlight w:val="none"/>
              </w:rPr>
              <w:t>&lt;1，则建设项目环境风险潜势划分为Ⅰ。</w:t>
            </w:r>
          </w:p>
          <w:p w14:paraId="371B23DE">
            <w:pPr>
              <w:spacing w:line="360" w:lineRule="auto"/>
              <w:ind w:firstLine="48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（2）评价工作等级与范围</w:t>
            </w:r>
          </w:p>
          <w:p w14:paraId="6452F13F">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根据《建设项目环境风险评价技术导则》（HJ169-2018），环境风险评价工作等级划分为一级、二级、三级。按表4-</w:t>
            </w:r>
            <w:r>
              <w:rPr>
                <w:rFonts w:hint="eastAsia" w:cs="Times New Roman"/>
                <w:color w:val="auto"/>
                <w:sz w:val="24"/>
                <w:highlight w:val="none"/>
                <w:lang w:val="en-US" w:eastAsia="zh-CN"/>
              </w:rPr>
              <w:t>19</w:t>
            </w:r>
            <w:r>
              <w:rPr>
                <w:rFonts w:hint="default" w:ascii="Times New Roman" w:hAnsi="Times New Roman" w:cs="Times New Roman"/>
                <w:color w:val="auto"/>
                <w:sz w:val="24"/>
                <w:highlight w:val="none"/>
              </w:rPr>
              <w:t>确定本建设项目评价工作等级为简单分析。评价内容主要环境风险调查、环境风险潜势判断、环境风险识别、环境风险事故情形分析、环境风险预测与评价，并提出环境风险管理目标，制定管理防范措施，编制突发环境事件应急预案。</w:t>
            </w:r>
          </w:p>
          <w:p w14:paraId="7E4CA386">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 w:val="24"/>
                <w:highlight w:val="none"/>
              </w:rPr>
              <w:t>表4-</w:t>
            </w:r>
            <w:r>
              <w:rPr>
                <w:rFonts w:hint="eastAsia" w:cs="Times New Roman"/>
                <w:b/>
                <w:bCs/>
                <w:color w:val="auto"/>
                <w:sz w:val="24"/>
                <w:highlight w:val="none"/>
                <w:lang w:val="en-US" w:eastAsia="zh-CN"/>
              </w:rPr>
              <w:t>19</w:t>
            </w:r>
            <w:r>
              <w:rPr>
                <w:rFonts w:hint="default" w:ascii="Times New Roman" w:hAnsi="Times New Roman" w:cs="Times New Roman"/>
                <w:b/>
                <w:bCs/>
                <w:color w:val="auto"/>
                <w:sz w:val="24"/>
                <w:highlight w:val="none"/>
              </w:rPr>
              <w:t xml:space="preserve"> 评价工作等级划分</w:t>
            </w:r>
          </w:p>
          <w:tbl>
            <w:tblPr>
              <w:tblStyle w:val="39"/>
              <w:tblW w:w="4998"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1729"/>
              <w:gridCol w:w="1693"/>
              <w:gridCol w:w="1667"/>
              <w:gridCol w:w="1643"/>
            </w:tblGrid>
            <w:tr w14:paraId="42C2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323" w:type="pct"/>
                  <w:vAlign w:val="center"/>
                </w:tcPr>
                <w:p w14:paraId="77E42ABD">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环境风险潜势</w:t>
                  </w:r>
                </w:p>
              </w:tc>
              <w:tc>
                <w:tcPr>
                  <w:tcW w:w="944" w:type="pct"/>
                  <w:vAlign w:val="center"/>
                </w:tcPr>
                <w:p w14:paraId="20C933F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fldChar w:fldCharType="begin"/>
                  </w:r>
                  <w:r>
                    <w:rPr>
                      <w:rFonts w:hint="default" w:ascii="Times New Roman" w:hAnsi="Times New Roman" w:cs="Times New Roman"/>
                      <w:color w:val="auto"/>
                      <w:szCs w:val="21"/>
                      <w:highlight w:val="none"/>
                    </w:rPr>
                    <w:instrText xml:space="preserve"> = 4 \* ROMAN \* MERGEFORMAT </w:instrText>
                  </w:r>
                  <w:r>
                    <w:rPr>
                      <w:rFonts w:hint="default" w:ascii="Times New Roman" w:hAnsi="Times New Roman" w:cs="Times New Roman"/>
                      <w:color w:val="auto"/>
                      <w:szCs w:val="21"/>
                      <w:highlight w:val="none"/>
                    </w:rPr>
                    <w:fldChar w:fldCharType="separate"/>
                  </w:r>
                  <w:r>
                    <w:rPr>
                      <w:rFonts w:hint="default" w:ascii="Times New Roman" w:hAnsi="Times New Roman" w:cs="Times New Roman"/>
                      <w:color w:val="auto"/>
                      <w:szCs w:val="21"/>
                      <w:highlight w:val="none"/>
                    </w:rPr>
                    <w:t>IV</w:t>
                  </w:r>
                  <w:r>
                    <w:rPr>
                      <w:rFonts w:hint="default" w:ascii="Times New Roman" w:hAnsi="Times New Roman" w:cs="Times New Roman"/>
                      <w:color w:val="auto"/>
                      <w:szCs w:val="21"/>
                      <w:highlight w:val="none"/>
                    </w:rPr>
                    <w:fldChar w:fldCharType="end"/>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rPr>
                    <w:fldChar w:fldCharType="begin"/>
                  </w:r>
                  <w:r>
                    <w:rPr>
                      <w:rFonts w:hint="default" w:ascii="Times New Roman" w:hAnsi="Times New Roman" w:cs="Times New Roman"/>
                      <w:color w:val="auto"/>
                      <w:szCs w:val="21"/>
                      <w:highlight w:val="none"/>
                    </w:rPr>
                    <w:instrText xml:space="preserve"> = 4 \* ROMAN \* MERGEFORMAT </w:instrText>
                  </w:r>
                  <w:r>
                    <w:rPr>
                      <w:rFonts w:hint="default" w:ascii="Times New Roman" w:hAnsi="Times New Roman" w:cs="Times New Roman"/>
                      <w:color w:val="auto"/>
                      <w:szCs w:val="21"/>
                      <w:highlight w:val="none"/>
                    </w:rPr>
                    <w:fldChar w:fldCharType="separate"/>
                  </w:r>
                  <w:r>
                    <w:rPr>
                      <w:rFonts w:hint="default" w:ascii="Times New Roman" w:hAnsi="Times New Roman" w:cs="Times New Roman"/>
                      <w:color w:val="auto"/>
                      <w:szCs w:val="21"/>
                      <w:highlight w:val="none"/>
                    </w:rPr>
                    <w:t>IV</w:t>
                  </w:r>
                  <w:r>
                    <w:rPr>
                      <w:rFonts w:hint="default" w:ascii="Times New Roman" w:hAnsi="Times New Roman" w:cs="Times New Roman"/>
                      <w:color w:val="auto"/>
                      <w:szCs w:val="21"/>
                      <w:highlight w:val="none"/>
                    </w:rPr>
                    <w:fldChar w:fldCharType="end"/>
                  </w:r>
                  <w:r>
                    <w:rPr>
                      <w:rFonts w:hint="default" w:ascii="Times New Roman" w:hAnsi="Times New Roman" w:cs="Times New Roman"/>
                      <w:color w:val="auto"/>
                      <w:szCs w:val="21"/>
                      <w:highlight w:val="none"/>
                    </w:rPr>
                    <w:t>+</w:t>
                  </w:r>
                </w:p>
              </w:tc>
              <w:tc>
                <w:tcPr>
                  <w:tcW w:w="924" w:type="pct"/>
                  <w:vAlign w:val="center"/>
                </w:tcPr>
                <w:p w14:paraId="04225E0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fldChar w:fldCharType="begin"/>
                  </w:r>
                  <w:r>
                    <w:rPr>
                      <w:rFonts w:hint="default" w:ascii="Times New Roman" w:hAnsi="Times New Roman" w:cs="Times New Roman"/>
                      <w:color w:val="auto"/>
                      <w:szCs w:val="21"/>
                      <w:highlight w:val="none"/>
                    </w:rPr>
                    <w:instrText xml:space="preserve"> = 3 \* ROMAN \* MERGEFORMAT </w:instrText>
                  </w:r>
                  <w:r>
                    <w:rPr>
                      <w:rFonts w:hint="default" w:ascii="Times New Roman" w:hAnsi="Times New Roman" w:cs="Times New Roman"/>
                      <w:color w:val="auto"/>
                      <w:szCs w:val="21"/>
                      <w:highlight w:val="none"/>
                    </w:rPr>
                    <w:fldChar w:fldCharType="separate"/>
                  </w:r>
                  <w:r>
                    <w:rPr>
                      <w:rFonts w:hint="default" w:ascii="Times New Roman" w:hAnsi="Times New Roman" w:cs="Times New Roman"/>
                      <w:color w:val="auto"/>
                      <w:szCs w:val="21"/>
                      <w:highlight w:val="none"/>
                    </w:rPr>
                    <w:t>III</w:t>
                  </w:r>
                  <w:r>
                    <w:rPr>
                      <w:rFonts w:hint="default" w:ascii="Times New Roman" w:hAnsi="Times New Roman" w:cs="Times New Roman"/>
                      <w:color w:val="auto"/>
                      <w:szCs w:val="21"/>
                      <w:highlight w:val="none"/>
                    </w:rPr>
                    <w:fldChar w:fldCharType="end"/>
                  </w:r>
                </w:p>
              </w:tc>
              <w:tc>
                <w:tcPr>
                  <w:tcW w:w="910" w:type="pct"/>
                  <w:vAlign w:val="center"/>
                </w:tcPr>
                <w:p w14:paraId="764FE4E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fldChar w:fldCharType="begin"/>
                  </w:r>
                  <w:r>
                    <w:rPr>
                      <w:rFonts w:hint="default" w:ascii="Times New Roman" w:hAnsi="Times New Roman" w:cs="Times New Roman"/>
                      <w:color w:val="auto"/>
                      <w:szCs w:val="21"/>
                      <w:highlight w:val="none"/>
                    </w:rPr>
                    <w:instrText xml:space="preserve"> = 3 \* ROMAN \* MERGEFORMAT </w:instrText>
                  </w:r>
                  <w:r>
                    <w:rPr>
                      <w:rFonts w:hint="default" w:ascii="Times New Roman" w:hAnsi="Times New Roman" w:cs="Times New Roman"/>
                      <w:color w:val="auto"/>
                      <w:szCs w:val="21"/>
                      <w:highlight w:val="none"/>
                    </w:rPr>
                    <w:fldChar w:fldCharType="separate"/>
                  </w:r>
                  <w:r>
                    <w:rPr>
                      <w:rFonts w:hint="default" w:ascii="Times New Roman" w:hAnsi="Times New Roman" w:cs="Times New Roman"/>
                      <w:color w:val="auto"/>
                      <w:szCs w:val="21"/>
                      <w:highlight w:val="none"/>
                    </w:rPr>
                    <w:t>III</w:t>
                  </w:r>
                  <w:r>
                    <w:rPr>
                      <w:rFonts w:hint="default" w:ascii="Times New Roman" w:hAnsi="Times New Roman" w:cs="Times New Roman"/>
                      <w:color w:val="auto"/>
                      <w:szCs w:val="21"/>
                      <w:highlight w:val="none"/>
                    </w:rPr>
                    <w:fldChar w:fldCharType="end"/>
                  </w:r>
                </w:p>
              </w:tc>
              <w:tc>
                <w:tcPr>
                  <w:tcW w:w="897" w:type="pct"/>
                  <w:vAlign w:val="center"/>
                </w:tcPr>
                <w:p w14:paraId="2F3B743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fldChar w:fldCharType="begin"/>
                  </w:r>
                  <w:r>
                    <w:rPr>
                      <w:rFonts w:hint="default" w:ascii="Times New Roman" w:hAnsi="Times New Roman" w:cs="Times New Roman"/>
                      <w:color w:val="auto"/>
                      <w:szCs w:val="21"/>
                      <w:highlight w:val="none"/>
                    </w:rPr>
                    <w:instrText xml:space="preserve"> = 1 \* ROMAN \* MERGEFORMAT </w:instrText>
                  </w:r>
                  <w:r>
                    <w:rPr>
                      <w:rFonts w:hint="default" w:ascii="Times New Roman" w:hAnsi="Times New Roman" w:cs="Times New Roman"/>
                      <w:color w:val="auto"/>
                      <w:szCs w:val="21"/>
                      <w:highlight w:val="none"/>
                    </w:rPr>
                    <w:fldChar w:fldCharType="separate"/>
                  </w:r>
                  <w:r>
                    <w:rPr>
                      <w:rFonts w:hint="default" w:ascii="Times New Roman" w:hAnsi="Times New Roman" w:cs="Times New Roman"/>
                      <w:color w:val="auto"/>
                      <w:szCs w:val="21"/>
                      <w:highlight w:val="none"/>
                    </w:rPr>
                    <w:t>I</w:t>
                  </w:r>
                  <w:r>
                    <w:rPr>
                      <w:rFonts w:hint="default" w:ascii="Times New Roman" w:hAnsi="Times New Roman" w:cs="Times New Roman"/>
                      <w:color w:val="auto"/>
                      <w:szCs w:val="21"/>
                      <w:highlight w:val="none"/>
                    </w:rPr>
                    <w:fldChar w:fldCharType="end"/>
                  </w:r>
                </w:p>
              </w:tc>
            </w:tr>
            <w:tr w14:paraId="14F3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23" w:type="pct"/>
                  <w:shd w:val="clear" w:color="auto" w:fill="auto"/>
                  <w:vAlign w:val="center"/>
                </w:tcPr>
                <w:p w14:paraId="18BC5EBA">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评价工作等级</w:t>
                  </w:r>
                </w:p>
              </w:tc>
              <w:tc>
                <w:tcPr>
                  <w:tcW w:w="944" w:type="pct"/>
                  <w:shd w:val="clear" w:color="auto" w:fill="auto"/>
                  <w:vAlign w:val="center"/>
                </w:tcPr>
                <w:p w14:paraId="3D3DA4C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w:t>
                  </w:r>
                </w:p>
              </w:tc>
              <w:tc>
                <w:tcPr>
                  <w:tcW w:w="924" w:type="pct"/>
                  <w:shd w:val="clear" w:color="auto" w:fill="auto"/>
                  <w:vAlign w:val="center"/>
                </w:tcPr>
                <w:p w14:paraId="2A9FAE9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w:t>
                  </w:r>
                </w:p>
              </w:tc>
              <w:tc>
                <w:tcPr>
                  <w:tcW w:w="910" w:type="pct"/>
                  <w:shd w:val="clear" w:color="auto" w:fill="auto"/>
                  <w:vAlign w:val="center"/>
                </w:tcPr>
                <w:p w14:paraId="738A8FD2">
                  <w:pPr>
                    <w:jc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三</w:t>
                  </w:r>
                </w:p>
              </w:tc>
              <w:tc>
                <w:tcPr>
                  <w:tcW w:w="897" w:type="pct"/>
                  <w:shd w:val="clear" w:color="auto" w:fill="7F7F7F"/>
                  <w:vAlign w:val="center"/>
                </w:tcPr>
                <w:p w14:paraId="039C9C1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简单分析</w:t>
                  </w:r>
                </w:p>
              </w:tc>
            </w:tr>
          </w:tbl>
          <w:p w14:paraId="53CC1930">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本项目的主要环境风险物质为</w:t>
            </w:r>
            <w:r>
              <w:rPr>
                <w:rFonts w:hint="eastAsia" w:cs="Times New Roman"/>
                <w:color w:val="auto"/>
                <w:sz w:val="24"/>
                <w:highlight w:val="none"/>
                <w:lang w:eastAsia="zh-CN"/>
              </w:rPr>
              <w:t>废吸附活性炭、废机油、废机油桶和废含油抹布</w:t>
            </w:r>
            <w:r>
              <w:rPr>
                <w:rFonts w:hint="default" w:ascii="Times New Roman" w:hAnsi="Times New Roman" w:cs="Times New Roman"/>
                <w:color w:val="auto"/>
                <w:sz w:val="24"/>
                <w:highlight w:val="none"/>
              </w:rPr>
              <w:t>，主要环境风险为</w:t>
            </w:r>
            <w:r>
              <w:rPr>
                <w:rFonts w:hint="eastAsia" w:cs="Times New Roman"/>
                <w:color w:val="auto"/>
                <w:sz w:val="24"/>
                <w:highlight w:val="none"/>
                <w:lang w:eastAsia="zh-CN"/>
              </w:rPr>
              <w:t>危废</w:t>
            </w:r>
            <w:r>
              <w:rPr>
                <w:rFonts w:hint="default" w:ascii="Times New Roman" w:hAnsi="Times New Roman" w:cs="Times New Roman"/>
                <w:color w:val="auto"/>
                <w:sz w:val="24"/>
                <w:highlight w:val="none"/>
              </w:rPr>
              <w:t>泄漏和存储火灾。</w:t>
            </w:r>
          </w:p>
          <w:p w14:paraId="64B0F6A2">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（1）分布情况及可能影响途径</w:t>
            </w:r>
          </w:p>
          <w:p w14:paraId="560D1E85">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本项目主要的环境风险物质为</w:t>
            </w:r>
            <w:r>
              <w:rPr>
                <w:rFonts w:hint="eastAsia" w:cs="Times New Roman"/>
                <w:color w:val="auto"/>
                <w:sz w:val="24"/>
                <w:highlight w:val="none"/>
                <w:lang w:eastAsia="zh-CN"/>
              </w:rPr>
              <w:t>废吸附活性炭、废机油、废机油桶和废含油抹布</w:t>
            </w:r>
            <w:r>
              <w:rPr>
                <w:rFonts w:hint="default" w:ascii="Times New Roman" w:hAnsi="Times New Roman" w:cs="Times New Roman"/>
                <w:color w:val="auto"/>
                <w:sz w:val="24"/>
                <w:highlight w:val="none"/>
              </w:rPr>
              <w:t>，均贮存</w:t>
            </w:r>
            <w:r>
              <w:rPr>
                <w:rFonts w:hint="eastAsia" w:cs="Times New Roman"/>
                <w:color w:val="auto"/>
                <w:sz w:val="24"/>
                <w:highlight w:val="none"/>
                <w:lang w:eastAsia="zh-CN"/>
              </w:rPr>
              <w:t>危废间</w:t>
            </w:r>
            <w:r>
              <w:rPr>
                <w:rFonts w:hint="default" w:ascii="Times New Roman" w:hAnsi="Times New Roman" w:cs="Times New Roman"/>
                <w:color w:val="auto"/>
                <w:sz w:val="24"/>
                <w:highlight w:val="none"/>
              </w:rPr>
              <w:t>。</w:t>
            </w:r>
          </w:p>
          <w:p w14:paraId="35281A44">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在厂区贮存的过程中，若发生泄漏从而影响土壤及地下水，在储存过程中发生火灾，产生的污染物影响大气环境。</w:t>
            </w:r>
          </w:p>
          <w:p w14:paraId="6F6B49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（2）风险防范措施</w:t>
            </w:r>
          </w:p>
          <w:p w14:paraId="060D4D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①泄漏应急处理</w:t>
            </w:r>
          </w:p>
          <w:p w14:paraId="450657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eastAsia" w:cs="Times New Roman"/>
                <w:color w:val="auto"/>
                <w:sz w:val="24"/>
                <w:highlight w:val="none"/>
                <w:lang w:eastAsia="zh-CN"/>
              </w:rPr>
              <w:t>废机油、废机油桶</w:t>
            </w:r>
            <w:r>
              <w:rPr>
                <w:rFonts w:hint="default"/>
                <w:color w:val="auto"/>
                <w:sz w:val="24"/>
                <w:szCs w:val="32"/>
                <w:highlight w:val="none"/>
              </w:rPr>
              <w:t>泄漏是本项目环境风险的主要事故源，预防泄漏的主要措施为：</w:t>
            </w:r>
          </w:p>
          <w:p w14:paraId="17AFF1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a严格按照相关设计规范和要求落实防护设施，制定安全操作规章制度，加强安全意识教育，加强监督管理，消除事故隐患。</w:t>
            </w:r>
          </w:p>
          <w:p w14:paraId="61F52E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b尽量减少环境风险物质的储存量，加强流通，以降低事故发生的强度，减少事故排放源强。</w:t>
            </w:r>
          </w:p>
          <w:p w14:paraId="2F194E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c必须通过消防、安全验收，配备专业技术人员负责管理，同时配备必要的个人防护用品。物质分类存放，禁忌混合存放。易燃物与毒害物应分隔储存，危废桶装暂存并设置托盘。</w:t>
            </w:r>
          </w:p>
          <w:p w14:paraId="48F990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d加强作业时巡视检查。建立系统规范的评估、审批、作业、监护、救援。</w:t>
            </w:r>
          </w:p>
          <w:p w14:paraId="67499F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e操作风险防范措施：</w:t>
            </w:r>
          </w:p>
          <w:p w14:paraId="0E1989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为防范环境风险事故的发生以及减缓环境风险事故造成的环境影响，建立企业管理制度和操作规程是最基本的防范措施。工作人员必须严格执行各自的具体工艺的操作规程及安全规程，并通过定期培训和宣传，掌握应急措施以及正确的处置方法。</w:t>
            </w:r>
          </w:p>
          <w:p w14:paraId="338BF1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f加强环境风险物质的包装桶/盒的收集储存系统管理。</w:t>
            </w:r>
          </w:p>
          <w:p w14:paraId="3495F2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加强员工的环保安全意识，确保危险废物安全集中收集，严禁出现将危险废物混入生活垃圾或随意丢弃现象发生。确保危险废物集中存放于专用的危废间，并交由有资质的废物处置单位集中收运并安全处置。</w:t>
            </w:r>
          </w:p>
          <w:p w14:paraId="09D9A6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②火灾</w:t>
            </w:r>
          </w:p>
          <w:p w14:paraId="4EA7FC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本项目储存的</w:t>
            </w:r>
            <w:r>
              <w:rPr>
                <w:rFonts w:hint="eastAsia"/>
                <w:color w:val="auto"/>
                <w:sz w:val="24"/>
                <w:szCs w:val="32"/>
                <w:highlight w:val="none"/>
                <w:lang w:eastAsia="zh-CN"/>
              </w:rPr>
              <w:t>机油</w:t>
            </w:r>
            <w:r>
              <w:rPr>
                <w:rFonts w:hint="default"/>
                <w:color w:val="auto"/>
                <w:sz w:val="24"/>
                <w:szCs w:val="32"/>
                <w:highlight w:val="none"/>
              </w:rPr>
              <w:t>为可燃化学物质。在储存及使用过程中，若操作人员不遵守安全操作规程，易发生火灾。在发生火灾过程中，事故排放的废气主要有一氧化碳和其他有毒气体。这些气体在短时间内会对周围大气环境产生污染，使环境空气质量超标，甚至导致周围人员中毒。</w:t>
            </w:r>
          </w:p>
          <w:p w14:paraId="12FFCC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32"/>
                <w:highlight w:val="none"/>
              </w:rPr>
            </w:pPr>
            <w:r>
              <w:rPr>
                <w:rFonts w:hint="default"/>
                <w:color w:val="auto"/>
                <w:sz w:val="24"/>
                <w:szCs w:val="32"/>
                <w:highlight w:val="none"/>
              </w:rPr>
              <w:t>对燃烧事故，应迅速切断着火源，关闭电源，做好防护措施。疏散泄漏污染区人员至安全区，禁止无关人员进入污染区，建议应急处理人员带好面罩、穿化学防护服。合理通风，不要直接接触火源，利用干粉灭火器对火源进行灭火，干粉灭火器灭完火后，立即开窗通风，利用真空吸尘器吸尘（除去真空吸尘器的头，只留下管道），用管子把焦点集中在各个部位，打开适当的风口去吸。吸尘器用完后，用抹布和拖把进行擦拭。然后收集运至废物处理所处置。</w:t>
            </w:r>
          </w:p>
          <w:p w14:paraId="23CE0D72">
            <w:pPr>
              <w:pStyle w:val="370"/>
              <w:spacing w:line="360" w:lineRule="auto"/>
              <w:rPr>
                <w:rFonts w:hint="default" w:ascii="Times New Roman" w:hAnsi="Times New Roman" w:cs="Times New Roman"/>
                <w:bCs/>
                <w:color w:val="auto"/>
                <w:sz w:val="24"/>
                <w:szCs w:val="32"/>
                <w:highlight w:val="none"/>
              </w:rPr>
            </w:pPr>
            <w:r>
              <w:rPr>
                <w:rFonts w:hint="default" w:ascii="Times New Roman" w:hAnsi="Times New Roman" w:cs="Times New Roman"/>
                <w:bCs/>
                <w:color w:val="auto"/>
                <w:sz w:val="24"/>
                <w:szCs w:val="32"/>
                <w:highlight w:val="none"/>
              </w:rPr>
              <w:t>③环保设施的环境风险防范措施</w:t>
            </w:r>
          </w:p>
          <w:p w14:paraId="3F8EF28C">
            <w:pPr>
              <w:pStyle w:val="370"/>
              <w:spacing w:line="360" w:lineRule="auto"/>
              <w:rPr>
                <w:rFonts w:hint="default" w:ascii="Times New Roman" w:hAnsi="Times New Roman" w:cs="Times New Roman"/>
                <w:bCs/>
                <w:color w:val="auto"/>
                <w:sz w:val="24"/>
                <w:szCs w:val="32"/>
                <w:highlight w:val="none"/>
              </w:rPr>
            </w:pPr>
            <w:r>
              <w:rPr>
                <w:rFonts w:hint="default" w:ascii="Times New Roman" w:hAnsi="Times New Roman" w:cs="Times New Roman"/>
                <w:bCs/>
                <w:color w:val="auto"/>
                <w:sz w:val="24"/>
                <w:szCs w:val="32"/>
                <w:highlight w:val="none"/>
              </w:rPr>
              <w:t>a对废气处理系统进行定期的监测和检修，如发生腐蚀、设备运行不稳定的情况，需对设备进行更换和修理，确保废气处理装置的正常运行。</w:t>
            </w:r>
          </w:p>
          <w:p w14:paraId="303B9B8E">
            <w:pPr>
              <w:pStyle w:val="370"/>
              <w:spacing w:line="360" w:lineRule="auto"/>
              <w:ind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b对废气处理设施等制定相应的维护和检修操作规程，定期组织员工培训学习，加强日常值守和监控，一旦发现异常及时检修。</w:t>
            </w:r>
          </w:p>
          <w:p w14:paraId="05F4896D">
            <w:pPr>
              <w:pStyle w:val="370"/>
              <w:spacing w:line="360" w:lineRule="auto"/>
              <w:ind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（3）应急措施</w:t>
            </w:r>
          </w:p>
          <w:p w14:paraId="56654F9C">
            <w:pPr>
              <w:pStyle w:val="370"/>
              <w:spacing w:line="360" w:lineRule="auto"/>
              <w:ind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事故发生的可能性总是存在的，为减少事故发生后造成的损失，尤其是减少对环境造成严重的污染，建设单位除一方面要落实已制定的各种安全管理制度以及上述所列各项风险减缓措施，另一方面，建设单位还应对发生各类风险事故后采取必要的事故应急措施，建议建设单位对以下几方面予以着重考虑：</w:t>
            </w:r>
          </w:p>
          <w:p w14:paraId="03AEE4CA">
            <w:pPr>
              <w:pStyle w:val="370"/>
              <w:spacing w:line="360" w:lineRule="auto"/>
              <w:ind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①制定全面、周密的风险救援计划，以应付可能发生的各种事故，保证发生事故后能够做到有章可循。</w:t>
            </w:r>
          </w:p>
          <w:p w14:paraId="51DC519A">
            <w:pPr>
              <w:pStyle w:val="370"/>
              <w:spacing w:line="360" w:lineRule="auto"/>
              <w:rPr>
                <w:rFonts w:hint="default" w:ascii="Times New Roman" w:hAnsi="Times New Roman" w:cs="Times New Roman"/>
                <w:b/>
                <w:bCs/>
                <w:color w:val="auto"/>
                <w:sz w:val="24"/>
                <w:highlight w:val="none"/>
              </w:rPr>
            </w:pPr>
            <w:r>
              <w:rPr>
                <w:rFonts w:hint="default" w:ascii="Times New Roman" w:hAnsi="Times New Roman" w:cs="Times New Roman"/>
                <w:color w:val="auto"/>
                <w:sz w:val="24"/>
                <w:szCs w:val="32"/>
                <w:highlight w:val="none"/>
              </w:rPr>
              <w:t>②制订厂区应急预案，按照应急预警相关要求，向生态环境管理部门备案。</w:t>
            </w:r>
          </w:p>
          <w:p w14:paraId="2F2E90C6">
            <w:pPr>
              <w:spacing w:line="360" w:lineRule="auto"/>
              <w:ind w:firstLine="482" w:firstLineChars="200"/>
              <w:rPr>
                <w:rFonts w:hint="default" w:ascii="Times New Roman" w:hAnsi="Times New Roman" w:cs="Times New Roman"/>
                <w:color w:val="auto"/>
                <w:kern w:val="0"/>
                <w:sz w:val="24"/>
                <w:highlight w:val="none"/>
              </w:rPr>
            </w:pPr>
            <w:r>
              <w:rPr>
                <w:rFonts w:hint="default" w:ascii="Times New Roman" w:hAnsi="Times New Roman" w:cs="Times New Roman"/>
                <w:b/>
                <w:bCs/>
                <w:color w:val="auto"/>
                <w:sz w:val="24"/>
                <w:highlight w:val="none"/>
              </w:rPr>
              <w:t>七、建设项目环保投资一览表</w:t>
            </w:r>
          </w:p>
          <w:p w14:paraId="3F36F414">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本项目总投资</w:t>
            </w:r>
            <w:r>
              <w:rPr>
                <w:rFonts w:hint="eastAsia" w:cs="Times New Roman"/>
                <w:color w:val="auto"/>
                <w:sz w:val="24"/>
                <w:highlight w:val="none"/>
                <w:lang w:val="en-US" w:eastAsia="zh-CN"/>
              </w:rPr>
              <w:t>26</w:t>
            </w:r>
            <w:r>
              <w:rPr>
                <w:rFonts w:hint="default" w:ascii="Times New Roman" w:hAnsi="Times New Roman" w:cs="Times New Roman"/>
                <w:color w:val="auto"/>
                <w:sz w:val="24"/>
                <w:highlight w:val="none"/>
              </w:rPr>
              <w:t>0万元，环保投资为</w:t>
            </w:r>
            <w:r>
              <w:rPr>
                <w:rFonts w:hint="eastAsia" w:cs="Times New Roman"/>
                <w:color w:val="auto"/>
                <w:sz w:val="24"/>
                <w:highlight w:val="none"/>
                <w:lang w:val="en-US" w:eastAsia="zh-CN"/>
              </w:rPr>
              <w:t>16</w:t>
            </w:r>
            <w:r>
              <w:rPr>
                <w:rFonts w:hint="default" w:ascii="Times New Roman" w:hAnsi="Times New Roman" w:cs="Times New Roman"/>
                <w:color w:val="auto"/>
                <w:sz w:val="24"/>
                <w:highlight w:val="none"/>
              </w:rPr>
              <w:t>万元，占项目总投资的</w:t>
            </w:r>
            <w:r>
              <w:rPr>
                <w:rFonts w:hint="eastAsia" w:cs="Times New Roman"/>
                <w:color w:val="auto"/>
                <w:sz w:val="24"/>
                <w:highlight w:val="none"/>
                <w:lang w:val="en-US" w:eastAsia="zh-CN"/>
              </w:rPr>
              <w:t>6.15</w:t>
            </w:r>
            <w:r>
              <w:rPr>
                <w:rFonts w:hint="default" w:ascii="Times New Roman" w:hAnsi="Times New Roman" w:cs="Times New Roman"/>
                <w:color w:val="auto"/>
                <w:sz w:val="24"/>
                <w:highlight w:val="none"/>
              </w:rPr>
              <w:t>%，环保投资估算详见表4-2</w:t>
            </w:r>
            <w:r>
              <w:rPr>
                <w:rFonts w:hint="eastAsia" w:cs="Times New Roman"/>
                <w:color w:val="auto"/>
                <w:sz w:val="24"/>
                <w:highlight w:val="none"/>
                <w:lang w:val="en-US" w:eastAsia="zh-CN"/>
              </w:rPr>
              <w:t>0</w:t>
            </w:r>
            <w:r>
              <w:rPr>
                <w:rFonts w:hint="default" w:ascii="Times New Roman" w:hAnsi="Times New Roman" w:cs="Times New Roman"/>
                <w:color w:val="auto"/>
                <w:sz w:val="24"/>
                <w:highlight w:val="none"/>
              </w:rPr>
              <w:t>。</w:t>
            </w:r>
          </w:p>
          <w:p w14:paraId="57C86F3A">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 w:val="24"/>
                <w:highlight w:val="none"/>
              </w:rPr>
              <w:t>表4-2</w:t>
            </w:r>
            <w:r>
              <w:rPr>
                <w:rFonts w:hint="eastAsia" w:cs="Times New Roman"/>
                <w:b/>
                <w:color w:val="auto"/>
                <w:sz w:val="24"/>
                <w:highlight w:val="none"/>
                <w:lang w:val="en-US" w:eastAsia="zh-CN"/>
              </w:rPr>
              <w:t>0</w:t>
            </w:r>
            <w:r>
              <w:rPr>
                <w:rFonts w:hint="default" w:ascii="Times New Roman" w:hAnsi="Times New Roman" w:cs="Times New Roman"/>
                <w:b/>
                <w:color w:val="auto"/>
                <w:sz w:val="24"/>
                <w:highlight w:val="none"/>
              </w:rPr>
              <w:t xml:space="preserve"> 环保投资一览表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1152"/>
              <w:gridCol w:w="6485"/>
              <w:gridCol w:w="1068"/>
            </w:tblGrid>
            <w:tr w14:paraId="5467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5" w:type="pct"/>
                  <w:gridSpan w:val="2"/>
                  <w:vAlign w:val="center"/>
                </w:tcPr>
                <w:p w14:paraId="69DAD8DA">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类别</w:t>
                  </w:r>
                </w:p>
              </w:tc>
              <w:tc>
                <w:tcPr>
                  <w:tcW w:w="3540" w:type="pct"/>
                  <w:vAlign w:val="center"/>
                </w:tcPr>
                <w:p w14:paraId="24B429C9">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主要环保措施</w:t>
                  </w:r>
                </w:p>
              </w:tc>
              <w:tc>
                <w:tcPr>
                  <w:tcW w:w="583" w:type="pct"/>
                  <w:vAlign w:val="center"/>
                </w:tcPr>
                <w:p w14:paraId="1DB1C6FC">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投资估算(万元)</w:t>
                  </w:r>
                </w:p>
              </w:tc>
            </w:tr>
            <w:tr w14:paraId="65BD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46" w:type="pct"/>
                  <w:vMerge w:val="restart"/>
                  <w:vAlign w:val="center"/>
                </w:tcPr>
                <w:p w14:paraId="5572CFD3">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营</w:t>
                  </w:r>
                </w:p>
                <w:p w14:paraId="543A89D7">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运</w:t>
                  </w:r>
                </w:p>
                <w:p w14:paraId="6B62987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期</w:t>
                  </w:r>
                </w:p>
              </w:tc>
              <w:tc>
                <w:tcPr>
                  <w:tcW w:w="629" w:type="pct"/>
                  <w:vAlign w:val="center"/>
                </w:tcPr>
                <w:p w14:paraId="62D08BAD">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废水治理</w:t>
                  </w:r>
                </w:p>
              </w:tc>
              <w:tc>
                <w:tcPr>
                  <w:tcW w:w="3540" w:type="pct"/>
                  <w:vAlign w:val="center"/>
                </w:tcPr>
                <w:p w14:paraId="44310FF3">
                  <w:pPr>
                    <w:adjustRightInd w:val="0"/>
                    <w:snapToGrid w:val="0"/>
                    <w:jc w:val="center"/>
                    <w:rPr>
                      <w:rFonts w:hint="eastAsia" w:ascii="Times New Roman" w:hAnsi="Times New Roman" w:eastAsia="宋体" w:cs="Times New Roman"/>
                      <w:color w:val="auto"/>
                      <w:szCs w:val="21"/>
                      <w:highlight w:val="none"/>
                      <w:lang w:eastAsia="zh-CN"/>
                    </w:rPr>
                  </w:pPr>
                  <w:r>
                    <w:rPr>
                      <w:rFonts w:hint="eastAsia"/>
                      <w:color w:val="auto"/>
                      <w:sz w:val="21"/>
                      <w:szCs w:val="21"/>
                      <w:highlight w:val="none"/>
                      <w:lang w:val="en-US" w:eastAsia="zh-CN"/>
                    </w:rPr>
                    <w:t>实验室质检废水、</w:t>
                  </w:r>
                  <w:r>
                    <w:rPr>
                      <w:rFonts w:hint="eastAsia" w:cs="Times New Roman"/>
                      <w:color w:val="auto"/>
                      <w:szCs w:val="21"/>
                      <w:highlight w:val="none"/>
                      <w:lang w:eastAsia="zh-CN"/>
                    </w:rPr>
                    <w:t>瓶</w:t>
                  </w:r>
                  <w:r>
                    <w:rPr>
                      <w:rFonts w:hint="eastAsia" w:cs="Times New Roman"/>
                      <w:color w:val="auto"/>
                      <w:szCs w:val="21"/>
                      <w:highlight w:val="none"/>
                      <w:lang w:val="en-US" w:eastAsia="zh-CN"/>
                    </w:rPr>
                    <w:t>/桶/盖清洗</w:t>
                  </w:r>
                  <w:r>
                    <w:rPr>
                      <w:rFonts w:hint="eastAsia"/>
                      <w:color w:val="auto"/>
                      <w:sz w:val="21"/>
                      <w:szCs w:val="21"/>
                      <w:highlight w:val="none"/>
                      <w:lang w:val="en-US" w:eastAsia="zh-CN"/>
                    </w:rPr>
                    <w:t>废水</w:t>
                  </w:r>
                  <w:r>
                    <w:rPr>
                      <w:rFonts w:hint="eastAsia" w:cs="Times New Roman"/>
                      <w:color w:val="auto"/>
                      <w:szCs w:val="21"/>
                      <w:highlight w:val="none"/>
                      <w:lang w:val="en-US" w:eastAsia="zh-CN"/>
                    </w:rPr>
                    <w:t>、</w:t>
                  </w:r>
                  <w:r>
                    <w:rPr>
                      <w:rFonts w:hint="eastAsia" w:cs="Times New Roman"/>
                      <w:color w:val="auto"/>
                      <w:szCs w:val="21"/>
                      <w:highlight w:val="none"/>
                      <w:lang w:eastAsia="zh-CN"/>
                    </w:rPr>
                    <w:t>反冲洗</w:t>
                  </w:r>
                  <w:r>
                    <w:rPr>
                      <w:rFonts w:hint="eastAsia"/>
                      <w:color w:val="auto"/>
                      <w:sz w:val="21"/>
                      <w:szCs w:val="21"/>
                      <w:highlight w:val="none"/>
                      <w:lang w:val="en-US" w:eastAsia="zh-CN"/>
                    </w:rPr>
                    <w:t>废水、纯净水制备浓水</w:t>
                  </w:r>
                  <w:r>
                    <w:rPr>
                      <w:rFonts w:hint="eastAsia" w:cs="Times New Roman"/>
                      <w:color w:val="auto"/>
                      <w:szCs w:val="21"/>
                      <w:highlight w:val="none"/>
                      <w:lang w:eastAsia="zh-CN"/>
                    </w:rPr>
                    <w:t>与</w:t>
                  </w:r>
                  <w:r>
                    <w:rPr>
                      <w:rFonts w:hint="default" w:ascii="Times New Roman" w:hAnsi="Times New Roman" w:cs="Times New Roman"/>
                      <w:color w:val="auto"/>
                      <w:szCs w:val="21"/>
                      <w:highlight w:val="none"/>
                    </w:rPr>
                    <w:t>生活污水</w:t>
                  </w:r>
                  <w:r>
                    <w:rPr>
                      <w:rFonts w:hint="eastAsia" w:cs="Times New Roman"/>
                      <w:color w:val="auto"/>
                      <w:szCs w:val="21"/>
                      <w:highlight w:val="none"/>
                      <w:lang w:eastAsia="zh-CN"/>
                    </w:rPr>
                    <w:t>、保洁废水汇总后</w:t>
                  </w:r>
                  <w:r>
                    <w:rPr>
                      <w:rFonts w:hint="eastAsia" w:cs="Times New Roman"/>
                      <w:color w:val="auto"/>
                      <w:sz w:val="21"/>
                      <w:szCs w:val="21"/>
                      <w:highlight w:val="none"/>
                      <w:lang w:eastAsia="zh-CN"/>
                    </w:rPr>
                    <w:t>排入</w:t>
                  </w:r>
                  <w:r>
                    <w:rPr>
                      <w:rFonts w:hint="eastAsia" w:ascii="Times New Roman" w:hAnsi="Times New Roman" w:cs="Times New Roman"/>
                      <w:bCs/>
                      <w:color w:val="auto"/>
                      <w:sz w:val="21"/>
                      <w:szCs w:val="21"/>
                      <w:highlight w:val="none"/>
                      <w:lang w:val="zh-CN"/>
                    </w:rPr>
                    <w:t>宿州市循环经济示范园污水处理厂</w:t>
                  </w:r>
                </w:p>
              </w:tc>
              <w:tc>
                <w:tcPr>
                  <w:tcW w:w="583" w:type="pct"/>
                  <w:vAlign w:val="center"/>
                </w:tcPr>
                <w:p w14:paraId="3F703AB7">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5</w:t>
                  </w:r>
                </w:p>
              </w:tc>
            </w:tr>
            <w:tr w14:paraId="4C58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46" w:type="pct"/>
                  <w:vMerge w:val="continue"/>
                  <w:vAlign w:val="center"/>
                </w:tcPr>
                <w:p w14:paraId="606350AD">
                  <w:pPr>
                    <w:adjustRightInd w:val="0"/>
                    <w:snapToGrid w:val="0"/>
                    <w:jc w:val="center"/>
                    <w:rPr>
                      <w:rFonts w:hint="default" w:ascii="Times New Roman" w:hAnsi="Times New Roman" w:cs="Times New Roman"/>
                      <w:color w:val="auto"/>
                      <w:szCs w:val="21"/>
                      <w:highlight w:val="none"/>
                    </w:rPr>
                  </w:pPr>
                </w:p>
              </w:tc>
              <w:tc>
                <w:tcPr>
                  <w:tcW w:w="629" w:type="pct"/>
                  <w:vAlign w:val="center"/>
                </w:tcPr>
                <w:p w14:paraId="27EA3F77">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废气治理</w:t>
                  </w:r>
                </w:p>
              </w:tc>
              <w:tc>
                <w:tcPr>
                  <w:tcW w:w="3540" w:type="pct"/>
                  <w:vAlign w:val="center"/>
                </w:tcPr>
                <w:p w14:paraId="618EB137">
                  <w:pPr>
                    <w:pStyle w:val="277"/>
                    <w:widowControl w:val="0"/>
                    <w:spacing w:line="240" w:lineRule="auto"/>
                    <w:ind w:firstLine="0" w:firstLineChars="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吹瓶</w:t>
                  </w:r>
                  <w:r>
                    <w:rPr>
                      <w:rFonts w:hint="default" w:ascii="Times New Roman" w:hAnsi="Times New Roman" w:cs="Times New Roman"/>
                      <w:color w:val="auto"/>
                      <w:sz w:val="21"/>
                      <w:szCs w:val="21"/>
                      <w:highlight w:val="none"/>
                    </w:rPr>
                    <w:t>产生的非甲烷总烃经收集后</w:t>
                  </w:r>
                  <w:r>
                    <w:rPr>
                      <w:rFonts w:hint="default" w:ascii="Times New Roman" w:hAnsi="Times New Roman" w:cs="Times New Roman"/>
                      <w:color w:val="auto"/>
                      <w:sz w:val="21"/>
                      <w:szCs w:val="21"/>
                      <w:highlight w:val="none"/>
                      <w:lang w:eastAsia="zh-CN"/>
                    </w:rPr>
                    <w:t>汇总</w:t>
                  </w:r>
                  <w:r>
                    <w:rPr>
                      <w:rFonts w:hint="default" w:ascii="Times New Roman" w:hAnsi="Times New Roman" w:cs="Times New Roman"/>
                      <w:color w:val="auto"/>
                      <w:sz w:val="21"/>
                      <w:szCs w:val="21"/>
                      <w:highlight w:val="none"/>
                    </w:rPr>
                    <w:t>通过二级活性炭吸附装置处理，通过一根</w:t>
                  </w:r>
                  <w:r>
                    <w:rPr>
                      <w:rFonts w:hint="eastAsia" w:cs="Times New Roman"/>
                      <w:color w:val="auto"/>
                      <w:sz w:val="21"/>
                      <w:szCs w:val="21"/>
                      <w:highlight w:val="none"/>
                      <w:lang w:val="en-US" w:eastAsia="zh-CN"/>
                    </w:rPr>
                    <w:t>15</w:t>
                  </w:r>
                  <w:r>
                    <w:rPr>
                      <w:rFonts w:hint="default" w:ascii="Times New Roman" w:hAnsi="Times New Roman" w:cs="Times New Roman"/>
                      <w:color w:val="auto"/>
                      <w:sz w:val="21"/>
                      <w:szCs w:val="21"/>
                      <w:highlight w:val="none"/>
                    </w:rPr>
                    <w:t>m高排气筒排放</w:t>
                  </w:r>
                </w:p>
              </w:tc>
              <w:tc>
                <w:tcPr>
                  <w:tcW w:w="583" w:type="pct"/>
                  <w:vAlign w:val="center"/>
                </w:tcPr>
                <w:p w14:paraId="50E15705">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5</w:t>
                  </w:r>
                </w:p>
              </w:tc>
            </w:tr>
            <w:tr w14:paraId="3EE2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6" w:type="pct"/>
                  <w:vMerge w:val="continue"/>
                  <w:vAlign w:val="center"/>
                </w:tcPr>
                <w:p w14:paraId="7E07FB27">
                  <w:pPr>
                    <w:adjustRightInd w:val="0"/>
                    <w:snapToGrid w:val="0"/>
                    <w:jc w:val="center"/>
                    <w:rPr>
                      <w:rFonts w:hint="default" w:ascii="Times New Roman" w:hAnsi="Times New Roman" w:cs="Times New Roman"/>
                      <w:color w:val="auto"/>
                      <w:szCs w:val="21"/>
                      <w:highlight w:val="none"/>
                    </w:rPr>
                  </w:pPr>
                </w:p>
              </w:tc>
              <w:tc>
                <w:tcPr>
                  <w:tcW w:w="629" w:type="pct"/>
                  <w:vAlign w:val="center"/>
                </w:tcPr>
                <w:p w14:paraId="32A23E2C">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噪声治理</w:t>
                  </w:r>
                </w:p>
              </w:tc>
              <w:tc>
                <w:tcPr>
                  <w:tcW w:w="3540" w:type="pct"/>
                  <w:vAlign w:val="center"/>
                </w:tcPr>
                <w:p w14:paraId="755201C8">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选用低噪设备、基础减振、风机消声等措施</w:t>
                  </w:r>
                </w:p>
              </w:tc>
              <w:tc>
                <w:tcPr>
                  <w:tcW w:w="583" w:type="pct"/>
                  <w:vAlign w:val="center"/>
                </w:tcPr>
                <w:p w14:paraId="3DAEEFC0">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r>
            <w:tr w14:paraId="5BF5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6" w:type="pct"/>
                  <w:vMerge w:val="continue"/>
                  <w:vAlign w:val="center"/>
                </w:tcPr>
                <w:p w14:paraId="74F0A4A3">
                  <w:pPr>
                    <w:adjustRightInd w:val="0"/>
                    <w:snapToGrid w:val="0"/>
                    <w:jc w:val="center"/>
                    <w:rPr>
                      <w:rFonts w:hint="default" w:ascii="Times New Roman" w:hAnsi="Times New Roman" w:cs="Times New Roman"/>
                      <w:color w:val="auto"/>
                      <w:szCs w:val="21"/>
                      <w:highlight w:val="none"/>
                    </w:rPr>
                  </w:pPr>
                </w:p>
              </w:tc>
              <w:tc>
                <w:tcPr>
                  <w:tcW w:w="629" w:type="pct"/>
                  <w:vAlign w:val="center"/>
                </w:tcPr>
                <w:p w14:paraId="19774A33">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固废处置</w:t>
                  </w:r>
                </w:p>
              </w:tc>
              <w:tc>
                <w:tcPr>
                  <w:tcW w:w="3540" w:type="pct"/>
                  <w:vAlign w:val="center"/>
                </w:tcPr>
                <w:p w14:paraId="5E3BAF22">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废</w:t>
                  </w:r>
                  <w:r>
                    <w:rPr>
                      <w:rFonts w:hint="eastAsia" w:cs="Times New Roman"/>
                      <w:color w:val="auto"/>
                      <w:kern w:val="0"/>
                      <w:szCs w:val="21"/>
                      <w:highlight w:val="none"/>
                      <w:lang w:eastAsia="zh-CN" w:bidi="ar"/>
                    </w:rPr>
                    <w:t>吸附</w:t>
                  </w:r>
                  <w:r>
                    <w:rPr>
                      <w:rFonts w:hint="default" w:ascii="Times New Roman" w:hAnsi="Times New Roman" w:cs="Times New Roman"/>
                      <w:color w:val="auto"/>
                      <w:kern w:val="0"/>
                      <w:szCs w:val="21"/>
                      <w:highlight w:val="none"/>
                      <w:lang w:bidi="ar"/>
                    </w:rPr>
                    <w:t>活性炭、废</w:t>
                  </w:r>
                  <w:r>
                    <w:rPr>
                      <w:rFonts w:hint="eastAsia" w:cs="Times New Roman"/>
                      <w:color w:val="auto"/>
                      <w:kern w:val="0"/>
                      <w:szCs w:val="21"/>
                      <w:highlight w:val="none"/>
                      <w:lang w:eastAsia="zh-CN" w:bidi="ar"/>
                    </w:rPr>
                    <w:t>机油、废机油桶和废含油抹布</w:t>
                  </w:r>
                  <w:r>
                    <w:rPr>
                      <w:rFonts w:hint="default" w:ascii="Times New Roman" w:hAnsi="Times New Roman" w:cs="Times New Roman"/>
                      <w:color w:val="auto"/>
                      <w:kern w:val="0"/>
                      <w:szCs w:val="21"/>
                      <w:highlight w:val="none"/>
                      <w:lang w:bidi="ar"/>
                    </w:rPr>
                    <w:t>统一收集后暂存于危废间，委托有关资质单位进行处置；生活垃圾、废布袋</w:t>
                  </w:r>
                  <w:r>
                    <w:rPr>
                      <w:rFonts w:hint="eastAsia" w:cs="Times New Roman"/>
                      <w:color w:val="auto"/>
                      <w:kern w:val="0"/>
                      <w:szCs w:val="21"/>
                      <w:highlight w:val="none"/>
                      <w:lang w:eastAsia="zh-CN" w:bidi="ar"/>
                    </w:rPr>
                    <w:t>、</w:t>
                  </w:r>
                  <w:r>
                    <w:rPr>
                      <w:rFonts w:hint="default" w:ascii="Times New Roman" w:hAnsi="Times New Roman" w:cs="Times New Roman"/>
                      <w:color w:val="auto"/>
                      <w:kern w:val="0"/>
                      <w:szCs w:val="21"/>
                      <w:highlight w:val="none"/>
                      <w:lang w:bidi="ar"/>
                    </w:rPr>
                    <w:t>废石英砂</w:t>
                  </w:r>
                  <w:r>
                    <w:rPr>
                      <w:rFonts w:hint="eastAsia" w:cs="Times New Roman"/>
                      <w:color w:val="auto"/>
                      <w:kern w:val="0"/>
                      <w:szCs w:val="21"/>
                      <w:highlight w:val="none"/>
                      <w:lang w:eastAsia="zh-CN" w:bidi="ar"/>
                    </w:rPr>
                    <w:t>、废包装材料和废灯管</w:t>
                  </w:r>
                  <w:r>
                    <w:rPr>
                      <w:rFonts w:hint="default" w:ascii="Times New Roman" w:hAnsi="Times New Roman" w:cs="Times New Roman"/>
                      <w:color w:val="auto"/>
                      <w:kern w:val="0"/>
                      <w:szCs w:val="21"/>
                      <w:highlight w:val="none"/>
                      <w:lang w:bidi="ar"/>
                    </w:rPr>
                    <w:t>统一收集后由环卫部门统一清理，废活性炭</w:t>
                  </w:r>
                  <w:r>
                    <w:rPr>
                      <w:rFonts w:hint="eastAsia" w:cs="Times New Roman"/>
                      <w:color w:val="auto"/>
                      <w:kern w:val="0"/>
                      <w:szCs w:val="21"/>
                      <w:highlight w:val="none"/>
                      <w:lang w:eastAsia="zh-CN" w:bidi="ar"/>
                    </w:rPr>
                    <w:t>、</w:t>
                  </w:r>
                  <w:r>
                    <w:rPr>
                      <w:rFonts w:hint="default" w:ascii="Times New Roman" w:hAnsi="Times New Roman" w:cs="Times New Roman"/>
                      <w:color w:val="auto"/>
                      <w:kern w:val="0"/>
                      <w:szCs w:val="21"/>
                      <w:highlight w:val="none"/>
                      <w:lang w:bidi="ar"/>
                    </w:rPr>
                    <w:t>废滤芯</w:t>
                  </w:r>
                  <w:r>
                    <w:rPr>
                      <w:rFonts w:hint="eastAsia" w:cs="Times New Roman"/>
                      <w:color w:val="auto"/>
                      <w:kern w:val="0"/>
                      <w:szCs w:val="21"/>
                      <w:highlight w:val="none"/>
                      <w:lang w:eastAsia="zh-CN" w:bidi="ar"/>
                    </w:rPr>
                    <w:t>、</w:t>
                  </w:r>
                  <w:r>
                    <w:rPr>
                      <w:rFonts w:hint="default" w:ascii="Times New Roman" w:hAnsi="Times New Roman" w:cs="Times New Roman"/>
                      <w:color w:val="auto"/>
                      <w:kern w:val="0"/>
                      <w:szCs w:val="21"/>
                      <w:highlight w:val="none"/>
                      <w:lang w:bidi="ar"/>
                    </w:rPr>
                    <w:t>废纳滤膜</w:t>
                  </w:r>
                  <w:r>
                    <w:rPr>
                      <w:rFonts w:hint="eastAsia" w:cs="Times New Roman"/>
                      <w:color w:val="auto"/>
                      <w:kern w:val="0"/>
                      <w:szCs w:val="21"/>
                      <w:highlight w:val="none"/>
                      <w:lang w:eastAsia="zh-CN" w:bidi="ar"/>
                    </w:rPr>
                    <w:t>、</w:t>
                  </w:r>
                  <w:r>
                    <w:rPr>
                      <w:rFonts w:hint="default" w:ascii="Times New Roman" w:hAnsi="Times New Roman" w:cs="Times New Roman"/>
                      <w:color w:val="auto"/>
                      <w:kern w:val="0"/>
                      <w:szCs w:val="21"/>
                      <w:highlight w:val="none"/>
                      <w:lang w:bidi="ar"/>
                    </w:rPr>
                    <w:t>废反渗透膜</w:t>
                  </w:r>
                  <w:r>
                    <w:rPr>
                      <w:rFonts w:hint="eastAsia" w:cs="Times New Roman"/>
                      <w:color w:val="auto"/>
                      <w:kern w:val="0"/>
                      <w:szCs w:val="21"/>
                      <w:highlight w:val="none"/>
                      <w:lang w:eastAsia="zh-CN" w:bidi="ar"/>
                    </w:rPr>
                    <w:t>收集后交由厂家回收处置，废瓶</w:t>
                  </w:r>
                  <w:r>
                    <w:rPr>
                      <w:rFonts w:hint="eastAsia" w:cs="Times New Roman"/>
                      <w:color w:val="auto"/>
                      <w:kern w:val="0"/>
                      <w:szCs w:val="21"/>
                      <w:highlight w:val="none"/>
                      <w:lang w:val="en-US" w:eastAsia="zh-CN" w:bidi="ar"/>
                    </w:rPr>
                    <w:t>/桶/盖</w:t>
                  </w:r>
                  <w:r>
                    <w:rPr>
                      <w:rFonts w:hint="default" w:ascii="Times New Roman" w:hAnsi="Times New Roman" w:cs="Times New Roman"/>
                      <w:color w:val="auto"/>
                      <w:kern w:val="0"/>
                      <w:szCs w:val="21"/>
                      <w:highlight w:val="none"/>
                      <w:lang w:bidi="ar"/>
                    </w:rPr>
                    <w:t>外售处置</w:t>
                  </w:r>
                </w:p>
              </w:tc>
              <w:tc>
                <w:tcPr>
                  <w:tcW w:w="583" w:type="pct"/>
                  <w:vAlign w:val="center"/>
                </w:tcPr>
                <w:p w14:paraId="05FA3861">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r>
            <w:tr w14:paraId="3EA2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6" w:type="pct"/>
                  <w:vMerge w:val="continue"/>
                  <w:vAlign w:val="center"/>
                </w:tcPr>
                <w:p w14:paraId="489438C3">
                  <w:pPr>
                    <w:adjustRightInd w:val="0"/>
                    <w:snapToGrid w:val="0"/>
                    <w:jc w:val="center"/>
                    <w:rPr>
                      <w:rFonts w:hint="default" w:ascii="Times New Roman" w:hAnsi="Times New Roman" w:cs="Times New Roman"/>
                      <w:color w:val="auto"/>
                      <w:szCs w:val="21"/>
                      <w:highlight w:val="none"/>
                    </w:rPr>
                  </w:pPr>
                </w:p>
              </w:tc>
              <w:tc>
                <w:tcPr>
                  <w:tcW w:w="629" w:type="pct"/>
                  <w:vAlign w:val="center"/>
                </w:tcPr>
                <w:p w14:paraId="2A432FF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地下水治理</w:t>
                  </w:r>
                </w:p>
              </w:tc>
              <w:tc>
                <w:tcPr>
                  <w:tcW w:w="3540" w:type="pct"/>
                  <w:vAlign w:val="center"/>
                </w:tcPr>
                <w:p w14:paraId="16DBCD38">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危废间做重点防渗，</w:t>
                  </w:r>
                  <w:r>
                    <w:rPr>
                      <w:rFonts w:hint="default" w:ascii="Times New Roman" w:hAnsi="Times New Roman" w:cs="Times New Roman"/>
                      <w:color w:val="auto"/>
                      <w:szCs w:val="16"/>
                      <w:highlight w:val="none"/>
                    </w:rPr>
                    <w:t>参照GB18598执行，</w:t>
                  </w:r>
                  <w:r>
                    <w:rPr>
                      <w:rFonts w:hint="default" w:ascii="Times New Roman" w:hAnsi="Times New Roman" w:cs="Times New Roman"/>
                      <w:color w:val="auto"/>
                      <w:szCs w:val="21"/>
                      <w:highlight w:val="none"/>
                    </w:rPr>
                    <w:t>铺设至少2 mm厚高密度聚乙烯膜等人工防渗材料；其他区域为一般防渗区</w:t>
                  </w:r>
                  <w:r>
                    <w:rPr>
                      <w:rFonts w:hint="default" w:ascii="Times New Roman" w:hAnsi="Times New Roman" w:cs="Times New Roman"/>
                      <w:color w:val="auto"/>
                      <w:highlight w:val="none"/>
                    </w:rPr>
                    <w:t>，</w:t>
                  </w:r>
                  <w:r>
                    <w:rPr>
                      <w:rFonts w:hint="default" w:ascii="Times New Roman" w:hAnsi="Times New Roman" w:cs="Times New Roman"/>
                      <w:color w:val="auto"/>
                      <w:szCs w:val="16"/>
                      <w:highlight w:val="none"/>
                    </w:rPr>
                    <w:t>等效黏土防渗层Mb≥1.5m，K≤1×10</w:t>
                  </w:r>
                  <w:r>
                    <w:rPr>
                      <w:rFonts w:hint="default" w:ascii="Times New Roman" w:hAnsi="Times New Roman" w:cs="Times New Roman"/>
                      <w:color w:val="auto"/>
                      <w:szCs w:val="16"/>
                      <w:highlight w:val="none"/>
                      <w:vertAlign w:val="superscript"/>
                    </w:rPr>
                    <w:t>-7</w:t>
                  </w:r>
                  <w:r>
                    <w:rPr>
                      <w:rFonts w:hint="default" w:ascii="Times New Roman" w:hAnsi="Times New Roman" w:cs="Times New Roman"/>
                      <w:color w:val="auto"/>
                      <w:szCs w:val="16"/>
                      <w:highlight w:val="none"/>
                    </w:rPr>
                    <w:t>cm/s；或参照GB16889执行</w:t>
                  </w:r>
                </w:p>
              </w:tc>
              <w:tc>
                <w:tcPr>
                  <w:tcW w:w="583" w:type="pct"/>
                  <w:vAlign w:val="center"/>
                </w:tcPr>
                <w:p w14:paraId="44F2BA9F">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3</w:t>
                  </w:r>
                </w:p>
              </w:tc>
            </w:tr>
            <w:tr w14:paraId="105A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6" w:type="pct"/>
                  <w:gridSpan w:val="3"/>
                  <w:vAlign w:val="center"/>
                </w:tcPr>
                <w:p w14:paraId="49072E83">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总计</w:t>
                  </w:r>
                </w:p>
              </w:tc>
              <w:tc>
                <w:tcPr>
                  <w:tcW w:w="583" w:type="pct"/>
                  <w:vAlign w:val="center"/>
                </w:tcPr>
                <w:p w14:paraId="3DCFC61A">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18</w:t>
                  </w:r>
                </w:p>
              </w:tc>
            </w:tr>
          </w:tbl>
          <w:p w14:paraId="7BE8E4E0">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八、建设项目环境影响评价与排污许可联动</w:t>
            </w:r>
          </w:p>
          <w:p w14:paraId="3299A9F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根据《安徽省生态环境厅关于统筹做好固定源排污许可日常监管工作的通知》（皖环发〔2021〕7号），《固定污染源排污许可分类管理名录（2019年版）》，本项目</w:t>
            </w:r>
            <w:r>
              <w:rPr>
                <w:rFonts w:hint="default" w:ascii="Times New Roman" w:hAnsi="Times New Roman" w:eastAsia="宋体" w:cs="Times New Roman"/>
                <w:color w:val="auto"/>
                <w:kern w:val="0"/>
                <w:sz w:val="24"/>
                <w:szCs w:val="24"/>
                <w:highlight w:val="none"/>
                <w:lang w:val="en-US" w:eastAsia="zh-CN" w:bidi="ar"/>
              </w:rPr>
              <w:t>通过开采地下水生产瓶（罐）装</w:t>
            </w:r>
            <w:r>
              <w:rPr>
                <w:rFonts w:hint="eastAsia" w:cs="Times New Roman"/>
                <w:color w:val="auto"/>
                <w:kern w:val="0"/>
                <w:sz w:val="24"/>
                <w:szCs w:val="24"/>
                <w:highlight w:val="none"/>
                <w:lang w:val="en-US" w:eastAsia="zh-CN" w:bidi="ar"/>
              </w:rPr>
              <w:t>饮用水</w:t>
            </w:r>
            <w:r>
              <w:rPr>
                <w:rFonts w:hint="default" w:ascii="Times New Roman" w:hAnsi="Times New Roman" w:eastAsia="宋体" w:cs="Times New Roman"/>
                <w:color w:val="auto"/>
                <w:kern w:val="0"/>
                <w:sz w:val="24"/>
                <w:szCs w:val="24"/>
                <w:highlight w:val="none"/>
                <w:lang w:val="en-US" w:eastAsia="zh-CN" w:bidi="ar"/>
              </w:rPr>
              <w:t>，其中还涉及塑料吹瓶。项目瓶（罐）装</w:t>
            </w:r>
            <w:r>
              <w:rPr>
                <w:rFonts w:hint="eastAsia" w:cs="Times New Roman"/>
                <w:color w:val="auto"/>
                <w:kern w:val="0"/>
                <w:sz w:val="24"/>
                <w:szCs w:val="24"/>
                <w:highlight w:val="none"/>
                <w:lang w:val="en-US" w:eastAsia="zh-CN" w:bidi="ar"/>
              </w:rPr>
              <w:t>纯净水</w:t>
            </w:r>
            <w:r>
              <w:rPr>
                <w:rFonts w:hint="default" w:ascii="Times New Roman" w:hAnsi="Times New Roman" w:eastAsia="宋体" w:cs="Times New Roman"/>
                <w:color w:val="auto"/>
                <w:kern w:val="0"/>
                <w:sz w:val="24"/>
                <w:szCs w:val="24"/>
                <w:highlight w:val="none"/>
                <w:lang w:val="en-US" w:eastAsia="zh-CN" w:bidi="ar"/>
              </w:rPr>
              <w:t>生产属“十、酒、饮料和精制茶制造业15，22.饮料制造152，其他”，塑料吹瓶属“二十四、橡胶和塑料制品业29，62.塑料制品业292，其他”，均实行固定污染源排污许可登记管理。</w:t>
            </w:r>
          </w:p>
          <w:p w14:paraId="5EC387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表4-</w:t>
            </w:r>
            <w:r>
              <w:rPr>
                <w:rFonts w:hint="eastAsia" w:cs="Times New Roman"/>
                <w:b/>
                <w:bCs/>
                <w:color w:val="auto"/>
                <w:sz w:val="24"/>
                <w:szCs w:val="24"/>
                <w:highlight w:val="none"/>
                <w:lang w:val="en-US" w:eastAsia="zh-CN"/>
              </w:rPr>
              <w:t>21</w:t>
            </w:r>
            <w:r>
              <w:rPr>
                <w:rFonts w:hint="default"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固定污染源排污许可分类管理名录对照表</w:t>
            </w:r>
          </w:p>
          <w:tbl>
            <w:tblPr>
              <w:tblStyle w:val="39"/>
              <w:tblW w:w="4973"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750"/>
              <w:gridCol w:w="1506"/>
              <w:gridCol w:w="3526"/>
              <w:gridCol w:w="1570"/>
            </w:tblGrid>
            <w:tr w14:paraId="3D9D068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19" w:type="pct"/>
                  <w:noWrap w:val="0"/>
                  <w:vAlign w:val="center"/>
                </w:tcPr>
                <w:p w14:paraId="1996039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highlight w:val="none"/>
                    </w:rPr>
                  </w:pPr>
                  <w:r>
                    <w:rPr>
                      <w:b/>
                      <w:color w:val="auto"/>
                      <w:sz w:val="21"/>
                      <w:szCs w:val="21"/>
                      <w:highlight w:val="none"/>
                    </w:rPr>
                    <w:t>序号</w:t>
                  </w:r>
                </w:p>
              </w:tc>
              <w:tc>
                <w:tcPr>
                  <w:tcW w:w="960" w:type="pct"/>
                  <w:noWrap w:val="0"/>
                  <w:vAlign w:val="center"/>
                </w:tcPr>
                <w:p w14:paraId="4CDB95A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highlight w:val="none"/>
                    </w:rPr>
                  </w:pPr>
                  <w:r>
                    <w:rPr>
                      <w:b/>
                      <w:color w:val="auto"/>
                      <w:sz w:val="21"/>
                      <w:szCs w:val="21"/>
                      <w:highlight w:val="none"/>
                    </w:rPr>
                    <w:t>行业类别</w:t>
                  </w:r>
                </w:p>
              </w:tc>
              <w:tc>
                <w:tcPr>
                  <w:tcW w:w="826" w:type="pct"/>
                  <w:noWrap w:val="0"/>
                  <w:vAlign w:val="center"/>
                </w:tcPr>
                <w:p w14:paraId="4CB2A2E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highlight w:val="none"/>
                    </w:rPr>
                  </w:pPr>
                  <w:r>
                    <w:rPr>
                      <w:b/>
                      <w:color w:val="auto"/>
                      <w:sz w:val="21"/>
                      <w:szCs w:val="21"/>
                      <w:highlight w:val="none"/>
                    </w:rPr>
                    <w:t>重点管理</w:t>
                  </w:r>
                </w:p>
              </w:tc>
              <w:tc>
                <w:tcPr>
                  <w:tcW w:w="1934" w:type="pct"/>
                  <w:noWrap w:val="0"/>
                  <w:vAlign w:val="center"/>
                </w:tcPr>
                <w:p w14:paraId="1043AD6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highlight w:val="none"/>
                    </w:rPr>
                  </w:pPr>
                  <w:r>
                    <w:rPr>
                      <w:b/>
                      <w:color w:val="auto"/>
                      <w:sz w:val="21"/>
                      <w:szCs w:val="21"/>
                      <w:highlight w:val="none"/>
                    </w:rPr>
                    <w:t>简化管理</w:t>
                  </w:r>
                </w:p>
              </w:tc>
              <w:tc>
                <w:tcPr>
                  <w:tcW w:w="859" w:type="pct"/>
                  <w:noWrap w:val="0"/>
                  <w:vAlign w:val="center"/>
                </w:tcPr>
                <w:p w14:paraId="57EA741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b/>
                      <w:color w:val="auto"/>
                      <w:sz w:val="21"/>
                      <w:szCs w:val="21"/>
                      <w:highlight w:val="none"/>
                    </w:rPr>
                  </w:pPr>
                  <w:r>
                    <w:rPr>
                      <w:b/>
                      <w:color w:val="auto"/>
                      <w:sz w:val="21"/>
                      <w:szCs w:val="21"/>
                      <w:highlight w:val="none"/>
                    </w:rPr>
                    <w:t>登记管理</w:t>
                  </w:r>
                </w:p>
              </w:tc>
            </w:tr>
            <w:tr w14:paraId="7517C40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00" w:type="pct"/>
                  <w:gridSpan w:val="5"/>
                  <w:noWrap w:val="0"/>
                  <w:vAlign w:val="center"/>
                </w:tcPr>
                <w:p w14:paraId="096E89A8">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eastAsia="宋体"/>
                      <w:b/>
                      <w:color w:val="auto"/>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bidi="ar"/>
                    </w:rPr>
                    <w:t>十、酒、饮料和精制茶制造业15</w:t>
                  </w:r>
                </w:p>
              </w:tc>
            </w:tr>
            <w:tr w14:paraId="2084124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19" w:type="pct"/>
                  <w:shd w:val="clear" w:color="auto" w:fill="auto"/>
                  <w:noWrap w:val="0"/>
                  <w:vAlign w:val="center"/>
                </w:tcPr>
                <w:p w14:paraId="48A3BE1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22</w:t>
                  </w:r>
                </w:p>
              </w:tc>
              <w:tc>
                <w:tcPr>
                  <w:tcW w:w="960" w:type="pct"/>
                  <w:shd w:val="clear" w:color="auto" w:fill="auto"/>
                  <w:noWrap w:val="0"/>
                  <w:vAlign w:val="center"/>
                </w:tcPr>
                <w:p w14:paraId="4C959CA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饮料制造</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bidi="ar"/>
                    </w:rPr>
                    <w:t>152</w:t>
                  </w:r>
                </w:p>
              </w:tc>
              <w:tc>
                <w:tcPr>
                  <w:tcW w:w="826" w:type="pct"/>
                  <w:shd w:val="clear" w:color="auto" w:fill="auto"/>
                  <w:noWrap w:val="0"/>
                  <w:vAlign w:val="center"/>
                </w:tcPr>
                <w:p w14:paraId="1675708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934" w:type="pct"/>
                  <w:shd w:val="clear" w:color="auto" w:fill="auto"/>
                  <w:noWrap w:val="0"/>
                  <w:vAlign w:val="center"/>
                </w:tcPr>
                <w:p w14:paraId="5DAE1557">
                  <w:pPr>
                    <w:keepNext w:val="0"/>
                    <w:keepLines w:val="0"/>
                    <w:widowControl/>
                    <w:suppressLineNumbers w:val="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有发酵工艺或者原汁生产的*</w:t>
                  </w:r>
                </w:p>
              </w:tc>
              <w:tc>
                <w:tcPr>
                  <w:tcW w:w="859" w:type="pct"/>
                  <w:shd w:val="clear" w:color="auto" w:fill="D8D8D8"/>
                  <w:noWrap w:val="0"/>
                  <w:vAlign w:val="center"/>
                </w:tcPr>
                <w:p w14:paraId="1A3601A2">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其他*</w:t>
                  </w:r>
                </w:p>
              </w:tc>
            </w:tr>
            <w:tr w14:paraId="74BB02B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000" w:type="pct"/>
                  <w:gridSpan w:val="5"/>
                  <w:noWrap w:val="0"/>
                  <w:vAlign w:val="center"/>
                </w:tcPr>
                <w:p w14:paraId="040B273F">
                  <w:pPr>
                    <w:keepNext w:val="0"/>
                    <w:keepLines w:val="0"/>
                    <w:pageBreakBefore w:val="0"/>
                    <w:widowControl/>
                    <w:kinsoku/>
                    <w:wordWrap/>
                    <w:overflowPunct/>
                    <w:topLinePunct w:val="0"/>
                    <w:autoSpaceDE/>
                    <w:autoSpaceDN/>
                    <w:bidi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二十四、橡胶和塑料制品业29</w:t>
                  </w:r>
                </w:p>
              </w:tc>
            </w:tr>
            <w:tr w14:paraId="759E588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19" w:type="pct"/>
                  <w:shd w:val="clear" w:color="auto" w:fill="auto"/>
                  <w:noWrap w:val="0"/>
                  <w:vAlign w:val="center"/>
                </w:tcPr>
                <w:p w14:paraId="3EE6278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62</w:t>
                  </w:r>
                </w:p>
              </w:tc>
              <w:tc>
                <w:tcPr>
                  <w:tcW w:w="960" w:type="pct"/>
                  <w:shd w:val="clear" w:color="auto" w:fill="auto"/>
                  <w:noWrap w:val="0"/>
                  <w:vAlign w:val="center"/>
                </w:tcPr>
                <w:p w14:paraId="52330DF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塑料制品业</w:t>
                  </w:r>
                  <w:r>
                    <w:rPr>
                      <w:rFonts w:hint="default" w:ascii="Times New Roman" w:hAnsi="Times New Roman" w:eastAsia="宋体" w:cs="Times New Roman"/>
                      <w:color w:val="auto"/>
                      <w:sz w:val="21"/>
                      <w:szCs w:val="21"/>
                      <w:highlight w:val="none"/>
                      <w:lang w:val="en-US" w:eastAsia="zh-CN"/>
                    </w:rPr>
                    <w:t xml:space="preserve"> 292</w:t>
                  </w:r>
                </w:p>
              </w:tc>
              <w:tc>
                <w:tcPr>
                  <w:tcW w:w="826" w:type="pct"/>
                  <w:shd w:val="clear" w:color="auto" w:fill="auto"/>
                  <w:noWrap w:val="0"/>
                  <w:vAlign w:val="center"/>
                </w:tcPr>
                <w:p w14:paraId="1CD171F0">
                  <w:pPr>
                    <w:keepNext w:val="0"/>
                    <w:keepLines w:val="0"/>
                    <w:widowControl/>
                    <w:suppressLineNumbers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塑料人造革、合成革制造 2925</w:t>
                  </w:r>
                </w:p>
              </w:tc>
              <w:tc>
                <w:tcPr>
                  <w:tcW w:w="1934" w:type="pct"/>
                  <w:shd w:val="clear" w:color="auto" w:fill="auto"/>
                  <w:noWrap w:val="0"/>
                  <w:vAlign w:val="center"/>
                </w:tcPr>
                <w:p w14:paraId="2D59E751">
                  <w:pPr>
                    <w:keepNext w:val="0"/>
                    <w:keepLines w:val="0"/>
                    <w:widowControl/>
                    <w:suppressLineNumbers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年产 1 万吨及以上的泡沫塑料制造2924，年产 1 万吨及以上涉及改性的塑料薄膜制造2921、塑料板、管、型材制造 2922、塑料丝、绳和编织品制造 2923、塑料包装箱及容器制造2926、日用塑料品制造 2927、人造草坪制造 2928、塑料零件及其他塑料制品制造 2929</w:t>
                  </w:r>
                </w:p>
              </w:tc>
              <w:tc>
                <w:tcPr>
                  <w:tcW w:w="859" w:type="pct"/>
                  <w:shd w:val="clear" w:color="auto" w:fill="D8D8D8"/>
                  <w:noWrap w:val="0"/>
                  <w:vAlign w:val="center"/>
                </w:tcPr>
                <w:p w14:paraId="7421A9D1">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其他</w:t>
                  </w:r>
                </w:p>
              </w:tc>
            </w:tr>
          </w:tbl>
          <w:p w14:paraId="53252C6D">
            <w:pPr>
              <w:spacing w:line="360" w:lineRule="auto"/>
              <w:ind w:firstLine="480" w:firstLineChars="200"/>
              <w:rPr>
                <w:color w:val="auto"/>
                <w:sz w:val="24"/>
                <w:highlight w:val="none"/>
              </w:rPr>
            </w:pPr>
          </w:p>
          <w:p w14:paraId="25CE5730">
            <w:pPr>
              <w:spacing w:line="360" w:lineRule="auto"/>
              <w:ind w:firstLine="480" w:firstLineChars="200"/>
              <w:rPr>
                <w:color w:val="auto"/>
                <w:sz w:val="24"/>
                <w:highlight w:val="none"/>
              </w:rPr>
            </w:pPr>
          </w:p>
          <w:p w14:paraId="19B55F3D">
            <w:pPr>
              <w:spacing w:line="360" w:lineRule="auto"/>
              <w:rPr>
                <w:color w:val="auto"/>
                <w:sz w:val="24"/>
                <w:highlight w:val="none"/>
              </w:rPr>
            </w:pPr>
          </w:p>
        </w:tc>
      </w:tr>
    </w:tbl>
    <w:p w14:paraId="5C247BDB">
      <w:pPr>
        <w:adjustRightInd w:val="0"/>
        <w:snapToGrid w:val="0"/>
        <w:spacing w:line="360" w:lineRule="auto"/>
        <w:rPr>
          <w:b/>
          <w:color w:val="auto"/>
          <w:kern w:val="0"/>
          <w:sz w:val="28"/>
          <w:szCs w:val="28"/>
          <w:highlight w:val="none"/>
        </w:rPr>
        <w:sectPr>
          <w:pgSz w:w="11907" w:h="16840"/>
          <w:pgMar w:top="1418" w:right="1134" w:bottom="1418" w:left="1247" w:header="851" w:footer="851" w:gutter="0"/>
          <w:cols w:space="720" w:num="1"/>
          <w:docGrid w:linePitch="312" w:charSpace="0"/>
        </w:sectPr>
      </w:pPr>
    </w:p>
    <w:p w14:paraId="4749B688">
      <w:pPr>
        <w:pStyle w:val="35"/>
        <w:pageBreakBefore/>
        <w:spacing w:before="0" w:beforeAutospacing="0" w:after="0" w:afterAutospacing="0"/>
        <w:jc w:val="center"/>
        <w:outlineLvl w:val="0"/>
        <w:rPr>
          <w:rFonts w:ascii="Times New Roman" w:hAnsi="Times New Roman"/>
          <w:b/>
          <w:snapToGrid w:val="0"/>
          <w:color w:val="auto"/>
          <w:sz w:val="30"/>
          <w:szCs w:val="30"/>
          <w:highlight w:val="none"/>
        </w:rPr>
      </w:pPr>
      <w:r>
        <w:rPr>
          <w:rFonts w:ascii="Times New Roman" w:hAnsi="Times New Roman"/>
          <w:b/>
          <w:snapToGrid w:val="0"/>
          <w:color w:val="auto"/>
          <w:sz w:val="30"/>
          <w:szCs w:val="30"/>
          <w:highlight w:val="none"/>
        </w:rPr>
        <w:t>五、</w:t>
      </w:r>
      <w:bookmarkStart w:id="8" w:name="_Hlk54167917"/>
      <w:r>
        <w:rPr>
          <w:rFonts w:ascii="Times New Roman" w:hAnsi="Times New Roman"/>
          <w:b/>
          <w:snapToGrid w:val="0"/>
          <w:color w:val="auto"/>
          <w:sz w:val="30"/>
          <w:szCs w:val="30"/>
          <w:highlight w:val="none"/>
        </w:rPr>
        <w:t>环境保护措施监督检查清单</w:t>
      </w:r>
      <w:bookmarkEnd w:id="8"/>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429"/>
        <w:gridCol w:w="1380"/>
        <w:gridCol w:w="2606"/>
        <w:gridCol w:w="2414"/>
      </w:tblGrid>
      <w:tr w14:paraId="5DA47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tcBorders>
              <w:tl2br w:val="single" w:color="auto" w:sz="4" w:space="0"/>
            </w:tcBorders>
            <w:vAlign w:val="center"/>
          </w:tcPr>
          <w:p w14:paraId="530203D4">
            <w:pPr>
              <w:pStyle w:val="375"/>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内容</w:t>
            </w:r>
          </w:p>
          <w:p w14:paraId="5612650E">
            <w:pPr>
              <w:pStyle w:val="375"/>
              <w:jc w:val="center"/>
              <w:rPr>
                <w:rFonts w:hint="default" w:ascii="Times New Roman" w:hAnsi="Times New Roman" w:eastAsia="宋体" w:cs="Times New Roman"/>
                <w:b/>
                <w:bCs/>
                <w:color w:val="auto"/>
                <w:sz w:val="21"/>
                <w:szCs w:val="21"/>
                <w:highlight w:val="none"/>
              </w:rPr>
            </w:pPr>
          </w:p>
          <w:p w14:paraId="7D5701DB">
            <w:pPr>
              <w:pStyle w:val="375"/>
              <w:jc w:val="both"/>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要素</w:t>
            </w:r>
          </w:p>
        </w:tc>
        <w:tc>
          <w:tcPr>
            <w:tcW w:w="1429" w:type="dxa"/>
            <w:vAlign w:val="center"/>
          </w:tcPr>
          <w:p w14:paraId="0CA55F96">
            <w:pPr>
              <w:pStyle w:val="375"/>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排放口(编号、名称)/污染源</w:t>
            </w:r>
          </w:p>
        </w:tc>
        <w:tc>
          <w:tcPr>
            <w:tcW w:w="1380" w:type="dxa"/>
            <w:vAlign w:val="center"/>
          </w:tcPr>
          <w:p w14:paraId="3FCDF593">
            <w:pPr>
              <w:pStyle w:val="375"/>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污染物项目</w:t>
            </w:r>
          </w:p>
        </w:tc>
        <w:tc>
          <w:tcPr>
            <w:tcW w:w="2606" w:type="dxa"/>
            <w:vAlign w:val="center"/>
          </w:tcPr>
          <w:p w14:paraId="0187936B">
            <w:pPr>
              <w:pStyle w:val="375"/>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环境保护措施</w:t>
            </w:r>
          </w:p>
        </w:tc>
        <w:tc>
          <w:tcPr>
            <w:tcW w:w="2414" w:type="dxa"/>
            <w:vAlign w:val="center"/>
          </w:tcPr>
          <w:p w14:paraId="3E5C58A4">
            <w:pPr>
              <w:pStyle w:val="375"/>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14:paraId="4D911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restart"/>
            <w:vAlign w:val="center"/>
          </w:tcPr>
          <w:p w14:paraId="68070123">
            <w:pPr>
              <w:pStyle w:val="375"/>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429" w:type="dxa"/>
            <w:vAlign w:val="center"/>
          </w:tcPr>
          <w:p w14:paraId="6EB7A7D9">
            <w:pPr>
              <w:pStyle w:val="376"/>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DA001</w:t>
            </w:r>
            <w:r>
              <w:rPr>
                <w:rFonts w:hint="default" w:ascii="Times New Roman" w:hAnsi="Times New Roman" w:eastAsia="宋体" w:cs="Times New Roman"/>
                <w:color w:val="auto"/>
                <w:sz w:val="21"/>
                <w:szCs w:val="21"/>
                <w:highlight w:val="none"/>
                <w:lang w:val="en-US" w:eastAsia="zh-CN"/>
              </w:rPr>
              <w:t>/吹瓶</w:t>
            </w:r>
            <w:r>
              <w:rPr>
                <w:rFonts w:hint="default" w:ascii="Times New Roman" w:hAnsi="Times New Roman" w:eastAsia="宋体" w:cs="Times New Roman"/>
                <w:color w:val="auto"/>
                <w:sz w:val="21"/>
                <w:szCs w:val="21"/>
                <w:highlight w:val="none"/>
              </w:rPr>
              <w:t>排气筒</w:t>
            </w:r>
          </w:p>
        </w:tc>
        <w:tc>
          <w:tcPr>
            <w:tcW w:w="1380" w:type="dxa"/>
            <w:vAlign w:val="center"/>
          </w:tcPr>
          <w:p w14:paraId="3023E52C">
            <w:pPr>
              <w:pStyle w:val="376"/>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非甲烷总烃</w:t>
            </w:r>
          </w:p>
        </w:tc>
        <w:tc>
          <w:tcPr>
            <w:tcW w:w="2606" w:type="dxa"/>
            <w:vAlign w:val="center"/>
          </w:tcPr>
          <w:p w14:paraId="1918EA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吹瓶废气经集气罩收集后</w:t>
            </w:r>
            <w:r>
              <w:rPr>
                <w:rFonts w:hint="default" w:ascii="Times New Roman" w:hAnsi="Times New Roman" w:eastAsia="宋体" w:cs="Times New Roman"/>
                <w:color w:val="auto"/>
                <w:sz w:val="21"/>
                <w:szCs w:val="21"/>
                <w:highlight w:val="none"/>
                <w:lang w:val="en-US" w:eastAsia="zh-CN"/>
              </w:rPr>
              <w:t>，通过1根1</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米高排气筒排放</w:t>
            </w:r>
          </w:p>
        </w:tc>
        <w:tc>
          <w:tcPr>
            <w:tcW w:w="2414" w:type="dxa"/>
            <w:vAlign w:val="center"/>
          </w:tcPr>
          <w:p w14:paraId="3EB639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bidi="ar"/>
              </w:rPr>
              <w:t>《合成树脂工业污染物排放标准》（GB31572-2015</w:t>
            </w:r>
            <w:r>
              <w:rPr>
                <w:rFonts w:hint="eastAsia" w:ascii="Times New Roman" w:hAnsi="Times New Roman" w:cs="Times New Roman"/>
                <w:color w:val="auto"/>
                <w:sz w:val="21"/>
                <w:szCs w:val="24"/>
                <w:highlight w:val="none"/>
                <w:lang w:eastAsia="zh-CN"/>
              </w:rPr>
              <w:t>，含</w:t>
            </w:r>
            <w:r>
              <w:rPr>
                <w:rFonts w:hint="eastAsia" w:ascii="Times New Roman" w:hAnsi="Times New Roman" w:cs="Times New Roman"/>
                <w:color w:val="auto"/>
                <w:sz w:val="21"/>
                <w:szCs w:val="24"/>
                <w:highlight w:val="none"/>
                <w:lang w:val="en-US" w:eastAsia="zh-CN"/>
              </w:rPr>
              <w:t>2024年修改单</w:t>
            </w:r>
            <w:r>
              <w:rPr>
                <w:rFonts w:hint="default" w:ascii="Times New Roman" w:hAnsi="Times New Roman" w:eastAsia="宋体" w:cs="Times New Roman"/>
                <w:color w:val="auto"/>
                <w:kern w:val="0"/>
                <w:sz w:val="21"/>
                <w:szCs w:val="21"/>
                <w:highlight w:val="none"/>
                <w:lang w:val="en-US" w:eastAsia="zh-CN" w:bidi="ar"/>
              </w:rPr>
              <w:t>）</w:t>
            </w:r>
            <w:r>
              <w:rPr>
                <w:rFonts w:hint="eastAsia" w:cs="Times New Roman"/>
                <w:color w:val="auto"/>
                <w:kern w:val="0"/>
                <w:sz w:val="21"/>
                <w:szCs w:val="21"/>
                <w:highlight w:val="none"/>
                <w:lang w:val="en-US" w:eastAsia="zh-CN" w:bidi="ar"/>
              </w:rPr>
              <w:t>与</w:t>
            </w:r>
            <w:r>
              <w:rPr>
                <w:rFonts w:hint="eastAsia"/>
                <w:color w:val="auto"/>
                <w:sz w:val="21"/>
                <w:szCs w:val="21"/>
                <w:highlight w:val="none"/>
                <w:lang w:val="en-US" w:eastAsia="zh-CN"/>
              </w:rPr>
              <w:t>安徽省《固定源挥发性有机物综合排放标准第6部分：其他行业》（DB34/4812.6-2024）塑料制品工业从严执行</w:t>
            </w:r>
          </w:p>
        </w:tc>
      </w:tr>
      <w:tr w14:paraId="33E8D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Merge w:val="continue"/>
            <w:vAlign w:val="center"/>
          </w:tcPr>
          <w:p w14:paraId="306BE7E4">
            <w:pPr>
              <w:pStyle w:val="375"/>
              <w:jc w:val="center"/>
              <w:rPr>
                <w:rFonts w:hint="default" w:ascii="Times New Roman" w:hAnsi="Times New Roman" w:eastAsia="宋体" w:cs="Times New Roman"/>
                <w:color w:val="auto"/>
                <w:sz w:val="21"/>
                <w:szCs w:val="21"/>
                <w:highlight w:val="none"/>
              </w:rPr>
            </w:pPr>
          </w:p>
        </w:tc>
        <w:tc>
          <w:tcPr>
            <w:tcW w:w="1429" w:type="dxa"/>
            <w:vAlign w:val="center"/>
          </w:tcPr>
          <w:p w14:paraId="2BF79EA5">
            <w:pPr>
              <w:pStyle w:val="376"/>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无组织</w:t>
            </w:r>
          </w:p>
        </w:tc>
        <w:tc>
          <w:tcPr>
            <w:tcW w:w="1380" w:type="dxa"/>
            <w:vAlign w:val="center"/>
          </w:tcPr>
          <w:p w14:paraId="14F08BAB">
            <w:pPr>
              <w:pStyle w:val="376"/>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非甲烷总烃</w:t>
            </w:r>
          </w:p>
        </w:tc>
        <w:tc>
          <w:tcPr>
            <w:tcW w:w="2606" w:type="dxa"/>
            <w:shd w:val="clear" w:color="auto" w:fill="auto"/>
            <w:vAlign w:val="center"/>
          </w:tcPr>
          <w:p w14:paraId="05ACFC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①加强生产管理，规范操作；</w:t>
            </w:r>
          </w:p>
          <w:p w14:paraId="2DA9F5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②加强通风，使无组织排放废气排放满足相应的浓度标准</w:t>
            </w:r>
          </w:p>
        </w:tc>
        <w:tc>
          <w:tcPr>
            <w:tcW w:w="2414" w:type="dxa"/>
            <w:shd w:val="clear" w:color="auto" w:fill="auto"/>
            <w:vAlign w:val="center"/>
          </w:tcPr>
          <w:p w14:paraId="4E6568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《合成树脂工业污染物排放标准》（GB31572-2015</w:t>
            </w:r>
            <w:r>
              <w:rPr>
                <w:rFonts w:hint="eastAsia" w:ascii="Times New Roman" w:hAnsi="Times New Roman" w:cs="Times New Roman"/>
                <w:color w:val="auto"/>
                <w:sz w:val="21"/>
                <w:szCs w:val="24"/>
                <w:highlight w:val="none"/>
                <w:lang w:eastAsia="zh-CN"/>
              </w:rPr>
              <w:t>，含</w:t>
            </w:r>
            <w:r>
              <w:rPr>
                <w:rFonts w:hint="eastAsia" w:ascii="Times New Roman" w:hAnsi="Times New Roman" w:cs="Times New Roman"/>
                <w:color w:val="auto"/>
                <w:sz w:val="21"/>
                <w:szCs w:val="24"/>
                <w:highlight w:val="none"/>
                <w:lang w:val="en-US" w:eastAsia="zh-CN"/>
              </w:rPr>
              <w:t>2024年修改单</w:t>
            </w:r>
            <w:r>
              <w:rPr>
                <w:rFonts w:hint="default" w:ascii="Times New Roman" w:hAnsi="Times New Roman" w:eastAsia="宋体" w:cs="Times New Roman"/>
                <w:color w:val="auto"/>
                <w:kern w:val="0"/>
                <w:sz w:val="21"/>
                <w:szCs w:val="21"/>
                <w:highlight w:val="none"/>
                <w:lang w:val="en-US" w:eastAsia="zh-CN" w:bidi="ar"/>
              </w:rPr>
              <w:t>）</w:t>
            </w:r>
          </w:p>
        </w:tc>
      </w:tr>
      <w:tr w14:paraId="722A7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Align w:val="center"/>
          </w:tcPr>
          <w:p w14:paraId="090ED07E">
            <w:pPr>
              <w:pStyle w:val="375"/>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429" w:type="dxa"/>
            <w:vAlign w:val="center"/>
          </w:tcPr>
          <w:p w14:paraId="4F684143">
            <w:pPr>
              <w:pStyle w:val="376"/>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DW001/</w:t>
            </w:r>
            <w:r>
              <w:rPr>
                <w:rFonts w:hint="default" w:ascii="Times New Roman" w:hAnsi="Times New Roman" w:eastAsia="宋体" w:cs="Times New Roman"/>
                <w:color w:val="auto"/>
                <w:sz w:val="21"/>
                <w:szCs w:val="21"/>
                <w:highlight w:val="none"/>
                <w:lang w:eastAsia="zh-CN"/>
              </w:rPr>
              <w:t>污水总排口</w:t>
            </w:r>
          </w:p>
        </w:tc>
        <w:tc>
          <w:tcPr>
            <w:tcW w:w="1380" w:type="dxa"/>
            <w:vAlign w:val="center"/>
          </w:tcPr>
          <w:p w14:paraId="61373545">
            <w:pPr>
              <w:pStyle w:val="376"/>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COD、氨氮</w:t>
            </w:r>
          </w:p>
        </w:tc>
        <w:tc>
          <w:tcPr>
            <w:tcW w:w="2606" w:type="dxa"/>
            <w:vAlign w:val="center"/>
          </w:tcPr>
          <w:p w14:paraId="2E73B884">
            <w:pPr>
              <w:pStyle w:val="376"/>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排入宿州市循环经济示范园污水处理厂</w:t>
            </w:r>
          </w:p>
        </w:tc>
        <w:tc>
          <w:tcPr>
            <w:tcW w:w="2414" w:type="dxa"/>
            <w:vAlign w:val="center"/>
          </w:tcPr>
          <w:p w14:paraId="5284D5F4">
            <w:pPr>
              <w:pStyle w:val="375"/>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《污水综合排放标准》（GB8978-1996）中表4三级标准和</w:t>
            </w:r>
            <w:r>
              <w:rPr>
                <w:rFonts w:hint="default" w:ascii="Times New Roman" w:hAnsi="Times New Roman" w:eastAsia="宋体" w:cs="Times New Roman"/>
                <w:color w:val="auto"/>
                <w:sz w:val="21"/>
                <w:szCs w:val="21"/>
                <w:highlight w:val="none"/>
                <w:lang w:eastAsia="zh-CN"/>
              </w:rPr>
              <w:t>宿州市循环经济示范园污水处理厂</w:t>
            </w:r>
            <w:r>
              <w:rPr>
                <w:rFonts w:hint="default" w:ascii="Times New Roman" w:hAnsi="Times New Roman" w:eastAsia="宋体" w:cs="Times New Roman"/>
                <w:color w:val="auto"/>
                <w:sz w:val="21"/>
                <w:szCs w:val="21"/>
                <w:highlight w:val="none"/>
              </w:rPr>
              <w:t>接管</w:t>
            </w:r>
            <w:r>
              <w:rPr>
                <w:rFonts w:hint="default" w:ascii="Times New Roman" w:hAnsi="Times New Roman" w:eastAsia="宋体" w:cs="Times New Roman"/>
                <w:color w:val="auto"/>
                <w:sz w:val="21"/>
                <w:szCs w:val="21"/>
                <w:highlight w:val="none"/>
                <w:lang w:eastAsia="zh-CN"/>
              </w:rPr>
              <w:t>标准</w:t>
            </w:r>
          </w:p>
        </w:tc>
      </w:tr>
      <w:tr w14:paraId="7C265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Align w:val="center"/>
          </w:tcPr>
          <w:p w14:paraId="3392E3D3">
            <w:pPr>
              <w:pStyle w:val="375"/>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429" w:type="dxa"/>
            <w:vAlign w:val="center"/>
          </w:tcPr>
          <w:p w14:paraId="3583D4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w:t>
            </w:r>
          </w:p>
        </w:tc>
        <w:tc>
          <w:tcPr>
            <w:tcW w:w="1380" w:type="dxa"/>
            <w:vAlign w:val="center"/>
          </w:tcPr>
          <w:p w14:paraId="2AEBB8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2606" w:type="dxa"/>
            <w:vAlign w:val="center"/>
          </w:tcPr>
          <w:p w14:paraId="592DC0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优化设备、</w:t>
            </w:r>
            <w:r>
              <w:rPr>
                <w:rFonts w:hint="default" w:ascii="Times New Roman" w:hAnsi="Times New Roman" w:eastAsia="宋体" w:cs="Times New Roman"/>
                <w:color w:val="auto"/>
                <w:sz w:val="21"/>
                <w:szCs w:val="21"/>
                <w:highlight w:val="none"/>
                <w:lang w:val="en-US" w:eastAsia="zh-CN"/>
              </w:rPr>
              <w:t>车间屏蔽</w:t>
            </w:r>
          </w:p>
        </w:tc>
        <w:tc>
          <w:tcPr>
            <w:tcW w:w="2414" w:type="dxa"/>
            <w:vAlign w:val="center"/>
          </w:tcPr>
          <w:p w14:paraId="01A1EF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厂界噪声排放执行《工业企业厂界环境噪声排放标准》（GB12348-2008</w:t>
            </w:r>
          </w:p>
          <w:p w14:paraId="235750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）中的2类标准</w:t>
            </w:r>
          </w:p>
        </w:tc>
      </w:tr>
      <w:tr w14:paraId="61222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Align w:val="center"/>
          </w:tcPr>
          <w:p w14:paraId="4D435ABE">
            <w:pPr>
              <w:pStyle w:val="375"/>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7829" w:type="dxa"/>
            <w:gridSpan w:val="4"/>
            <w:vAlign w:val="center"/>
          </w:tcPr>
          <w:p w14:paraId="1CB01CDF">
            <w:pPr>
              <w:pStyle w:val="375"/>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r>
      <w:tr w14:paraId="5991D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71" w:type="dxa"/>
            <w:vAlign w:val="center"/>
          </w:tcPr>
          <w:p w14:paraId="2D611DBC">
            <w:pPr>
              <w:pStyle w:val="375"/>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tc>
        <w:tc>
          <w:tcPr>
            <w:tcW w:w="7829" w:type="dxa"/>
            <w:gridSpan w:val="4"/>
            <w:vAlign w:val="center"/>
          </w:tcPr>
          <w:p w14:paraId="5AAF4C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危废间，位于</w:t>
            </w:r>
            <w:r>
              <w:rPr>
                <w:rFonts w:hint="default" w:ascii="Times New Roman" w:hAnsi="Times New Roman" w:eastAsia="宋体" w:cs="Times New Roman"/>
                <w:color w:val="auto"/>
                <w:sz w:val="21"/>
                <w:szCs w:val="21"/>
                <w:highlight w:val="none"/>
                <w:lang w:val="en-US" w:eastAsia="zh-CN"/>
              </w:rPr>
              <w:t>厂区西北侧</w:t>
            </w:r>
            <w:r>
              <w:rPr>
                <w:rFonts w:hint="default" w:ascii="Times New Roman" w:hAnsi="Times New Roman" w:eastAsia="宋体" w:cs="Times New Roman"/>
                <w:color w:val="auto"/>
                <w:sz w:val="21"/>
                <w:szCs w:val="21"/>
                <w:highlight w:val="none"/>
              </w:rPr>
              <w:t>，危废暂存间的面积</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0"/>
                <w:sz w:val="21"/>
                <w:szCs w:val="21"/>
                <w:highlight w:val="none"/>
                <w:lang w:bidi="ar"/>
              </w:rPr>
              <w:t>废</w:t>
            </w:r>
            <w:r>
              <w:rPr>
                <w:rFonts w:hint="default" w:ascii="Times New Roman" w:hAnsi="Times New Roman" w:eastAsia="宋体" w:cs="Times New Roman"/>
                <w:color w:val="auto"/>
                <w:kern w:val="0"/>
                <w:sz w:val="21"/>
                <w:szCs w:val="21"/>
                <w:highlight w:val="none"/>
                <w:lang w:eastAsia="zh-CN" w:bidi="ar"/>
              </w:rPr>
              <w:t>吸附</w:t>
            </w:r>
            <w:r>
              <w:rPr>
                <w:rFonts w:hint="default" w:ascii="Times New Roman" w:hAnsi="Times New Roman" w:eastAsia="宋体" w:cs="Times New Roman"/>
                <w:color w:val="auto"/>
                <w:kern w:val="0"/>
                <w:sz w:val="21"/>
                <w:szCs w:val="21"/>
                <w:highlight w:val="none"/>
                <w:lang w:bidi="ar"/>
              </w:rPr>
              <w:t>活性炭、</w:t>
            </w:r>
            <w:r>
              <w:rPr>
                <w:rFonts w:hint="default" w:ascii="Times New Roman" w:hAnsi="Times New Roman" w:eastAsia="宋体" w:cs="Times New Roman"/>
                <w:color w:val="auto"/>
                <w:kern w:val="0"/>
                <w:sz w:val="21"/>
                <w:szCs w:val="21"/>
                <w:highlight w:val="none"/>
                <w:lang w:eastAsia="zh-CN" w:bidi="ar"/>
              </w:rPr>
              <w:t>废机油、废机油桶和废含油抹布</w:t>
            </w:r>
            <w:r>
              <w:rPr>
                <w:rFonts w:hint="default" w:ascii="Times New Roman" w:hAnsi="Times New Roman" w:eastAsia="宋体" w:cs="Times New Roman"/>
                <w:color w:val="auto"/>
                <w:sz w:val="21"/>
                <w:szCs w:val="21"/>
                <w:highlight w:val="none"/>
              </w:rPr>
              <w:t>贮存在危废</w:t>
            </w:r>
            <w:r>
              <w:rPr>
                <w:rFonts w:hint="default" w:ascii="Times New Roman" w:hAnsi="Times New Roman" w:eastAsia="宋体" w:cs="Times New Roman"/>
                <w:color w:val="auto"/>
                <w:sz w:val="21"/>
                <w:szCs w:val="21"/>
                <w:highlight w:val="none"/>
                <w:lang w:eastAsia="zh-CN"/>
              </w:rPr>
              <w:t>间</w:t>
            </w:r>
            <w:r>
              <w:rPr>
                <w:rFonts w:hint="default" w:ascii="Times New Roman" w:hAnsi="Times New Roman" w:eastAsia="宋体" w:cs="Times New Roman"/>
                <w:color w:val="auto"/>
                <w:sz w:val="21"/>
                <w:szCs w:val="21"/>
                <w:highlight w:val="none"/>
              </w:rPr>
              <w:t>，委托有资质单位进行处置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0"/>
                <w:sz w:val="21"/>
                <w:szCs w:val="21"/>
                <w:highlight w:val="none"/>
                <w:lang w:bidi="ar"/>
              </w:rPr>
              <w:t>生活垃圾、废布袋</w:t>
            </w:r>
            <w:r>
              <w:rPr>
                <w:rFonts w:hint="default" w:ascii="Times New Roman" w:hAnsi="Times New Roman" w:eastAsia="宋体" w:cs="Times New Roman"/>
                <w:color w:val="auto"/>
                <w:kern w:val="0"/>
                <w:sz w:val="21"/>
                <w:szCs w:val="21"/>
                <w:highlight w:val="none"/>
                <w:lang w:eastAsia="zh-CN" w:bidi="ar"/>
              </w:rPr>
              <w:t>、</w:t>
            </w:r>
            <w:r>
              <w:rPr>
                <w:rFonts w:hint="default" w:ascii="Times New Roman" w:hAnsi="Times New Roman" w:eastAsia="宋体" w:cs="Times New Roman"/>
                <w:color w:val="auto"/>
                <w:kern w:val="0"/>
                <w:sz w:val="21"/>
                <w:szCs w:val="21"/>
                <w:highlight w:val="none"/>
                <w:lang w:bidi="ar"/>
              </w:rPr>
              <w:t>废石英砂</w:t>
            </w:r>
            <w:r>
              <w:rPr>
                <w:rFonts w:hint="eastAsia" w:cs="Times New Roman"/>
                <w:color w:val="auto"/>
                <w:kern w:val="0"/>
                <w:sz w:val="21"/>
                <w:szCs w:val="21"/>
                <w:highlight w:val="none"/>
                <w:lang w:eastAsia="zh-CN" w:bidi="ar"/>
              </w:rPr>
              <w:t>、</w:t>
            </w:r>
            <w:r>
              <w:rPr>
                <w:rFonts w:hint="default" w:ascii="Times New Roman" w:hAnsi="Times New Roman" w:eastAsia="宋体" w:cs="Times New Roman"/>
                <w:color w:val="auto"/>
                <w:kern w:val="0"/>
                <w:sz w:val="21"/>
                <w:szCs w:val="21"/>
                <w:highlight w:val="none"/>
                <w:lang w:eastAsia="zh-CN" w:bidi="ar"/>
              </w:rPr>
              <w:t>废包装材料</w:t>
            </w:r>
            <w:r>
              <w:rPr>
                <w:rFonts w:hint="eastAsia" w:cs="Times New Roman"/>
                <w:color w:val="auto"/>
                <w:kern w:val="0"/>
                <w:sz w:val="21"/>
                <w:szCs w:val="21"/>
                <w:highlight w:val="none"/>
                <w:lang w:eastAsia="zh-CN" w:bidi="ar"/>
              </w:rPr>
              <w:t>和废灯管</w:t>
            </w:r>
            <w:r>
              <w:rPr>
                <w:rFonts w:hint="default" w:ascii="Times New Roman" w:hAnsi="Times New Roman" w:eastAsia="宋体" w:cs="Times New Roman"/>
                <w:color w:val="auto"/>
                <w:kern w:val="0"/>
                <w:sz w:val="21"/>
                <w:szCs w:val="21"/>
                <w:highlight w:val="none"/>
                <w:lang w:bidi="ar"/>
              </w:rPr>
              <w:t>统一收集后由环卫部门统一清理，废活性炭</w:t>
            </w:r>
            <w:r>
              <w:rPr>
                <w:rFonts w:hint="default" w:ascii="Times New Roman" w:hAnsi="Times New Roman" w:eastAsia="宋体" w:cs="Times New Roman"/>
                <w:color w:val="auto"/>
                <w:kern w:val="0"/>
                <w:sz w:val="21"/>
                <w:szCs w:val="21"/>
                <w:highlight w:val="none"/>
                <w:lang w:eastAsia="zh-CN" w:bidi="ar"/>
              </w:rPr>
              <w:t>、</w:t>
            </w:r>
            <w:r>
              <w:rPr>
                <w:rFonts w:hint="default" w:ascii="Times New Roman" w:hAnsi="Times New Roman" w:eastAsia="宋体" w:cs="Times New Roman"/>
                <w:color w:val="auto"/>
                <w:kern w:val="0"/>
                <w:sz w:val="21"/>
                <w:szCs w:val="21"/>
                <w:highlight w:val="none"/>
                <w:lang w:bidi="ar"/>
              </w:rPr>
              <w:t>废滤芯</w:t>
            </w:r>
            <w:r>
              <w:rPr>
                <w:rFonts w:hint="default" w:ascii="Times New Roman" w:hAnsi="Times New Roman" w:eastAsia="宋体" w:cs="Times New Roman"/>
                <w:color w:val="auto"/>
                <w:kern w:val="0"/>
                <w:sz w:val="21"/>
                <w:szCs w:val="21"/>
                <w:highlight w:val="none"/>
                <w:lang w:eastAsia="zh-CN" w:bidi="ar"/>
              </w:rPr>
              <w:t>、</w:t>
            </w:r>
            <w:r>
              <w:rPr>
                <w:rFonts w:hint="default" w:ascii="Times New Roman" w:hAnsi="Times New Roman" w:eastAsia="宋体" w:cs="Times New Roman"/>
                <w:color w:val="auto"/>
                <w:kern w:val="0"/>
                <w:sz w:val="21"/>
                <w:szCs w:val="21"/>
                <w:highlight w:val="none"/>
                <w:lang w:bidi="ar"/>
              </w:rPr>
              <w:t>废纳滤膜</w:t>
            </w:r>
            <w:r>
              <w:rPr>
                <w:rFonts w:hint="default" w:ascii="Times New Roman" w:hAnsi="Times New Roman" w:eastAsia="宋体" w:cs="Times New Roman"/>
                <w:color w:val="auto"/>
                <w:kern w:val="0"/>
                <w:sz w:val="21"/>
                <w:szCs w:val="21"/>
                <w:highlight w:val="none"/>
                <w:lang w:eastAsia="zh-CN" w:bidi="ar"/>
              </w:rPr>
              <w:t>、</w:t>
            </w:r>
            <w:r>
              <w:rPr>
                <w:rFonts w:hint="default" w:ascii="Times New Roman" w:hAnsi="Times New Roman" w:eastAsia="宋体" w:cs="Times New Roman"/>
                <w:color w:val="auto"/>
                <w:kern w:val="0"/>
                <w:sz w:val="21"/>
                <w:szCs w:val="21"/>
                <w:highlight w:val="none"/>
                <w:lang w:bidi="ar"/>
              </w:rPr>
              <w:t>废反渗透</w:t>
            </w:r>
            <w:r>
              <w:rPr>
                <w:rFonts w:hint="default" w:ascii="Times New Roman" w:hAnsi="Times New Roman" w:eastAsia="宋体" w:cs="Times New Roman"/>
                <w:color w:val="auto"/>
                <w:kern w:val="0"/>
                <w:sz w:val="21"/>
                <w:szCs w:val="21"/>
                <w:highlight w:val="none"/>
                <w:lang w:eastAsia="zh-CN" w:bidi="ar"/>
              </w:rPr>
              <w:t>膜收集后交由厂家回收处置，</w:t>
            </w:r>
            <w:r>
              <w:rPr>
                <w:rFonts w:hint="default" w:ascii="Times New Roman" w:hAnsi="Times New Roman" w:eastAsia="宋体" w:cs="Times New Roman"/>
                <w:color w:val="auto"/>
                <w:kern w:val="0"/>
                <w:sz w:val="21"/>
                <w:szCs w:val="21"/>
                <w:highlight w:val="none"/>
                <w:lang w:bidi="ar"/>
              </w:rPr>
              <w:t>废瓶/桶/盖外售处置</w:t>
            </w:r>
            <w:r>
              <w:rPr>
                <w:rFonts w:hint="default" w:ascii="Times New Roman" w:hAnsi="Times New Roman" w:eastAsia="宋体" w:cs="Times New Roman"/>
                <w:color w:val="auto"/>
                <w:sz w:val="21"/>
                <w:szCs w:val="21"/>
                <w:highlight w:val="none"/>
                <w:lang w:eastAsia="zh-CN"/>
              </w:rPr>
              <w:t>。</w:t>
            </w:r>
          </w:p>
        </w:tc>
      </w:tr>
      <w:tr w14:paraId="04337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71" w:type="dxa"/>
            <w:vAlign w:val="center"/>
          </w:tcPr>
          <w:p w14:paraId="06BF2B9D">
            <w:pPr>
              <w:pStyle w:val="375"/>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w:t>
            </w:r>
          </w:p>
          <w:p w14:paraId="6BC8EF98">
            <w:pPr>
              <w:pStyle w:val="375"/>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污染防治措施</w:t>
            </w:r>
          </w:p>
        </w:tc>
        <w:tc>
          <w:tcPr>
            <w:tcW w:w="7829" w:type="dxa"/>
            <w:gridSpan w:val="4"/>
            <w:vAlign w:val="center"/>
          </w:tcPr>
          <w:p w14:paraId="5C4DC4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建设项目厂区应划分为重点防渗区和一般防渗区，不同的污染物区，采取不同等级的防渗措施，并确保其可靠性和有效性。</w:t>
            </w:r>
            <w:r>
              <w:rPr>
                <w:rFonts w:hint="default" w:ascii="Times New Roman" w:hAnsi="Times New Roman" w:eastAsia="宋体" w:cs="Times New Roman"/>
                <w:color w:val="auto"/>
                <w:sz w:val="21"/>
                <w:szCs w:val="21"/>
                <w:highlight w:val="none"/>
                <w:lang w:val="en-US" w:eastAsia="zh-CN"/>
              </w:rPr>
              <w:t>危废间</w:t>
            </w:r>
            <w:r>
              <w:rPr>
                <w:rFonts w:hint="default" w:ascii="Times New Roman" w:hAnsi="Times New Roman" w:eastAsia="宋体" w:cs="Times New Roman"/>
                <w:color w:val="auto"/>
                <w:sz w:val="21"/>
                <w:szCs w:val="21"/>
                <w:highlight w:val="none"/>
              </w:rPr>
              <w:t>做重点防渗；其他区域为一般防渗区。一般污染区的防渗设计应满足《一般工业固体废物贮存和填埋污染控制标准》（GB18599-2020）中的有关规定，重点及特殊污染区的防渗设计应满足《危险废物填埋污染控制标准》（GBl8598-2023）。</w:t>
            </w:r>
          </w:p>
        </w:tc>
      </w:tr>
      <w:tr w14:paraId="5ACB1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1" w:type="dxa"/>
            <w:vAlign w:val="center"/>
          </w:tcPr>
          <w:p w14:paraId="38623730">
            <w:pPr>
              <w:pStyle w:val="375"/>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7829" w:type="dxa"/>
            <w:gridSpan w:val="4"/>
            <w:vAlign w:val="center"/>
          </w:tcPr>
          <w:p w14:paraId="1883200B">
            <w:pPr>
              <w:pStyle w:val="375"/>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r>
      <w:tr w14:paraId="408CF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71" w:type="dxa"/>
            <w:vAlign w:val="center"/>
          </w:tcPr>
          <w:p w14:paraId="1EA78ED1">
            <w:pPr>
              <w:pStyle w:val="375"/>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环境风险防范措施</w:t>
            </w:r>
          </w:p>
        </w:tc>
        <w:tc>
          <w:tcPr>
            <w:tcW w:w="7829" w:type="dxa"/>
            <w:gridSpan w:val="4"/>
            <w:vAlign w:val="center"/>
          </w:tcPr>
          <w:p w14:paraId="3D5BB18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危废间</w:t>
            </w:r>
            <w:r>
              <w:rPr>
                <w:rFonts w:hint="default" w:ascii="Times New Roman" w:hAnsi="Times New Roman" w:eastAsia="宋体" w:cs="Times New Roman"/>
                <w:color w:val="auto"/>
                <w:sz w:val="21"/>
                <w:szCs w:val="21"/>
                <w:highlight w:val="none"/>
              </w:rPr>
              <w:t>做重点防渗；其他区域为一般防渗区；</w:t>
            </w:r>
          </w:p>
          <w:p w14:paraId="12A8C3E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2、完善消防设施；</w:t>
            </w:r>
          </w:p>
          <w:p w14:paraId="70AED5B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加强管理</w:t>
            </w:r>
            <w:r>
              <w:rPr>
                <w:rFonts w:hint="default" w:ascii="Times New Roman" w:hAnsi="Times New Roman" w:eastAsia="宋体" w:cs="Times New Roman"/>
                <w:color w:val="auto"/>
                <w:sz w:val="21"/>
                <w:szCs w:val="21"/>
                <w:highlight w:val="none"/>
                <w:lang w:eastAsia="zh-CN"/>
              </w:rPr>
              <w:t>。</w:t>
            </w:r>
          </w:p>
        </w:tc>
      </w:tr>
      <w:tr w14:paraId="0E5C9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71" w:type="dxa"/>
            <w:vAlign w:val="center"/>
          </w:tcPr>
          <w:p w14:paraId="1EFDA725">
            <w:pPr>
              <w:pStyle w:val="375"/>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其他环境管理要求</w:t>
            </w:r>
          </w:p>
        </w:tc>
        <w:tc>
          <w:tcPr>
            <w:tcW w:w="7829" w:type="dxa"/>
            <w:gridSpan w:val="4"/>
            <w:vAlign w:val="center"/>
          </w:tcPr>
          <w:p w14:paraId="388CECB9">
            <w:pPr>
              <w:bidi w:val="0"/>
              <w:spacing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项目在生产运行过程中为保证环境管理系统的有效运行应制定环境管理方案，环境管理方案主要包括下列内容：</w:t>
            </w:r>
          </w:p>
          <w:p w14:paraId="21521ECD">
            <w:pPr>
              <w:bidi w:val="0"/>
              <w:spacing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（1）组织贯彻国家及地方的有关环保方针、政策法令和条例，搞好环境教育和技术培训，提高公司职工的环保意识和技术水平，提高污染控制的责任心。</w:t>
            </w:r>
          </w:p>
          <w:p w14:paraId="2858157E">
            <w:pPr>
              <w:bidi w:val="0"/>
              <w:spacing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（2）制定并实施公司环境保护工作的长期规划及年度污染治理计划；定期检查环保设施的运行状况及对设备的维修与管理，严格控制“三废”的排放。</w:t>
            </w:r>
          </w:p>
          <w:p w14:paraId="3A816C53">
            <w:pPr>
              <w:bidi w:val="0"/>
              <w:spacing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（3）掌握公司内部污染物排放状况，编制公司内部环境状况报告。</w:t>
            </w:r>
          </w:p>
          <w:p w14:paraId="28255002">
            <w:pPr>
              <w:bidi w:val="0"/>
              <w:spacing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（4）组织环境监测，检查公司环境状况，并及时将环境监测信息向环保部门通报。</w:t>
            </w:r>
          </w:p>
          <w:p w14:paraId="65388C9B">
            <w:pPr>
              <w:bidi w:val="0"/>
              <w:spacing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（5）建立污染突发事故分类分级档案和处理制度。</w:t>
            </w:r>
          </w:p>
          <w:p w14:paraId="2E80CAF2">
            <w:pPr>
              <w:bidi w:val="0"/>
              <w:spacing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（6）严格落实“三同时”制度及竣工环保验收。</w:t>
            </w:r>
          </w:p>
        </w:tc>
      </w:tr>
    </w:tbl>
    <w:p w14:paraId="143EC167">
      <w:pPr>
        <w:pStyle w:val="35"/>
        <w:jc w:val="center"/>
        <w:outlineLvl w:val="0"/>
        <w:rPr>
          <w:rFonts w:ascii="Times New Roman" w:hAnsi="Times New Roman"/>
          <w:snapToGrid w:val="0"/>
          <w:color w:val="auto"/>
          <w:sz w:val="30"/>
          <w:szCs w:val="30"/>
          <w:highlight w:val="none"/>
        </w:rPr>
      </w:pPr>
      <w:r>
        <w:rPr>
          <w:rFonts w:ascii="Times New Roman" w:hAnsi="Times New Roman"/>
          <w:snapToGrid w:val="0"/>
          <w:color w:val="auto"/>
          <w:highlight w:val="none"/>
        </w:rPr>
        <w:br w:type="page"/>
      </w:r>
      <w:r>
        <w:rPr>
          <w:rFonts w:ascii="Times New Roman" w:hAnsi="Times New Roman"/>
          <w:b/>
          <w:snapToGrid w:val="0"/>
          <w:color w:val="auto"/>
          <w:sz w:val="30"/>
          <w:szCs w:val="30"/>
          <w:highlight w:val="none"/>
        </w:rPr>
        <w:t>六、结论</w:t>
      </w:r>
    </w:p>
    <w:tbl>
      <w:tblPr>
        <w:tblStyle w:val="39"/>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865"/>
      </w:tblGrid>
      <w:tr w14:paraId="6CFA43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368" w:hRule="atLeast"/>
          <w:jc w:val="center"/>
        </w:trPr>
        <w:tc>
          <w:tcPr>
            <w:tcW w:w="8865" w:type="dxa"/>
            <w:vAlign w:val="center"/>
          </w:tcPr>
          <w:p w14:paraId="69CBBCFD">
            <w:pPr>
              <w:ind w:firstLine="201" w:firstLineChars="200"/>
              <w:jc w:val="center"/>
              <w:rPr>
                <w:b/>
                <w:bCs/>
                <w:color w:val="auto"/>
                <w:sz w:val="10"/>
                <w:szCs w:val="10"/>
                <w:highlight w:val="none"/>
              </w:rPr>
            </w:pPr>
          </w:p>
          <w:p w14:paraId="2E8854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b w:val="0"/>
                <w:bCs w:val="0"/>
                <w:color w:val="auto"/>
                <w:sz w:val="24"/>
                <w:szCs w:val="32"/>
                <w:highlight w:val="none"/>
              </w:rPr>
            </w:pPr>
            <w:r>
              <w:rPr>
                <w:rFonts w:hint="eastAsia"/>
                <w:b w:val="0"/>
                <w:bCs w:val="0"/>
                <w:color w:val="auto"/>
                <w:sz w:val="24"/>
                <w:szCs w:val="32"/>
                <w:highlight w:val="none"/>
              </w:rPr>
              <w:t>综上所述，本项目建设符合国家和地方产业政策，选址合理，区域环境质量现状良好，项目在落实环评中的污染防治措施后，各项污染物可以达标排放，对环境的影响较小，不会造成区域环境功能的改变，从环境</w:t>
            </w:r>
            <w:r>
              <w:rPr>
                <w:rFonts w:hint="eastAsia"/>
                <w:b w:val="0"/>
                <w:bCs w:val="0"/>
                <w:color w:val="auto"/>
                <w:sz w:val="24"/>
                <w:szCs w:val="32"/>
                <w:highlight w:val="none"/>
                <w:lang w:eastAsia="zh-CN"/>
              </w:rPr>
              <w:t>影响</w:t>
            </w:r>
            <w:r>
              <w:rPr>
                <w:rFonts w:hint="eastAsia"/>
                <w:b w:val="0"/>
                <w:bCs w:val="0"/>
                <w:color w:val="auto"/>
                <w:sz w:val="24"/>
                <w:szCs w:val="32"/>
                <w:highlight w:val="none"/>
              </w:rPr>
              <w:t>角度分析，本项目的建设是可行的。</w:t>
            </w:r>
          </w:p>
          <w:p w14:paraId="3EE5C255">
            <w:pPr>
              <w:spacing w:line="355" w:lineRule="auto"/>
              <w:ind w:firstLine="480" w:firstLineChars="200"/>
              <w:jc w:val="center"/>
              <w:rPr>
                <w:color w:val="auto"/>
                <w:sz w:val="24"/>
                <w:highlight w:val="none"/>
              </w:rPr>
            </w:pPr>
          </w:p>
        </w:tc>
      </w:tr>
    </w:tbl>
    <w:p w14:paraId="4F778F25">
      <w:pPr>
        <w:rPr>
          <w:color w:val="auto"/>
          <w:highlight w:val="none"/>
        </w:rPr>
        <w:sectPr>
          <w:pgSz w:w="11906" w:h="16838"/>
          <w:pgMar w:top="1418" w:right="1134" w:bottom="1418" w:left="1247" w:header="851" w:footer="851" w:gutter="0"/>
          <w:cols w:space="720" w:num="1"/>
          <w:docGrid w:linePitch="312" w:charSpace="0"/>
        </w:sectPr>
      </w:pPr>
    </w:p>
    <w:p w14:paraId="2020E621">
      <w:pPr>
        <w:pStyle w:val="35"/>
        <w:adjustRightInd w:val="0"/>
        <w:snapToGrid w:val="0"/>
        <w:spacing w:before="0" w:beforeAutospacing="0" w:after="0" w:afterAutospacing="0" w:line="360" w:lineRule="auto"/>
        <w:outlineLvl w:val="0"/>
        <w:rPr>
          <w:rFonts w:ascii="Times New Roman" w:hAnsi="Times New Roman"/>
          <w:snapToGrid w:val="0"/>
          <w:color w:val="auto"/>
          <w:sz w:val="32"/>
          <w:szCs w:val="32"/>
          <w:highlight w:val="none"/>
        </w:rPr>
      </w:pPr>
      <w:r>
        <w:rPr>
          <w:rFonts w:ascii="Times New Roman" w:hAnsi="Times New Roman"/>
          <w:snapToGrid w:val="0"/>
          <w:color w:val="auto"/>
          <w:sz w:val="32"/>
          <w:szCs w:val="32"/>
          <w:highlight w:val="none"/>
        </w:rPr>
        <w:t>附表</w:t>
      </w:r>
    </w:p>
    <w:p w14:paraId="633D8564">
      <w:pPr>
        <w:pStyle w:val="35"/>
        <w:adjustRightInd w:val="0"/>
        <w:snapToGrid w:val="0"/>
        <w:spacing w:before="0" w:beforeAutospacing="0" w:after="0" w:afterAutospacing="0" w:line="360" w:lineRule="auto"/>
        <w:jc w:val="center"/>
        <w:outlineLvl w:val="0"/>
        <w:rPr>
          <w:rFonts w:ascii="Times New Roman" w:hAnsi="Times New Roman"/>
          <w:snapToGrid w:val="0"/>
          <w:color w:val="auto"/>
          <w:sz w:val="38"/>
          <w:szCs w:val="38"/>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495935</wp:posOffset>
                </wp:positionV>
                <wp:extent cx="671195" cy="619125"/>
                <wp:effectExtent l="3175" t="3810" r="11430" b="5715"/>
                <wp:wrapNone/>
                <wp:docPr id="1" name="直线 259"/>
                <wp:cNvGraphicFramePr/>
                <a:graphic xmlns:a="http://schemas.openxmlformats.org/drawingml/2006/main">
                  <a:graphicData uri="http://schemas.microsoft.com/office/word/2010/wordprocessingShape">
                    <wps:wsp>
                      <wps:cNvCnPr/>
                      <wps:spPr>
                        <a:xfrm flipH="1" flipV="1">
                          <a:off x="0" y="0"/>
                          <a:ext cx="742950" cy="6191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59" o:spid="_x0000_s1026" o:spt="20" style="position:absolute;left:0pt;flip:x y;margin-left:-2.4pt;margin-top:39.05pt;height:48.75pt;width:52.85pt;z-index:251659264;mso-width-relative:page;mso-height-relative:page;" filled="f" stroked="t" coordsize="21600,21600" o:gfxdata="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DK8g9QAAAAJAQAADwAAAAAAAAABACAAAAAiAAAAZHJzL2Rvd25yZXYueG1sUEsBAhQAFAAA&#10;AAgAh07iQK80FJjzAQAA9wMAAA4AAAAAAAAAAQAgAAAAIwEAAGRycy9lMm9Eb2MueG1sUEsFBgAA&#10;AAAGAAYAWQEAAIgFAAAAAA==&#10;">
                <v:fill on="f" focussize="0,0"/>
                <v:stroke color="#000000" joinstyle="round"/>
                <v:imagedata o:title=""/>
                <o:lock v:ext="edit" aspectratio="f"/>
              </v:line>
            </w:pict>
          </mc:Fallback>
        </mc:AlternateContent>
      </w:r>
      <w:r>
        <w:rPr>
          <w:rFonts w:ascii="Times New Roman" w:hAnsi="Times New Roman"/>
          <w:snapToGrid w:val="0"/>
          <w:color w:val="auto"/>
          <w:sz w:val="38"/>
          <w:szCs w:val="38"/>
          <w:highlight w:val="none"/>
        </w:rPr>
        <w:t>建设项目污染物排放量汇总表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835"/>
        <w:gridCol w:w="1417"/>
        <w:gridCol w:w="1418"/>
        <w:gridCol w:w="1559"/>
        <w:gridCol w:w="1417"/>
        <w:gridCol w:w="1336"/>
        <w:gridCol w:w="1640"/>
        <w:gridCol w:w="1145"/>
      </w:tblGrid>
      <w:tr w14:paraId="606A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trPr>
        <w:tc>
          <w:tcPr>
            <w:tcW w:w="1021" w:type="dxa"/>
            <w:tcMar>
              <w:left w:w="28" w:type="dxa"/>
              <w:right w:w="28" w:type="dxa"/>
            </w:tcMar>
            <w:vAlign w:val="center"/>
          </w:tcPr>
          <w:p w14:paraId="7394C71A">
            <w:pPr>
              <w:bidi w:val="0"/>
              <w:jc w:val="center"/>
              <w:rPr>
                <w:color w:val="auto"/>
                <w:highlight w:val="none"/>
              </w:rPr>
            </w:pPr>
            <w:r>
              <w:rPr>
                <w:color w:val="auto"/>
                <w:highlight w:val="none"/>
              </w:rPr>
              <w:t>项目</w:t>
            </w:r>
          </w:p>
          <w:p w14:paraId="68060156">
            <w:pPr>
              <w:bidi w:val="0"/>
              <w:jc w:val="center"/>
              <w:rPr>
                <w:color w:val="auto"/>
                <w:highlight w:val="none"/>
              </w:rPr>
            </w:pPr>
            <w:r>
              <w:rPr>
                <w:color w:val="auto"/>
                <w:highlight w:val="none"/>
              </w:rPr>
              <w:t>分类</w:t>
            </w:r>
          </w:p>
        </w:tc>
        <w:tc>
          <w:tcPr>
            <w:tcW w:w="2835" w:type="dxa"/>
            <w:tcMar>
              <w:left w:w="28" w:type="dxa"/>
              <w:right w:w="28" w:type="dxa"/>
            </w:tcMar>
            <w:vAlign w:val="center"/>
          </w:tcPr>
          <w:p w14:paraId="0EFC4164">
            <w:pPr>
              <w:bidi w:val="0"/>
              <w:jc w:val="center"/>
              <w:rPr>
                <w:color w:val="auto"/>
                <w:highlight w:val="none"/>
              </w:rPr>
            </w:pPr>
            <w:r>
              <w:rPr>
                <w:color w:val="auto"/>
                <w:highlight w:val="none"/>
              </w:rPr>
              <w:t>污染物名称</w:t>
            </w:r>
          </w:p>
        </w:tc>
        <w:tc>
          <w:tcPr>
            <w:tcW w:w="1417" w:type="dxa"/>
            <w:tcMar>
              <w:left w:w="28" w:type="dxa"/>
              <w:right w:w="28" w:type="dxa"/>
            </w:tcMar>
            <w:vAlign w:val="center"/>
          </w:tcPr>
          <w:p w14:paraId="7F5D0778">
            <w:pPr>
              <w:bidi w:val="0"/>
              <w:jc w:val="center"/>
              <w:rPr>
                <w:color w:val="auto"/>
                <w:highlight w:val="none"/>
              </w:rPr>
            </w:pPr>
            <w:r>
              <w:rPr>
                <w:color w:val="auto"/>
                <w:highlight w:val="none"/>
              </w:rPr>
              <w:t>现有工程</w:t>
            </w:r>
          </w:p>
          <w:p w14:paraId="1C96436C">
            <w:pPr>
              <w:bidi w:val="0"/>
              <w:jc w:val="center"/>
              <w:rPr>
                <w:color w:val="auto"/>
                <w:highlight w:val="none"/>
              </w:rPr>
            </w:pPr>
            <w:r>
              <w:rPr>
                <w:color w:val="auto"/>
                <w:highlight w:val="none"/>
              </w:rPr>
              <w:t>排放量（固体废物产生量）</w:t>
            </w:r>
            <w:r>
              <w:rPr>
                <w:color w:val="auto"/>
                <w:highlight w:val="none"/>
              </w:rPr>
              <w:fldChar w:fldCharType="begin"/>
            </w:r>
            <w:r>
              <w:rPr>
                <w:color w:val="auto"/>
                <w:highlight w:val="none"/>
              </w:rPr>
              <w:instrText xml:space="preserve"> = 1 \* GB3 \* MERGEFORMAT </w:instrText>
            </w:r>
            <w:r>
              <w:rPr>
                <w:color w:val="auto"/>
                <w:highlight w:val="none"/>
              </w:rPr>
              <w:fldChar w:fldCharType="separate"/>
            </w:r>
            <w:r>
              <w:rPr>
                <w:color w:val="auto"/>
                <w:highlight w:val="none"/>
              </w:rPr>
              <w:t>①</w:t>
            </w:r>
            <w:r>
              <w:rPr>
                <w:color w:val="auto"/>
                <w:highlight w:val="none"/>
              </w:rPr>
              <w:fldChar w:fldCharType="end"/>
            </w:r>
          </w:p>
        </w:tc>
        <w:tc>
          <w:tcPr>
            <w:tcW w:w="1418" w:type="dxa"/>
            <w:tcMar>
              <w:left w:w="28" w:type="dxa"/>
              <w:right w:w="28" w:type="dxa"/>
            </w:tcMar>
            <w:vAlign w:val="center"/>
          </w:tcPr>
          <w:p w14:paraId="49BFD6E5">
            <w:pPr>
              <w:bidi w:val="0"/>
              <w:jc w:val="center"/>
              <w:rPr>
                <w:color w:val="auto"/>
                <w:highlight w:val="none"/>
              </w:rPr>
            </w:pPr>
            <w:r>
              <w:rPr>
                <w:color w:val="auto"/>
                <w:highlight w:val="none"/>
              </w:rPr>
              <w:t>现有工程</w:t>
            </w:r>
          </w:p>
          <w:p w14:paraId="40B1B329">
            <w:pPr>
              <w:bidi w:val="0"/>
              <w:jc w:val="center"/>
              <w:rPr>
                <w:color w:val="auto"/>
                <w:highlight w:val="none"/>
              </w:rPr>
            </w:pPr>
            <w:r>
              <w:rPr>
                <w:color w:val="auto"/>
                <w:highlight w:val="none"/>
              </w:rPr>
              <w:t>许可排放量</w:t>
            </w:r>
          </w:p>
          <w:p w14:paraId="54C37B22">
            <w:pPr>
              <w:bidi w:val="0"/>
              <w:jc w:val="center"/>
              <w:rPr>
                <w:color w:val="auto"/>
                <w:highlight w:val="none"/>
              </w:rPr>
            </w:pPr>
            <w:r>
              <w:rPr>
                <w:color w:val="auto"/>
                <w:highlight w:val="none"/>
              </w:rPr>
              <w:fldChar w:fldCharType="begin"/>
            </w:r>
            <w:r>
              <w:rPr>
                <w:color w:val="auto"/>
                <w:highlight w:val="none"/>
              </w:rPr>
              <w:instrText xml:space="preserve"> = 2 \* GB3 \* MERGEFORMAT </w:instrText>
            </w:r>
            <w:r>
              <w:rPr>
                <w:color w:val="auto"/>
                <w:highlight w:val="none"/>
              </w:rPr>
              <w:fldChar w:fldCharType="separate"/>
            </w:r>
            <w:r>
              <w:rPr>
                <w:color w:val="auto"/>
                <w:highlight w:val="none"/>
              </w:rPr>
              <w:t>②</w:t>
            </w:r>
            <w:r>
              <w:rPr>
                <w:color w:val="auto"/>
                <w:highlight w:val="none"/>
              </w:rPr>
              <w:fldChar w:fldCharType="end"/>
            </w:r>
          </w:p>
        </w:tc>
        <w:tc>
          <w:tcPr>
            <w:tcW w:w="1559" w:type="dxa"/>
            <w:tcMar>
              <w:left w:w="28" w:type="dxa"/>
              <w:right w:w="28" w:type="dxa"/>
            </w:tcMar>
            <w:vAlign w:val="center"/>
          </w:tcPr>
          <w:p w14:paraId="56582B27">
            <w:pPr>
              <w:bidi w:val="0"/>
              <w:jc w:val="center"/>
              <w:rPr>
                <w:color w:val="auto"/>
                <w:highlight w:val="none"/>
              </w:rPr>
            </w:pPr>
            <w:r>
              <w:rPr>
                <w:color w:val="auto"/>
                <w:highlight w:val="none"/>
              </w:rPr>
              <w:t>在建工程</w:t>
            </w:r>
          </w:p>
          <w:p w14:paraId="0567BCF7">
            <w:pPr>
              <w:bidi w:val="0"/>
              <w:jc w:val="center"/>
              <w:rPr>
                <w:color w:val="auto"/>
                <w:highlight w:val="none"/>
              </w:rPr>
            </w:pPr>
            <w:r>
              <w:rPr>
                <w:color w:val="auto"/>
                <w:highlight w:val="none"/>
              </w:rPr>
              <w:t>排放量（固体废物产生量）</w:t>
            </w:r>
            <w:r>
              <w:rPr>
                <w:color w:val="auto"/>
                <w:highlight w:val="none"/>
              </w:rPr>
              <w:fldChar w:fldCharType="begin"/>
            </w:r>
            <w:r>
              <w:rPr>
                <w:color w:val="auto"/>
                <w:highlight w:val="none"/>
              </w:rPr>
              <w:instrText xml:space="preserve"> = 3 \* GB3 \* MERGEFORMAT </w:instrText>
            </w:r>
            <w:r>
              <w:rPr>
                <w:color w:val="auto"/>
                <w:highlight w:val="none"/>
              </w:rPr>
              <w:fldChar w:fldCharType="separate"/>
            </w:r>
            <w:r>
              <w:rPr>
                <w:color w:val="auto"/>
                <w:highlight w:val="none"/>
              </w:rPr>
              <w:t>③</w:t>
            </w:r>
            <w:r>
              <w:rPr>
                <w:color w:val="auto"/>
                <w:highlight w:val="none"/>
              </w:rPr>
              <w:fldChar w:fldCharType="end"/>
            </w:r>
          </w:p>
        </w:tc>
        <w:tc>
          <w:tcPr>
            <w:tcW w:w="1417" w:type="dxa"/>
            <w:tcMar>
              <w:left w:w="28" w:type="dxa"/>
              <w:right w:w="28" w:type="dxa"/>
            </w:tcMar>
            <w:vAlign w:val="center"/>
          </w:tcPr>
          <w:p w14:paraId="6E0B6DA1">
            <w:pPr>
              <w:bidi w:val="0"/>
              <w:jc w:val="center"/>
              <w:rPr>
                <w:color w:val="auto"/>
                <w:highlight w:val="none"/>
              </w:rPr>
            </w:pPr>
            <w:r>
              <w:rPr>
                <w:color w:val="auto"/>
                <w:highlight w:val="none"/>
              </w:rPr>
              <w:t>本项目</w:t>
            </w:r>
          </w:p>
          <w:p w14:paraId="2872466C">
            <w:pPr>
              <w:bidi w:val="0"/>
              <w:jc w:val="center"/>
              <w:rPr>
                <w:color w:val="auto"/>
                <w:highlight w:val="none"/>
              </w:rPr>
            </w:pPr>
            <w:r>
              <w:rPr>
                <w:color w:val="auto"/>
                <w:highlight w:val="none"/>
              </w:rPr>
              <w:t>排放量（固体废物产生量）</w:t>
            </w:r>
            <w:r>
              <w:rPr>
                <w:color w:val="auto"/>
                <w:highlight w:val="none"/>
              </w:rPr>
              <w:fldChar w:fldCharType="begin"/>
            </w:r>
            <w:r>
              <w:rPr>
                <w:color w:val="auto"/>
                <w:highlight w:val="none"/>
              </w:rPr>
              <w:instrText xml:space="preserve"> = 4 \* GB3 \* MERGEFORMAT </w:instrText>
            </w:r>
            <w:r>
              <w:rPr>
                <w:color w:val="auto"/>
                <w:highlight w:val="none"/>
              </w:rPr>
              <w:fldChar w:fldCharType="separate"/>
            </w:r>
            <w:r>
              <w:rPr>
                <w:color w:val="auto"/>
                <w:highlight w:val="none"/>
              </w:rPr>
              <w:t>④</w:t>
            </w:r>
            <w:r>
              <w:rPr>
                <w:color w:val="auto"/>
                <w:highlight w:val="none"/>
              </w:rPr>
              <w:fldChar w:fldCharType="end"/>
            </w:r>
          </w:p>
        </w:tc>
        <w:tc>
          <w:tcPr>
            <w:tcW w:w="1336" w:type="dxa"/>
            <w:tcMar>
              <w:left w:w="28" w:type="dxa"/>
              <w:right w:w="28" w:type="dxa"/>
            </w:tcMar>
            <w:vAlign w:val="center"/>
          </w:tcPr>
          <w:p w14:paraId="2584D22A">
            <w:pPr>
              <w:bidi w:val="0"/>
              <w:jc w:val="center"/>
              <w:rPr>
                <w:color w:val="auto"/>
                <w:highlight w:val="none"/>
              </w:rPr>
            </w:pPr>
            <w:r>
              <w:rPr>
                <w:color w:val="auto"/>
                <w:highlight w:val="none"/>
              </w:rPr>
              <w:t>以新带老削减量</w:t>
            </w:r>
          </w:p>
          <w:p w14:paraId="7BB18A28">
            <w:pPr>
              <w:bidi w:val="0"/>
              <w:jc w:val="center"/>
              <w:rPr>
                <w:color w:val="auto"/>
                <w:highlight w:val="none"/>
              </w:rPr>
            </w:pPr>
            <w:r>
              <w:rPr>
                <w:color w:val="auto"/>
                <w:highlight w:val="none"/>
              </w:rPr>
              <w:t>（新建项目不填）</w:t>
            </w:r>
            <w:r>
              <w:rPr>
                <w:color w:val="auto"/>
                <w:highlight w:val="none"/>
              </w:rPr>
              <w:fldChar w:fldCharType="begin"/>
            </w:r>
            <w:r>
              <w:rPr>
                <w:color w:val="auto"/>
                <w:highlight w:val="none"/>
              </w:rPr>
              <w:instrText xml:space="preserve"> = 5 \* GB3 \* MERGEFORMAT </w:instrText>
            </w:r>
            <w:r>
              <w:rPr>
                <w:color w:val="auto"/>
                <w:highlight w:val="none"/>
              </w:rPr>
              <w:fldChar w:fldCharType="separate"/>
            </w:r>
            <w:r>
              <w:rPr>
                <w:color w:val="auto"/>
                <w:highlight w:val="none"/>
              </w:rPr>
              <w:t>⑤</w:t>
            </w:r>
            <w:r>
              <w:rPr>
                <w:color w:val="auto"/>
                <w:highlight w:val="none"/>
              </w:rPr>
              <w:fldChar w:fldCharType="end"/>
            </w:r>
          </w:p>
        </w:tc>
        <w:tc>
          <w:tcPr>
            <w:tcW w:w="1640" w:type="dxa"/>
            <w:tcMar>
              <w:left w:w="28" w:type="dxa"/>
              <w:right w:w="28" w:type="dxa"/>
            </w:tcMar>
            <w:vAlign w:val="center"/>
          </w:tcPr>
          <w:p w14:paraId="3BA3B132">
            <w:pPr>
              <w:bidi w:val="0"/>
              <w:jc w:val="center"/>
              <w:rPr>
                <w:color w:val="auto"/>
                <w:highlight w:val="none"/>
              </w:rPr>
            </w:pPr>
            <w:r>
              <w:rPr>
                <w:color w:val="auto"/>
                <w:highlight w:val="none"/>
              </w:rPr>
              <w:t>本项目建成后</w:t>
            </w:r>
          </w:p>
          <w:p w14:paraId="15F3E2DE">
            <w:pPr>
              <w:bidi w:val="0"/>
              <w:jc w:val="center"/>
              <w:rPr>
                <w:color w:val="auto"/>
                <w:highlight w:val="none"/>
              </w:rPr>
            </w:pPr>
            <w:r>
              <w:rPr>
                <w:color w:val="auto"/>
                <w:highlight w:val="none"/>
              </w:rPr>
              <w:t>全厂排放量（固体废物产生量）</w:t>
            </w:r>
            <w:r>
              <w:rPr>
                <w:color w:val="auto"/>
                <w:highlight w:val="none"/>
              </w:rPr>
              <w:fldChar w:fldCharType="begin"/>
            </w:r>
            <w:r>
              <w:rPr>
                <w:color w:val="auto"/>
                <w:highlight w:val="none"/>
              </w:rPr>
              <w:instrText xml:space="preserve"> = 6 \* GB3 \* MERGEFORMAT </w:instrText>
            </w:r>
            <w:r>
              <w:rPr>
                <w:color w:val="auto"/>
                <w:highlight w:val="none"/>
              </w:rPr>
              <w:fldChar w:fldCharType="separate"/>
            </w:r>
            <w:r>
              <w:rPr>
                <w:color w:val="auto"/>
                <w:highlight w:val="none"/>
              </w:rPr>
              <w:t>⑥</w:t>
            </w:r>
            <w:r>
              <w:rPr>
                <w:color w:val="auto"/>
                <w:highlight w:val="none"/>
              </w:rPr>
              <w:fldChar w:fldCharType="end"/>
            </w:r>
          </w:p>
        </w:tc>
        <w:tc>
          <w:tcPr>
            <w:tcW w:w="1145" w:type="dxa"/>
            <w:tcMar>
              <w:left w:w="28" w:type="dxa"/>
              <w:right w:w="28" w:type="dxa"/>
            </w:tcMar>
            <w:vAlign w:val="center"/>
          </w:tcPr>
          <w:p w14:paraId="05D5AA29">
            <w:pPr>
              <w:bidi w:val="0"/>
              <w:jc w:val="center"/>
              <w:rPr>
                <w:color w:val="auto"/>
                <w:highlight w:val="none"/>
              </w:rPr>
            </w:pPr>
            <w:r>
              <w:rPr>
                <w:color w:val="auto"/>
                <w:highlight w:val="none"/>
              </w:rPr>
              <w:t>变化量</w:t>
            </w:r>
          </w:p>
          <w:p w14:paraId="136D8E0B">
            <w:pPr>
              <w:bidi w:val="0"/>
              <w:jc w:val="center"/>
              <w:rPr>
                <w:color w:val="auto"/>
                <w:highlight w:val="none"/>
              </w:rPr>
            </w:pPr>
            <w:r>
              <w:rPr>
                <w:color w:val="auto"/>
                <w:highlight w:val="none"/>
              </w:rPr>
              <w:fldChar w:fldCharType="begin"/>
            </w:r>
            <w:r>
              <w:rPr>
                <w:color w:val="auto"/>
                <w:highlight w:val="none"/>
              </w:rPr>
              <w:instrText xml:space="preserve"> = 7 \* GB3 \* MERGEFORMAT </w:instrText>
            </w:r>
            <w:r>
              <w:rPr>
                <w:color w:val="auto"/>
                <w:highlight w:val="none"/>
              </w:rPr>
              <w:fldChar w:fldCharType="separate"/>
            </w:r>
            <w:r>
              <w:rPr>
                <w:color w:val="auto"/>
                <w:highlight w:val="none"/>
              </w:rPr>
              <w:t>⑦</w:t>
            </w:r>
            <w:r>
              <w:rPr>
                <w:color w:val="auto"/>
                <w:highlight w:val="none"/>
              </w:rPr>
              <w:fldChar w:fldCharType="end"/>
            </w:r>
          </w:p>
        </w:tc>
      </w:tr>
      <w:tr w14:paraId="592C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21" w:type="dxa"/>
            <w:vAlign w:val="center"/>
          </w:tcPr>
          <w:p w14:paraId="56557816">
            <w:pPr>
              <w:bidi w:val="0"/>
              <w:jc w:val="center"/>
              <w:rPr>
                <w:color w:val="auto"/>
                <w:highlight w:val="none"/>
              </w:rPr>
            </w:pPr>
            <w:r>
              <w:rPr>
                <w:color w:val="auto"/>
                <w:highlight w:val="none"/>
              </w:rPr>
              <w:t>废气</w:t>
            </w:r>
          </w:p>
        </w:tc>
        <w:tc>
          <w:tcPr>
            <w:tcW w:w="2835" w:type="dxa"/>
            <w:vAlign w:val="center"/>
          </w:tcPr>
          <w:p w14:paraId="3211912D">
            <w:pPr>
              <w:bidi w:val="0"/>
              <w:jc w:val="center"/>
              <w:rPr>
                <w:rFonts w:hint="eastAsia"/>
                <w:color w:val="auto"/>
                <w:highlight w:val="none"/>
                <w:lang w:eastAsia="zh-CN"/>
              </w:rPr>
            </w:pPr>
            <w:r>
              <w:rPr>
                <w:rFonts w:hint="eastAsia"/>
                <w:color w:val="auto"/>
                <w:highlight w:val="none"/>
                <w:lang w:eastAsia="zh-CN"/>
              </w:rPr>
              <w:t>非甲烷总烃</w:t>
            </w:r>
          </w:p>
        </w:tc>
        <w:tc>
          <w:tcPr>
            <w:tcW w:w="1417" w:type="dxa"/>
            <w:shd w:val="clear" w:color="auto" w:fill="auto"/>
            <w:vAlign w:val="center"/>
          </w:tcPr>
          <w:p w14:paraId="1309A3A4">
            <w:pPr>
              <w:pStyle w:val="376"/>
              <w:ind w:firstLine="0" w:firstLineChars="0"/>
              <w:jc w:val="center"/>
              <w:rPr>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46BD0301">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421DB5EB">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vAlign w:val="center"/>
          </w:tcPr>
          <w:p w14:paraId="14820AC7">
            <w:pPr>
              <w:bidi w:val="0"/>
              <w:jc w:val="center"/>
              <w:rPr>
                <w:rFonts w:hint="default" w:eastAsia="宋体"/>
                <w:color w:val="auto"/>
                <w:highlight w:val="none"/>
                <w:lang w:val="en-US" w:eastAsia="zh-CN"/>
              </w:rPr>
            </w:pPr>
            <w:r>
              <w:rPr>
                <w:rFonts w:hint="eastAsia"/>
                <w:color w:val="auto"/>
                <w:highlight w:val="none"/>
                <w:lang w:val="en-US" w:eastAsia="zh-CN"/>
              </w:rPr>
              <w:t>0.057</w:t>
            </w:r>
          </w:p>
        </w:tc>
        <w:tc>
          <w:tcPr>
            <w:tcW w:w="1336" w:type="dxa"/>
            <w:shd w:val="clear" w:color="auto" w:fill="auto"/>
            <w:vAlign w:val="center"/>
          </w:tcPr>
          <w:p w14:paraId="21D3C34B">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06D46B81">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0.057</w:t>
            </w:r>
          </w:p>
        </w:tc>
        <w:tc>
          <w:tcPr>
            <w:tcW w:w="1145" w:type="dxa"/>
            <w:shd w:val="clear" w:color="auto" w:fill="auto"/>
            <w:vAlign w:val="center"/>
          </w:tcPr>
          <w:p w14:paraId="149FC3F2">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+0.057</w:t>
            </w:r>
          </w:p>
        </w:tc>
      </w:tr>
      <w:tr w14:paraId="66DC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vMerge w:val="restart"/>
            <w:vAlign w:val="center"/>
          </w:tcPr>
          <w:p w14:paraId="64C11163">
            <w:pPr>
              <w:bidi w:val="0"/>
              <w:jc w:val="center"/>
              <w:rPr>
                <w:color w:val="auto"/>
                <w:highlight w:val="none"/>
              </w:rPr>
            </w:pPr>
            <w:r>
              <w:rPr>
                <w:color w:val="auto"/>
                <w:highlight w:val="none"/>
              </w:rPr>
              <w:t>废水</w:t>
            </w:r>
          </w:p>
        </w:tc>
        <w:tc>
          <w:tcPr>
            <w:tcW w:w="2835" w:type="dxa"/>
            <w:vAlign w:val="center"/>
          </w:tcPr>
          <w:p w14:paraId="49ADAA1E">
            <w:pPr>
              <w:bidi w:val="0"/>
              <w:jc w:val="center"/>
              <w:rPr>
                <w:rFonts w:hint="eastAsia"/>
                <w:color w:val="auto"/>
                <w:highlight w:val="none"/>
                <w:lang w:eastAsia="zh-CN"/>
              </w:rPr>
            </w:pPr>
            <w:r>
              <w:rPr>
                <w:rFonts w:hint="eastAsia"/>
                <w:color w:val="auto"/>
                <w:highlight w:val="none"/>
                <w:lang w:eastAsia="zh-CN"/>
              </w:rPr>
              <w:t>废水量</w:t>
            </w:r>
          </w:p>
        </w:tc>
        <w:tc>
          <w:tcPr>
            <w:tcW w:w="1417" w:type="dxa"/>
            <w:shd w:val="clear" w:color="auto" w:fill="auto"/>
            <w:vAlign w:val="center"/>
          </w:tcPr>
          <w:p w14:paraId="12A8930A">
            <w:pPr>
              <w:pStyle w:val="376"/>
              <w:ind w:firstLine="0" w:firstLineChars="0"/>
              <w:jc w:val="center"/>
              <w:rPr>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3B59ABFE">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506717A3">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shd w:val="clear" w:color="auto" w:fill="auto"/>
            <w:vAlign w:val="center"/>
          </w:tcPr>
          <w:p w14:paraId="254DC80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eastAsia" w:cs="Times New Roman"/>
                <w:i w:val="0"/>
                <w:iCs w:val="0"/>
                <w:color w:val="auto"/>
                <w:kern w:val="0"/>
                <w:sz w:val="21"/>
                <w:szCs w:val="21"/>
                <w:highlight w:val="none"/>
                <w:u w:val="none"/>
                <w:lang w:val="en-US" w:eastAsia="zh-CN" w:bidi="ar"/>
              </w:rPr>
              <w:t>569.9325</w:t>
            </w:r>
          </w:p>
        </w:tc>
        <w:tc>
          <w:tcPr>
            <w:tcW w:w="1336" w:type="dxa"/>
            <w:shd w:val="clear" w:color="auto" w:fill="auto"/>
            <w:vAlign w:val="center"/>
          </w:tcPr>
          <w:p w14:paraId="3BCD1955">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7EC6C53C">
            <w:pPr>
              <w:keepNext w:val="0"/>
              <w:keepLines w:val="0"/>
              <w:widowControl/>
              <w:suppressLineNumbers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eastAsia" w:cs="Times New Roman"/>
                <w:i w:val="0"/>
                <w:iCs w:val="0"/>
                <w:color w:val="auto"/>
                <w:kern w:val="0"/>
                <w:sz w:val="21"/>
                <w:szCs w:val="21"/>
                <w:highlight w:val="none"/>
                <w:u w:val="none"/>
                <w:lang w:val="en-US" w:eastAsia="zh-CN" w:bidi="ar"/>
              </w:rPr>
              <w:t>569.9325</w:t>
            </w:r>
          </w:p>
        </w:tc>
        <w:tc>
          <w:tcPr>
            <w:tcW w:w="1145" w:type="dxa"/>
            <w:shd w:val="clear" w:color="auto" w:fill="auto"/>
            <w:vAlign w:val="center"/>
          </w:tcPr>
          <w:p w14:paraId="6BBB9FC7">
            <w:pPr>
              <w:keepNext w:val="0"/>
              <w:keepLines w:val="0"/>
              <w:widowControl/>
              <w:suppressLineNumbers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eastAsia" w:cs="Times New Roman"/>
                <w:i w:val="0"/>
                <w:iCs w:val="0"/>
                <w:color w:val="auto"/>
                <w:kern w:val="0"/>
                <w:sz w:val="21"/>
                <w:szCs w:val="21"/>
                <w:highlight w:val="none"/>
                <w:u w:val="none"/>
                <w:lang w:val="en-US" w:eastAsia="zh-CN" w:bidi="ar"/>
              </w:rPr>
              <w:t>569.9325</w:t>
            </w:r>
          </w:p>
        </w:tc>
      </w:tr>
      <w:tr w14:paraId="7111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vMerge w:val="continue"/>
            <w:vAlign w:val="center"/>
          </w:tcPr>
          <w:p w14:paraId="10669318">
            <w:pPr>
              <w:bidi w:val="0"/>
              <w:jc w:val="center"/>
              <w:rPr>
                <w:color w:val="auto"/>
                <w:highlight w:val="none"/>
              </w:rPr>
            </w:pPr>
          </w:p>
        </w:tc>
        <w:tc>
          <w:tcPr>
            <w:tcW w:w="2835" w:type="dxa"/>
            <w:vAlign w:val="center"/>
          </w:tcPr>
          <w:p w14:paraId="49CB6A5D">
            <w:pPr>
              <w:bidi w:val="0"/>
              <w:jc w:val="center"/>
              <w:rPr>
                <w:color w:val="auto"/>
                <w:highlight w:val="none"/>
              </w:rPr>
            </w:pPr>
            <w:r>
              <w:rPr>
                <w:color w:val="auto"/>
                <w:highlight w:val="none"/>
              </w:rPr>
              <w:t>COD</w:t>
            </w:r>
          </w:p>
        </w:tc>
        <w:tc>
          <w:tcPr>
            <w:tcW w:w="1417" w:type="dxa"/>
            <w:shd w:val="clear" w:color="auto" w:fill="auto"/>
            <w:vAlign w:val="center"/>
          </w:tcPr>
          <w:p w14:paraId="7D5BA67C">
            <w:pPr>
              <w:pStyle w:val="376"/>
              <w:ind w:firstLine="0" w:firstLineChars="0"/>
              <w:jc w:val="center"/>
              <w:rPr>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07FC1A53">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36E8D10C">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vAlign w:val="center"/>
          </w:tcPr>
          <w:p w14:paraId="78ACD38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0.8159</w:t>
            </w:r>
          </w:p>
        </w:tc>
        <w:tc>
          <w:tcPr>
            <w:tcW w:w="1336" w:type="dxa"/>
            <w:shd w:val="clear" w:color="auto" w:fill="auto"/>
            <w:vAlign w:val="center"/>
          </w:tcPr>
          <w:p w14:paraId="130A7961">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583AFBA1">
            <w:pPr>
              <w:keepNext w:val="0"/>
              <w:keepLines w:val="0"/>
              <w:widowControl/>
              <w:suppressLineNumbers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0.8159</w:t>
            </w:r>
          </w:p>
        </w:tc>
        <w:tc>
          <w:tcPr>
            <w:tcW w:w="1145" w:type="dxa"/>
            <w:shd w:val="clear" w:color="auto" w:fill="auto"/>
            <w:vAlign w:val="center"/>
          </w:tcPr>
          <w:p w14:paraId="32364080">
            <w:pPr>
              <w:keepNext w:val="0"/>
              <w:keepLines w:val="0"/>
              <w:widowControl/>
              <w:suppressLineNumbers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0.8159</w:t>
            </w:r>
          </w:p>
        </w:tc>
      </w:tr>
      <w:tr w14:paraId="0365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vMerge w:val="continue"/>
            <w:vAlign w:val="center"/>
          </w:tcPr>
          <w:p w14:paraId="0128462E">
            <w:pPr>
              <w:bidi w:val="0"/>
              <w:jc w:val="center"/>
              <w:rPr>
                <w:color w:val="auto"/>
                <w:highlight w:val="none"/>
              </w:rPr>
            </w:pPr>
          </w:p>
        </w:tc>
        <w:tc>
          <w:tcPr>
            <w:tcW w:w="2835" w:type="dxa"/>
            <w:vAlign w:val="center"/>
          </w:tcPr>
          <w:p w14:paraId="741CB865">
            <w:pPr>
              <w:bidi w:val="0"/>
              <w:jc w:val="center"/>
              <w:rPr>
                <w:color w:val="auto"/>
                <w:highlight w:val="none"/>
              </w:rPr>
            </w:pPr>
            <w:r>
              <w:rPr>
                <w:rFonts w:hint="eastAsia"/>
                <w:color w:val="auto"/>
                <w:highlight w:val="none"/>
              </w:rPr>
              <w:t>氨氮</w:t>
            </w:r>
          </w:p>
        </w:tc>
        <w:tc>
          <w:tcPr>
            <w:tcW w:w="1417" w:type="dxa"/>
            <w:shd w:val="clear" w:color="auto" w:fill="auto"/>
            <w:vAlign w:val="center"/>
          </w:tcPr>
          <w:p w14:paraId="7D74BAE7">
            <w:pPr>
              <w:pStyle w:val="376"/>
              <w:ind w:firstLine="0" w:firstLineChars="0"/>
              <w:jc w:val="center"/>
              <w:rPr>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00970885">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5E3B9789">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vAlign w:val="center"/>
          </w:tcPr>
          <w:p w14:paraId="72D0FC0E">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0.1120</w:t>
            </w:r>
          </w:p>
        </w:tc>
        <w:tc>
          <w:tcPr>
            <w:tcW w:w="1336" w:type="dxa"/>
            <w:shd w:val="clear" w:color="auto" w:fill="auto"/>
            <w:vAlign w:val="center"/>
          </w:tcPr>
          <w:p w14:paraId="1B6398DB">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53FDA467">
            <w:pPr>
              <w:keepNext w:val="0"/>
              <w:keepLines w:val="0"/>
              <w:widowControl/>
              <w:suppressLineNumbers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0.1120</w:t>
            </w:r>
          </w:p>
        </w:tc>
        <w:tc>
          <w:tcPr>
            <w:tcW w:w="1145" w:type="dxa"/>
            <w:shd w:val="clear" w:color="auto" w:fill="auto"/>
            <w:vAlign w:val="center"/>
          </w:tcPr>
          <w:p w14:paraId="70EE6DF3">
            <w:pPr>
              <w:keepNext w:val="0"/>
              <w:keepLines w:val="0"/>
              <w:widowControl/>
              <w:suppressLineNumbers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0.1120</w:t>
            </w:r>
          </w:p>
        </w:tc>
      </w:tr>
      <w:tr w14:paraId="39EC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021" w:type="dxa"/>
            <w:vMerge w:val="restart"/>
            <w:vAlign w:val="center"/>
          </w:tcPr>
          <w:p w14:paraId="2B732780">
            <w:pPr>
              <w:bidi w:val="0"/>
              <w:jc w:val="center"/>
              <w:rPr>
                <w:color w:val="auto"/>
                <w:highlight w:val="none"/>
              </w:rPr>
            </w:pPr>
            <w:r>
              <w:rPr>
                <w:color w:val="auto"/>
                <w:highlight w:val="none"/>
              </w:rPr>
              <w:t>一般工业固体废物</w:t>
            </w:r>
          </w:p>
        </w:tc>
        <w:tc>
          <w:tcPr>
            <w:tcW w:w="2835" w:type="dxa"/>
            <w:vAlign w:val="center"/>
          </w:tcPr>
          <w:p w14:paraId="5CEF6F09">
            <w:pPr>
              <w:bidi w:val="0"/>
              <w:jc w:val="center"/>
              <w:rPr>
                <w:rFonts w:hint="eastAsia"/>
                <w:color w:val="auto"/>
                <w:highlight w:val="none"/>
                <w:lang w:eastAsia="zh-CN"/>
              </w:rPr>
            </w:pPr>
            <w:r>
              <w:rPr>
                <w:rFonts w:hint="eastAsia"/>
                <w:color w:val="auto"/>
                <w:highlight w:val="none"/>
                <w:lang w:eastAsia="zh-CN"/>
              </w:rPr>
              <w:t>生活垃圾</w:t>
            </w:r>
          </w:p>
        </w:tc>
        <w:tc>
          <w:tcPr>
            <w:tcW w:w="1417" w:type="dxa"/>
            <w:shd w:val="clear" w:color="auto" w:fill="auto"/>
            <w:vAlign w:val="center"/>
          </w:tcPr>
          <w:p w14:paraId="11C85462">
            <w:pPr>
              <w:pStyle w:val="376"/>
              <w:ind w:firstLine="0" w:firstLineChars="0"/>
              <w:jc w:val="center"/>
              <w:rPr>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7A6E3DF9">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08258CB6">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vAlign w:val="center"/>
          </w:tcPr>
          <w:p w14:paraId="0B9D6F5D">
            <w:pPr>
              <w:bidi w:val="0"/>
              <w:jc w:val="center"/>
              <w:rPr>
                <w:rFonts w:hint="default" w:eastAsia="宋体"/>
                <w:color w:val="auto"/>
                <w:highlight w:val="none"/>
                <w:lang w:val="en-US" w:eastAsia="zh-CN"/>
              </w:rPr>
            </w:pPr>
            <w:r>
              <w:rPr>
                <w:rFonts w:hint="eastAsia"/>
                <w:color w:val="auto"/>
                <w:highlight w:val="none"/>
                <w:lang w:val="en-US" w:eastAsia="zh-CN"/>
              </w:rPr>
              <w:t>0.9</w:t>
            </w:r>
          </w:p>
        </w:tc>
        <w:tc>
          <w:tcPr>
            <w:tcW w:w="1336" w:type="dxa"/>
            <w:shd w:val="clear" w:color="auto" w:fill="auto"/>
            <w:vAlign w:val="center"/>
          </w:tcPr>
          <w:p w14:paraId="674F5B10">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42AE9510">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0.9</w:t>
            </w:r>
          </w:p>
        </w:tc>
        <w:tc>
          <w:tcPr>
            <w:tcW w:w="1145" w:type="dxa"/>
            <w:shd w:val="clear" w:color="auto" w:fill="auto"/>
            <w:vAlign w:val="center"/>
          </w:tcPr>
          <w:p w14:paraId="038C5CD3">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+0.9</w:t>
            </w:r>
          </w:p>
        </w:tc>
      </w:tr>
      <w:tr w14:paraId="4FB2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021" w:type="dxa"/>
            <w:vMerge w:val="continue"/>
            <w:vAlign w:val="center"/>
          </w:tcPr>
          <w:p w14:paraId="28E9552D">
            <w:pPr>
              <w:bidi w:val="0"/>
              <w:jc w:val="center"/>
              <w:rPr>
                <w:color w:val="auto"/>
                <w:highlight w:val="none"/>
              </w:rPr>
            </w:pPr>
          </w:p>
        </w:tc>
        <w:tc>
          <w:tcPr>
            <w:tcW w:w="2835" w:type="dxa"/>
            <w:vAlign w:val="center"/>
          </w:tcPr>
          <w:p w14:paraId="4607803A">
            <w:pPr>
              <w:bidi w:val="0"/>
              <w:jc w:val="center"/>
              <w:rPr>
                <w:rFonts w:hint="eastAsia"/>
                <w:color w:val="auto"/>
                <w:highlight w:val="none"/>
                <w:lang w:eastAsia="zh-CN"/>
              </w:rPr>
            </w:pPr>
            <w:r>
              <w:rPr>
                <w:rFonts w:hint="eastAsia"/>
                <w:color w:val="auto"/>
                <w:highlight w:val="none"/>
                <w:lang w:eastAsia="zh-CN"/>
              </w:rPr>
              <w:t>废布袋</w:t>
            </w:r>
          </w:p>
        </w:tc>
        <w:tc>
          <w:tcPr>
            <w:tcW w:w="1417" w:type="dxa"/>
            <w:shd w:val="clear" w:color="auto" w:fill="auto"/>
            <w:vAlign w:val="center"/>
          </w:tcPr>
          <w:p w14:paraId="2DD247B3">
            <w:pPr>
              <w:pStyle w:val="376"/>
              <w:ind w:firstLine="0" w:firstLineChars="0"/>
              <w:jc w:val="center"/>
              <w:rPr>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2CFE52CA">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515898C5">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vAlign w:val="center"/>
          </w:tcPr>
          <w:p w14:paraId="0E084520">
            <w:pPr>
              <w:bidi w:val="0"/>
              <w:jc w:val="center"/>
              <w:rPr>
                <w:rFonts w:hint="default" w:eastAsia="宋体"/>
                <w:color w:val="auto"/>
                <w:highlight w:val="none"/>
                <w:lang w:val="en-US" w:eastAsia="zh-CN"/>
              </w:rPr>
            </w:pPr>
            <w:r>
              <w:rPr>
                <w:rFonts w:hint="eastAsia"/>
                <w:color w:val="auto"/>
                <w:highlight w:val="none"/>
                <w:lang w:val="en-US" w:eastAsia="zh-CN"/>
              </w:rPr>
              <w:t>0.1</w:t>
            </w:r>
          </w:p>
        </w:tc>
        <w:tc>
          <w:tcPr>
            <w:tcW w:w="1336" w:type="dxa"/>
            <w:shd w:val="clear" w:color="auto" w:fill="auto"/>
            <w:vAlign w:val="center"/>
          </w:tcPr>
          <w:p w14:paraId="07B9B725">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31A04E77">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0.1</w:t>
            </w:r>
          </w:p>
        </w:tc>
        <w:tc>
          <w:tcPr>
            <w:tcW w:w="1145" w:type="dxa"/>
            <w:shd w:val="clear" w:color="auto" w:fill="auto"/>
            <w:vAlign w:val="center"/>
          </w:tcPr>
          <w:p w14:paraId="587D51C8">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+0.1</w:t>
            </w:r>
          </w:p>
        </w:tc>
      </w:tr>
      <w:tr w14:paraId="1437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021" w:type="dxa"/>
            <w:vMerge w:val="continue"/>
            <w:vAlign w:val="center"/>
          </w:tcPr>
          <w:p w14:paraId="225069D0">
            <w:pPr>
              <w:bidi w:val="0"/>
              <w:jc w:val="center"/>
              <w:rPr>
                <w:color w:val="auto"/>
                <w:highlight w:val="none"/>
              </w:rPr>
            </w:pPr>
          </w:p>
        </w:tc>
        <w:tc>
          <w:tcPr>
            <w:tcW w:w="2835" w:type="dxa"/>
            <w:vAlign w:val="center"/>
          </w:tcPr>
          <w:p w14:paraId="39367142">
            <w:pPr>
              <w:bidi w:val="0"/>
              <w:jc w:val="center"/>
              <w:rPr>
                <w:color w:val="auto"/>
                <w:highlight w:val="none"/>
                <w:lang w:val="zh-CN"/>
              </w:rPr>
            </w:pPr>
            <w:r>
              <w:rPr>
                <w:rFonts w:hint="eastAsia"/>
                <w:color w:val="auto"/>
                <w:highlight w:val="none"/>
                <w:lang w:val="zh-CN"/>
              </w:rPr>
              <w:t>废石英砂</w:t>
            </w:r>
          </w:p>
        </w:tc>
        <w:tc>
          <w:tcPr>
            <w:tcW w:w="1417" w:type="dxa"/>
            <w:shd w:val="clear" w:color="auto" w:fill="auto"/>
            <w:vAlign w:val="center"/>
          </w:tcPr>
          <w:p w14:paraId="0E4E5A34">
            <w:pPr>
              <w:pStyle w:val="376"/>
              <w:ind w:firstLine="0" w:firstLineChars="0"/>
              <w:jc w:val="center"/>
              <w:rPr>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633A5852">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78EFF0F7">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vAlign w:val="center"/>
          </w:tcPr>
          <w:p w14:paraId="55EA90F5">
            <w:pPr>
              <w:bidi w:val="0"/>
              <w:jc w:val="center"/>
              <w:rPr>
                <w:rFonts w:hint="default" w:eastAsia="宋体"/>
                <w:color w:val="auto"/>
                <w:highlight w:val="none"/>
                <w:lang w:val="en-US" w:eastAsia="zh-CN"/>
              </w:rPr>
            </w:pPr>
            <w:r>
              <w:rPr>
                <w:rFonts w:hint="eastAsia"/>
                <w:color w:val="auto"/>
                <w:highlight w:val="none"/>
                <w:lang w:val="en-US" w:eastAsia="zh-CN"/>
              </w:rPr>
              <w:t>3.6</w:t>
            </w:r>
          </w:p>
        </w:tc>
        <w:tc>
          <w:tcPr>
            <w:tcW w:w="1336" w:type="dxa"/>
            <w:shd w:val="clear" w:color="auto" w:fill="auto"/>
            <w:vAlign w:val="center"/>
          </w:tcPr>
          <w:p w14:paraId="7790BE54">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7AA4B2DC">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3.6</w:t>
            </w:r>
          </w:p>
        </w:tc>
        <w:tc>
          <w:tcPr>
            <w:tcW w:w="1145" w:type="dxa"/>
            <w:shd w:val="clear" w:color="auto" w:fill="auto"/>
            <w:vAlign w:val="center"/>
          </w:tcPr>
          <w:p w14:paraId="71FB28C0">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+3.6</w:t>
            </w:r>
          </w:p>
        </w:tc>
      </w:tr>
      <w:tr w14:paraId="1447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021" w:type="dxa"/>
            <w:vMerge w:val="continue"/>
            <w:vAlign w:val="center"/>
          </w:tcPr>
          <w:p w14:paraId="5772A934">
            <w:pPr>
              <w:bidi w:val="0"/>
              <w:jc w:val="center"/>
              <w:rPr>
                <w:color w:val="auto"/>
                <w:highlight w:val="none"/>
              </w:rPr>
            </w:pPr>
          </w:p>
        </w:tc>
        <w:tc>
          <w:tcPr>
            <w:tcW w:w="2835" w:type="dxa"/>
            <w:vAlign w:val="center"/>
          </w:tcPr>
          <w:p w14:paraId="592C0058">
            <w:pPr>
              <w:bidi w:val="0"/>
              <w:jc w:val="center"/>
              <w:rPr>
                <w:rFonts w:hint="default" w:eastAsia="宋体"/>
                <w:color w:val="auto"/>
                <w:highlight w:val="none"/>
                <w:lang w:val="en-US" w:eastAsia="zh-CN"/>
              </w:rPr>
            </w:pPr>
            <w:r>
              <w:rPr>
                <w:rFonts w:hint="eastAsia"/>
                <w:color w:val="auto"/>
                <w:highlight w:val="none"/>
                <w:lang w:val="en-US" w:eastAsia="zh-CN"/>
              </w:rPr>
              <w:t>废活性炭</w:t>
            </w:r>
          </w:p>
        </w:tc>
        <w:tc>
          <w:tcPr>
            <w:tcW w:w="1417" w:type="dxa"/>
            <w:shd w:val="clear" w:color="auto" w:fill="auto"/>
            <w:vAlign w:val="center"/>
          </w:tcPr>
          <w:p w14:paraId="5F4C6323">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8" w:type="dxa"/>
            <w:shd w:val="clear" w:color="auto" w:fill="auto"/>
            <w:vAlign w:val="center"/>
          </w:tcPr>
          <w:p w14:paraId="548DDEC0">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6E22C51F">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shd w:val="clear" w:color="auto" w:fill="auto"/>
            <w:vAlign w:val="center"/>
          </w:tcPr>
          <w:p w14:paraId="015127A1">
            <w:pPr>
              <w:bidi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0.3</w:t>
            </w:r>
          </w:p>
        </w:tc>
        <w:tc>
          <w:tcPr>
            <w:tcW w:w="1336" w:type="dxa"/>
            <w:shd w:val="clear" w:color="auto" w:fill="auto"/>
            <w:vAlign w:val="center"/>
          </w:tcPr>
          <w:p w14:paraId="4079BB7F">
            <w:pPr>
              <w:pStyle w:val="376"/>
              <w:ind w:firstLine="0" w:firstLineChars="0"/>
              <w:jc w:val="center"/>
              <w:rPr>
                <w:rFonts w:hint="eastAsia" w:eastAsia="宋体"/>
                <w:snapToGrid w:val="0"/>
                <w:color w:val="auto"/>
                <w:sz w:val="21"/>
                <w:szCs w:val="21"/>
                <w:highlight w:val="none"/>
                <w:lang w:val="en-US" w:eastAsia="zh-CN"/>
              </w:rPr>
            </w:pPr>
            <w:r>
              <w:rPr>
                <w:rFonts w:hint="eastAsia"/>
                <w:snapToGrid w:val="0"/>
                <w:color w:val="auto"/>
                <w:sz w:val="21"/>
                <w:szCs w:val="21"/>
                <w:highlight w:val="none"/>
                <w:lang w:val="en-US" w:eastAsia="zh-CN"/>
              </w:rPr>
              <w:t>/</w:t>
            </w:r>
          </w:p>
        </w:tc>
        <w:tc>
          <w:tcPr>
            <w:tcW w:w="1640" w:type="dxa"/>
            <w:shd w:val="clear" w:color="auto" w:fill="auto"/>
            <w:vAlign w:val="center"/>
          </w:tcPr>
          <w:p w14:paraId="3F4F78C2">
            <w:pPr>
              <w:bidi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0.3</w:t>
            </w:r>
          </w:p>
        </w:tc>
        <w:tc>
          <w:tcPr>
            <w:tcW w:w="1145" w:type="dxa"/>
            <w:shd w:val="clear" w:color="auto" w:fill="auto"/>
            <w:vAlign w:val="center"/>
          </w:tcPr>
          <w:p w14:paraId="4F9EBBFD">
            <w:pPr>
              <w:bidi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+0.3</w:t>
            </w:r>
          </w:p>
        </w:tc>
      </w:tr>
      <w:tr w14:paraId="0DE0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021" w:type="dxa"/>
            <w:vMerge w:val="continue"/>
            <w:vAlign w:val="center"/>
          </w:tcPr>
          <w:p w14:paraId="127CEFFB">
            <w:pPr>
              <w:bidi w:val="0"/>
              <w:jc w:val="center"/>
              <w:rPr>
                <w:color w:val="auto"/>
                <w:highlight w:val="none"/>
              </w:rPr>
            </w:pPr>
          </w:p>
        </w:tc>
        <w:tc>
          <w:tcPr>
            <w:tcW w:w="2835" w:type="dxa"/>
            <w:vAlign w:val="center"/>
          </w:tcPr>
          <w:p w14:paraId="4A15907C">
            <w:pPr>
              <w:bidi w:val="0"/>
              <w:jc w:val="center"/>
              <w:rPr>
                <w:color w:val="auto"/>
                <w:highlight w:val="none"/>
                <w:lang w:val="zh-CN"/>
              </w:rPr>
            </w:pPr>
            <w:r>
              <w:rPr>
                <w:rFonts w:hint="eastAsia"/>
                <w:color w:val="auto"/>
                <w:highlight w:val="none"/>
                <w:lang w:val="zh-CN"/>
              </w:rPr>
              <w:t>废滤芯</w:t>
            </w:r>
          </w:p>
        </w:tc>
        <w:tc>
          <w:tcPr>
            <w:tcW w:w="1417" w:type="dxa"/>
            <w:shd w:val="clear" w:color="auto" w:fill="auto"/>
            <w:vAlign w:val="center"/>
          </w:tcPr>
          <w:p w14:paraId="7EF3FBC4">
            <w:pPr>
              <w:pStyle w:val="376"/>
              <w:ind w:firstLine="0" w:firstLineChars="0"/>
              <w:jc w:val="center"/>
              <w:rPr>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65A76419">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70AF0442">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shd w:val="clear" w:color="auto" w:fill="auto"/>
            <w:vAlign w:val="center"/>
          </w:tcPr>
          <w:p w14:paraId="4DF3B98C">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0.05</w:t>
            </w:r>
          </w:p>
        </w:tc>
        <w:tc>
          <w:tcPr>
            <w:tcW w:w="1336" w:type="dxa"/>
            <w:shd w:val="clear" w:color="auto" w:fill="auto"/>
            <w:vAlign w:val="center"/>
          </w:tcPr>
          <w:p w14:paraId="2766AE0A">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7773040A">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0.05</w:t>
            </w:r>
          </w:p>
        </w:tc>
        <w:tc>
          <w:tcPr>
            <w:tcW w:w="1145" w:type="dxa"/>
            <w:shd w:val="clear" w:color="auto" w:fill="auto"/>
            <w:vAlign w:val="center"/>
          </w:tcPr>
          <w:p w14:paraId="3FCEA2E8">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+0.05</w:t>
            </w:r>
          </w:p>
        </w:tc>
      </w:tr>
      <w:tr w14:paraId="2CF3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021" w:type="dxa"/>
            <w:vMerge w:val="continue"/>
            <w:vAlign w:val="center"/>
          </w:tcPr>
          <w:p w14:paraId="3146248E">
            <w:pPr>
              <w:bidi w:val="0"/>
              <w:jc w:val="center"/>
              <w:rPr>
                <w:color w:val="auto"/>
                <w:highlight w:val="none"/>
              </w:rPr>
            </w:pPr>
          </w:p>
        </w:tc>
        <w:tc>
          <w:tcPr>
            <w:tcW w:w="2835" w:type="dxa"/>
            <w:vAlign w:val="center"/>
          </w:tcPr>
          <w:p w14:paraId="06EFF566">
            <w:pPr>
              <w:bidi w:val="0"/>
              <w:jc w:val="center"/>
              <w:rPr>
                <w:color w:val="auto"/>
                <w:highlight w:val="none"/>
                <w:lang w:val="zh-CN"/>
              </w:rPr>
            </w:pPr>
            <w:r>
              <w:rPr>
                <w:rFonts w:hint="eastAsia"/>
                <w:color w:val="auto"/>
                <w:highlight w:val="none"/>
                <w:lang w:val="zh-CN"/>
              </w:rPr>
              <w:t>废纳滤膜</w:t>
            </w:r>
          </w:p>
        </w:tc>
        <w:tc>
          <w:tcPr>
            <w:tcW w:w="1417" w:type="dxa"/>
            <w:shd w:val="clear" w:color="auto" w:fill="auto"/>
            <w:vAlign w:val="center"/>
          </w:tcPr>
          <w:p w14:paraId="011C9A59">
            <w:pPr>
              <w:pStyle w:val="376"/>
              <w:ind w:firstLine="0" w:firstLineChars="0"/>
              <w:jc w:val="center"/>
              <w:rPr>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5B3E087E">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6DFF0E56">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shd w:val="clear" w:color="auto" w:fill="auto"/>
            <w:vAlign w:val="center"/>
          </w:tcPr>
          <w:p w14:paraId="647F2967">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0.01</w:t>
            </w:r>
          </w:p>
        </w:tc>
        <w:tc>
          <w:tcPr>
            <w:tcW w:w="1336" w:type="dxa"/>
            <w:shd w:val="clear" w:color="auto" w:fill="auto"/>
            <w:vAlign w:val="center"/>
          </w:tcPr>
          <w:p w14:paraId="6B7E8769">
            <w:pPr>
              <w:pStyle w:val="376"/>
              <w:ind w:firstLine="0" w:firstLineChars="0"/>
              <w:jc w:val="center"/>
              <w:rPr>
                <w:rFonts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5B880332">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0.01</w:t>
            </w:r>
          </w:p>
        </w:tc>
        <w:tc>
          <w:tcPr>
            <w:tcW w:w="1145" w:type="dxa"/>
            <w:shd w:val="clear" w:color="auto" w:fill="auto"/>
            <w:vAlign w:val="center"/>
          </w:tcPr>
          <w:p w14:paraId="6581CD9B">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+0.01</w:t>
            </w:r>
          </w:p>
        </w:tc>
      </w:tr>
      <w:tr w14:paraId="14F0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021" w:type="dxa"/>
            <w:vMerge w:val="continue"/>
            <w:vAlign w:val="center"/>
          </w:tcPr>
          <w:p w14:paraId="4A5DEF33">
            <w:pPr>
              <w:bidi w:val="0"/>
              <w:jc w:val="center"/>
              <w:rPr>
                <w:color w:val="auto"/>
                <w:highlight w:val="none"/>
              </w:rPr>
            </w:pPr>
          </w:p>
        </w:tc>
        <w:tc>
          <w:tcPr>
            <w:tcW w:w="2835" w:type="dxa"/>
            <w:vAlign w:val="center"/>
          </w:tcPr>
          <w:p w14:paraId="15783F6D">
            <w:pPr>
              <w:bidi w:val="0"/>
              <w:jc w:val="center"/>
              <w:rPr>
                <w:color w:val="auto"/>
                <w:highlight w:val="none"/>
                <w:lang w:val="zh-CN"/>
              </w:rPr>
            </w:pPr>
            <w:r>
              <w:rPr>
                <w:rFonts w:hint="eastAsia"/>
                <w:color w:val="auto"/>
                <w:highlight w:val="none"/>
                <w:lang w:val="zh-CN"/>
              </w:rPr>
              <w:t>废反渗透膜</w:t>
            </w:r>
          </w:p>
        </w:tc>
        <w:tc>
          <w:tcPr>
            <w:tcW w:w="1417" w:type="dxa"/>
            <w:shd w:val="clear" w:color="auto" w:fill="auto"/>
            <w:vAlign w:val="center"/>
          </w:tcPr>
          <w:p w14:paraId="3A6CCA63">
            <w:pPr>
              <w:pStyle w:val="376"/>
              <w:ind w:firstLine="0" w:firstLineChars="0"/>
              <w:jc w:val="center"/>
              <w:rPr>
                <w:rFonts w:hint="eastAsia"/>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099FC9FC">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1BB2F9C2">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shd w:val="clear" w:color="auto" w:fill="auto"/>
            <w:vAlign w:val="center"/>
          </w:tcPr>
          <w:p w14:paraId="26C4EE67">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0.01</w:t>
            </w:r>
          </w:p>
        </w:tc>
        <w:tc>
          <w:tcPr>
            <w:tcW w:w="1336" w:type="dxa"/>
            <w:shd w:val="clear" w:color="auto" w:fill="auto"/>
            <w:vAlign w:val="center"/>
          </w:tcPr>
          <w:p w14:paraId="2B021BC7">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24E55088">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0.01</w:t>
            </w:r>
          </w:p>
        </w:tc>
        <w:tc>
          <w:tcPr>
            <w:tcW w:w="1145" w:type="dxa"/>
            <w:shd w:val="clear" w:color="auto" w:fill="auto"/>
            <w:vAlign w:val="center"/>
          </w:tcPr>
          <w:p w14:paraId="13E3EA14">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+0.01</w:t>
            </w:r>
          </w:p>
        </w:tc>
      </w:tr>
      <w:tr w14:paraId="1CC0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021" w:type="dxa"/>
            <w:vMerge w:val="continue"/>
            <w:vAlign w:val="center"/>
          </w:tcPr>
          <w:p w14:paraId="184D46F1">
            <w:pPr>
              <w:bidi w:val="0"/>
              <w:jc w:val="center"/>
              <w:rPr>
                <w:color w:val="auto"/>
                <w:highlight w:val="none"/>
              </w:rPr>
            </w:pPr>
          </w:p>
        </w:tc>
        <w:tc>
          <w:tcPr>
            <w:tcW w:w="2835" w:type="dxa"/>
            <w:vAlign w:val="center"/>
          </w:tcPr>
          <w:p w14:paraId="29E1A09C">
            <w:pPr>
              <w:bidi w:val="0"/>
              <w:jc w:val="center"/>
              <w:rPr>
                <w:rFonts w:hint="default"/>
                <w:color w:val="auto"/>
                <w:highlight w:val="none"/>
                <w:lang w:val="en-US" w:eastAsia="zh-CN"/>
              </w:rPr>
            </w:pPr>
            <w:r>
              <w:rPr>
                <w:rFonts w:hint="eastAsia"/>
                <w:color w:val="auto"/>
                <w:highlight w:val="none"/>
                <w:lang w:val="zh-CN"/>
              </w:rPr>
              <w:t>废瓶</w:t>
            </w:r>
            <w:r>
              <w:rPr>
                <w:rFonts w:hint="eastAsia"/>
                <w:color w:val="auto"/>
                <w:highlight w:val="none"/>
                <w:lang w:val="en-US" w:eastAsia="zh-CN"/>
              </w:rPr>
              <w:t>/桶/盖</w:t>
            </w:r>
          </w:p>
        </w:tc>
        <w:tc>
          <w:tcPr>
            <w:tcW w:w="1417" w:type="dxa"/>
            <w:shd w:val="clear" w:color="auto" w:fill="auto"/>
            <w:vAlign w:val="center"/>
          </w:tcPr>
          <w:p w14:paraId="55B3FCCC">
            <w:pPr>
              <w:pStyle w:val="376"/>
              <w:ind w:firstLine="0" w:firstLineChars="0"/>
              <w:jc w:val="center"/>
              <w:rPr>
                <w:rFonts w:hint="eastAsia"/>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0A8437FC">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52453C30">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vAlign w:val="center"/>
          </w:tcPr>
          <w:p w14:paraId="20029083">
            <w:pPr>
              <w:bidi w:val="0"/>
              <w:jc w:val="center"/>
              <w:rPr>
                <w:rFonts w:hint="default" w:eastAsia="宋体"/>
                <w:color w:val="auto"/>
                <w:highlight w:val="none"/>
                <w:lang w:val="en-US" w:eastAsia="zh-CN"/>
              </w:rPr>
            </w:pPr>
            <w:r>
              <w:rPr>
                <w:rFonts w:hint="eastAsia"/>
                <w:color w:val="auto"/>
                <w:highlight w:val="none"/>
                <w:lang w:val="en-US" w:eastAsia="zh-CN"/>
              </w:rPr>
              <w:t>2</w:t>
            </w:r>
          </w:p>
        </w:tc>
        <w:tc>
          <w:tcPr>
            <w:tcW w:w="1336" w:type="dxa"/>
            <w:shd w:val="clear" w:color="auto" w:fill="auto"/>
            <w:vAlign w:val="center"/>
          </w:tcPr>
          <w:p w14:paraId="3F2D25E9">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55BAAA73">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c>
          <w:tcPr>
            <w:tcW w:w="1145" w:type="dxa"/>
            <w:shd w:val="clear" w:color="auto" w:fill="auto"/>
            <w:vAlign w:val="center"/>
          </w:tcPr>
          <w:p w14:paraId="5CDB4F53">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r>
      <w:tr w14:paraId="3B57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021" w:type="dxa"/>
            <w:vMerge w:val="continue"/>
            <w:vAlign w:val="center"/>
          </w:tcPr>
          <w:p w14:paraId="6F985403">
            <w:pPr>
              <w:bidi w:val="0"/>
              <w:jc w:val="center"/>
              <w:rPr>
                <w:color w:val="auto"/>
                <w:highlight w:val="none"/>
              </w:rPr>
            </w:pPr>
          </w:p>
        </w:tc>
        <w:tc>
          <w:tcPr>
            <w:tcW w:w="2835" w:type="dxa"/>
            <w:vAlign w:val="center"/>
          </w:tcPr>
          <w:p w14:paraId="1A7C7C09">
            <w:pPr>
              <w:bidi w:val="0"/>
              <w:jc w:val="center"/>
              <w:rPr>
                <w:color w:val="auto"/>
                <w:highlight w:val="none"/>
                <w:lang w:val="zh-CN"/>
              </w:rPr>
            </w:pPr>
            <w:r>
              <w:rPr>
                <w:rFonts w:hint="eastAsia"/>
                <w:color w:val="auto"/>
                <w:highlight w:val="none"/>
                <w:lang w:val="zh-CN"/>
              </w:rPr>
              <w:t>废包装材料</w:t>
            </w:r>
          </w:p>
        </w:tc>
        <w:tc>
          <w:tcPr>
            <w:tcW w:w="1417" w:type="dxa"/>
            <w:shd w:val="clear" w:color="auto" w:fill="auto"/>
            <w:vAlign w:val="center"/>
          </w:tcPr>
          <w:p w14:paraId="3C0CEE80">
            <w:pPr>
              <w:pStyle w:val="376"/>
              <w:ind w:firstLine="0" w:firstLineChars="0"/>
              <w:jc w:val="center"/>
              <w:rPr>
                <w:rFonts w:hint="eastAsia"/>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66773201">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0DE1B81B">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vAlign w:val="center"/>
          </w:tcPr>
          <w:p w14:paraId="6BC7A15C">
            <w:pPr>
              <w:bidi w:val="0"/>
              <w:jc w:val="center"/>
              <w:rPr>
                <w:rFonts w:hint="default" w:eastAsia="宋体"/>
                <w:color w:val="auto"/>
                <w:highlight w:val="none"/>
                <w:lang w:val="en-US" w:eastAsia="zh-CN"/>
              </w:rPr>
            </w:pPr>
            <w:r>
              <w:rPr>
                <w:rFonts w:hint="eastAsia"/>
                <w:color w:val="auto"/>
                <w:highlight w:val="none"/>
                <w:lang w:val="en-US" w:eastAsia="zh-CN"/>
              </w:rPr>
              <w:t>0.01</w:t>
            </w:r>
          </w:p>
        </w:tc>
        <w:tc>
          <w:tcPr>
            <w:tcW w:w="1336" w:type="dxa"/>
            <w:shd w:val="clear" w:color="auto" w:fill="auto"/>
            <w:vAlign w:val="center"/>
          </w:tcPr>
          <w:p w14:paraId="3FDA27E3">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74599624">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0.01</w:t>
            </w:r>
          </w:p>
        </w:tc>
        <w:tc>
          <w:tcPr>
            <w:tcW w:w="1145" w:type="dxa"/>
            <w:shd w:val="clear" w:color="auto" w:fill="auto"/>
            <w:vAlign w:val="center"/>
          </w:tcPr>
          <w:p w14:paraId="634C279C">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+0.01</w:t>
            </w:r>
          </w:p>
        </w:tc>
      </w:tr>
      <w:tr w14:paraId="47A1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021" w:type="dxa"/>
            <w:vMerge w:val="continue"/>
            <w:vAlign w:val="center"/>
          </w:tcPr>
          <w:p w14:paraId="0FE1934F">
            <w:pPr>
              <w:bidi w:val="0"/>
              <w:jc w:val="center"/>
              <w:rPr>
                <w:color w:val="auto"/>
                <w:highlight w:val="none"/>
              </w:rPr>
            </w:pPr>
          </w:p>
        </w:tc>
        <w:tc>
          <w:tcPr>
            <w:tcW w:w="2835" w:type="dxa"/>
            <w:vAlign w:val="center"/>
          </w:tcPr>
          <w:p w14:paraId="6137688C">
            <w:pPr>
              <w:bidi w:val="0"/>
              <w:jc w:val="center"/>
              <w:rPr>
                <w:rFonts w:hint="eastAsia"/>
                <w:color w:val="auto"/>
                <w:highlight w:val="none"/>
                <w:lang w:val="zh-CN"/>
              </w:rPr>
            </w:pPr>
            <w:r>
              <w:rPr>
                <w:rFonts w:hint="eastAsia"/>
                <w:color w:val="auto"/>
                <w:highlight w:val="none"/>
                <w:lang w:val="zh-CN"/>
              </w:rPr>
              <w:t>废灯管</w:t>
            </w:r>
          </w:p>
        </w:tc>
        <w:tc>
          <w:tcPr>
            <w:tcW w:w="1417" w:type="dxa"/>
            <w:shd w:val="clear" w:color="auto" w:fill="auto"/>
            <w:vAlign w:val="center"/>
          </w:tcPr>
          <w:p w14:paraId="28D1CECD">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8" w:type="dxa"/>
            <w:shd w:val="clear" w:color="auto" w:fill="auto"/>
            <w:vAlign w:val="center"/>
          </w:tcPr>
          <w:p w14:paraId="19F92604">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71AAD127">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shd w:val="clear" w:color="auto" w:fill="auto"/>
            <w:vAlign w:val="center"/>
          </w:tcPr>
          <w:p w14:paraId="499DD228">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0.05</w:t>
            </w:r>
          </w:p>
        </w:tc>
        <w:tc>
          <w:tcPr>
            <w:tcW w:w="1336" w:type="dxa"/>
            <w:shd w:val="clear" w:color="auto" w:fill="auto"/>
            <w:vAlign w:val="center"/>
          </w:tcPr>
          <w:p w14:paraId="7EA71DC9">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6182386F">
            <w:pPr>
              <w:bidi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0.05</w:t>
            </w:r>
          </w:p>
        </w:tc>
        <w:tc>
          <w:tcPr>
            <w:tcW w:w="1145" w:type="dxa"/>
            <w:shd w:val="clear" w:color="auto" w:fill="auto"/>
            <w:vAlign w:val="center"/>
          </w:tcPr>
          <w:p w14:paraId="7E35D86A">
            <w:pPr>
              <w:bidi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+0.05</w:t>
            </w:r>
          </w:p>
        </w:tc>
      </w:tr>
      <w:tr w14:paraId="2C8D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021" w:type="dxa"/>
            <w:vMerge w:val="restart"/>
            <w:vAlign w:val="center"/>
          </w:tcPr>
          <w:p w14:paraId="4F6254CF">
            <w:pPr>
              <w:bidi w:val="0"/>
              <w:jc w:val="center"/>
              <w:rPr>
                <w:color w:val="auto"/>
                <w:highlight w:val="none"/>
              </w:rPr>
            </w:pPr>
            <w:r>
              <w:rPr>
                <w:color w:val="auto"/>
                <w:highlight w:val="none"/>
              </w:rPr>
              <w:t>危险废物</w:t>
            </w:r>
          </w:p>
        </w:tc>
        <w:tc>
          <w:tcPr>
            <w:tcW w:w="2835" w:type="dxa"/>
            <w:vAlign w:val="center"/>
          </w:tcPr>
          <w:p w14:paraId="06079B0A">
            <w:pPr>
              <w:bidi w:val="0"/>
              <w:jc w:val="center"/>
              <w:rPr>
                <w:color w:val="auto"/>
                <w:highlight w:val="none"/>
                <w:lang w:val="zh-CN"/>
              </w:rPr>
            </w:pPr>
            <w:r>
              <w:rPr>
                <w:rFonts w:hint="eastAsia"/>
                <w:color w:val="auto"/>
                <w:highlight w:val="none"/>
                <w:lang w:val="zh-CN"/>
              </w:rPr>
              <w:t>废吸附活性炭</w:t>
            </w:r>
          </w:p>
        </w:tc>
        <w:tc>
          <w:tcPr>
            <w:tcW w:w="1417" w:type="dxa"/>
            <w:vAlign w:val="center"/>
          </w:tcPr>
          <w:p w14:paraId="334C3D94">
            <w:pPr>
              <w:pStyle w:val="376"/>
              <w:ind w:firstLine="0" w:firstLineChars="0"/>
              <w:jc w:val="center"/>
              <w:rPr>
                <w:rFonts w:hint="eastAsia"/>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1108F607">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5548A09F">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vAlign w:val="center"/>
          </w:tcPr>
          <w:p w14:paraId="62286142">
            <w:pPr>
              <w:bidi w:val="0"/>
              <w:jc w:val="center"/>
              <w:rPr>
                <w:rFonts w:hint="default" w:eastAsia="宋体"/>
                <w:color w:val="auto"/>
                <w:highlight w:val="none"/>
                <w:lang w:val="en-US" w:eastAsia="zh-CN"/>
              </w:rPr>
            </w:pPr>
            <w:r>
              <w:rPr>
                <w:rFonts w:hint="eastAsia"/>
                <w:color w:val="auto"/>
                <w:highlight w:val="none"/>
                <w:lang w:val="en-US" w:eastAsia="zh-CN"/>
              </w:rPr>
              <w:t>2.364</w:t>
            </w:r>
          </w:p>
        </w:tc>
        <w:tc>
          <w:tcPr>
            <w:tcW w:w="1336" w:type="dxa"/>
            <w:shd w:val="clear" w:color="auto" w:fill="auto"/>
            <w:vAlign w:val="center"/>
          </w:tcPr>
          <w:p w14:paraId="616FB252">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1705F011">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2.364</w:t>
            </w:r>
          </w:p>
        </w:tc>
        <w:tc>
          <w:tcPr>
            <w:tcW w:w="1145" w:type="dxa"/>
            <w:shd w:val="clear" w:color="auto" w:fill="auto"/>
            <w:vAlign w:val="center"/>
          </w:tcPr>
          <w:p w14:paraId="68FAAF31">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+2.364</w:t>
            </w:r>
          </w:p>
        </w:tc>
      </w:tr>
      <w:tr w14:paraId="50E7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021" w:type="dxa"/>
            <w:vMerge w:val="continue"/>
            <w:vAlign w:val="center"/>
          </w:tcPr>
          <w:p w14:paraId="4E8B0DC9">
            <w:pPr>
              <w:bidi w:val="0"/>
              <w:jc w:val="center"/>
              <w:rPr>
                <w:color w:val="auto"/>
                <w:highlight w:val="none"/>
              </w:rPr>
            </w:pPr>
          </w:p>
        </w:tc>
        <w:tc>
          <w:tcPr>
            <w:tcW w:w="2835" w:type="dxa"/>
            <w:vAlign w:val="center"/>
          </w:tcPr>
          <w:p w14:paraId="0A4FF4A8">
            <w:pPr>
              <w:bidi w:val="0"/>
              <w:jc w:val="center"/>
              <w:rPr>
                <w:color w:val="auto"/>
                <w:highlight w:val="none"/>
                <w:lang w:val="zh-CN"/>
              </w:rPr>
            </w:pPr>
            <w:r>
              <w:rPr>
                <w:rFonts w:hint="eastAsia"/>
                <w:color w:val="auto"/>
                <w:highlight w:val="none"/>
                <w:lang w:val="zh-CN"/>
              </w:rPr>
              <w:t>废机油</w:t>
            </w:r>
          </w:p>
        </w:tc>
        <w:tc>
          <w:tcPr>
            <w:tcW w:w="1417" w:type="dxa"/>
            <w:vAlign w:val="center"/>
          </w:tcPr>
          <w:p w14:paraId="30DAC65D">
            <w:pPr>
              <w:pStyle w:val="376"/>
              <w:ind w:firstLine="0" w:firstLineChars="0"/>
              <w:jc w:val="center"/>
              <w:rPr>
                <w:rFonts w:hint="eastAsia"/>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1104F377">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58E8808F">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vAlign w:val="center"/>
          </w:tcPr>
          <w:p w14:paraId="5E290FD1">
            <w:pPr>
              <w:bidi w:val="0"/>
              <w:jc w:val="center"/>
              <w:rPr>
                <w:rFonts w:hint="default" w:eastAsia="宋体"/>
                <w:color w:val="auto"/>
                <w:highlight w:val="none"/>
                <w:lang w:val="en-US" w:eastAsia="zh-CN"/>
              </w:rPr>
            </w:pPr>
            <w:r>
              <w:rPr>
                <w:rFonts w:hint="eastAsia"/>
                <w:color w:val="auto"/>
                <w:highlight w:val="none"/>
                <w:lang w:val="en-US" w:eastAsia="zh-CN"/>
              </w:rPr>
              <w:t>0.1</w:t>
            </w:r>
          </w:p>
        </w:tc>
        <w:tc>
          <w:tcPr>
            <w:tcW w:w="1336" w:type="dxa"/>
            <w:shd w:val="clear" w:color="auto" w:fill="auto"/>
            <w:vAlign w:val="center"/>
          </w:tcPr>
          <w:p w14:paraId="09EA8B70">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2D1B9299">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0.1</w:t>
            </w:r>
          </w:p>
        </w:tc>
        <w:tc>
          <w:tcPr>
            <w:tcW w:w="1145" w:type="dxa"/>
            <w:shd w:val="clear" w:color="auto" w:fill="auto"/>
            <w:vAlign w:val="center"/>
          </w:tcPr>
          <w:p w14:paraId="53F6D1FC">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+0.1</w:t>
            </w:r>
          </w:p>
        </w:tc>
      </w:tr>
      <w:tr w14:paraId="76E0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021" w:type="dxa"/>
            <w:vMerge w:val="continue"/>
            <w:vAlign w:val="center"/>
          </w:tcPr>
          <w:p w14:paraId="1949D978">
            <w:pPr>
              <w:bidi w:val="0"/>
              <w:jc w:val="center"/>
              <w:rPr>
                <w:color w:val="auto"/>
                <w:highlight w:val="none"/>
              </w:rPr>
            </w:pPr>
          </w:p>
        </w:tc>
        <w:tc>
          <w:tcPr>
            <w:tcW w:w="2835" w:type="dxa"/>
            <w:vAlign w:val="center"/>
          </w:tcPr>
          <w:p w14:paraId="3720394E">
            <w:pPr>
              <w:bidi w:val="0"/>
              <w:jc w:val="center"/>
              <w:rPr>
                <w:rFonts w:hint="eastAsia"/>
                <w:color w:val="auto"/>
                <w:highlight w:val="none"/>
                <w:lang w:eastAsia="zh-CN"/>
              </w:rPr>
            </w:pPr>
            <w:r>
              <w:rPr>
                <w:rFonts w:hint="eastAsia"/>
                <w:color w:val="auto"/>
                <w:highlight w:val="none"/>
                <w:lang w:eastAsia="zh-CN"/>
              </w:rPr>
              <w:t>废机油桶</w:t>
            </w:r>
          </w:p>
        </w:tc>
        <w:tc>
          <w:tcPr>
            <w:tcW w:w="1417" w:type="dxa"/>
            <w:vAlign w:val="center"/>
          </w:tcPr>
          <w:p w14:paraId="4CA1EC6B">
            <w:pPr>
              <w:pStyle w:val="376"/>
              <w:ind w:firstLine="0" w:firstLineChars="0"/>
              <w:jc w:val="center"/>
              <w:rPr>
                <w:rFonts w:hint="eastAsia"/>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6DB1A225">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28D6E01A">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vAlign w:val="center"/>
          </w:tcPr>
          <w:p w14:paraId="33496C62">
            <w:pPr>
              <w:bidi w:val="0"/>
              <w:jc w:val="center"/>
              <w:rPr>
                <w:rFonts w:hint="default" w:eastAsia="宋体"/>
                <w:color w:val="auto"/>
                <w:highlight w:val="none"/>
                <w:lang w:val="en-US" w:eastAsia="zh-CN"/>
              </w:rPr>
            </w:pPr>
            <w:r>
              <w:rPr>
                <w:rFonts w:hint="eastAsia"/>
                <w:color w:val="auto"/>
                <w:highlight w:val="none"/>
                <w:lang w:val="en-US" w:eastAsia="zh-CN"/>
              </w:rPr>
              <w:t>0.05</w:t>
            </w:r>
          </w:p>
        </w:tc>
        <w:tc>
          <w:tcPr>
            <w:tcW w:w="1336" w:type="dxa"/>
            <w:shd w:val="clear" w:color="auto" w:fill="auto"/>
            <w:vAlign w:val="center"/>
          </w:tcPr>
          <w:p w14:paraId="246CAB84">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10E53C66">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0.05</w:t>
            </w:r>
          </w:p>
        </w:tc>
        <w:tc>
          <w:tcPr>
            <w:tcW w:w="1145" w:type="dxa"/>
            <w:shd w:val="clear" w:color="auto" w:fill="auto"/>
            <w:vAlign w:val="center"/>
          </w:tcPr>
          <w:p w14:paraId="7B3044E8">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+0.05</w:t>
            </w:r>
          </w:p>
        </w:tc>
      </w:tr>
      <w:tr w14:paraId="7FC9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021" w:type="dxa"/>
            <w:vMerge w:val="continue"/>
            <w:vAlign w:val="center"/>
          </w:tcPr>
          <w:p w14:paraId="07958D29">
            <w:pPr>
              <w:bidi w:val="0"/>
              <w:jc w:val="center"/>
              <w:rPr>
                <w:color w:val="auto"/>
                <w:highlight w:val="none"/>
              </w:rPr>
            </w:pPr>
          </w:p>
        </w:tc>
        <w:tc>
          <w:tcPr>
            <w:tcW w:w="2835" w:type="dxa"/>
            <w:vAlign w:val="center"/>
          </w:tcPr>
          <w:p w14:paraId="048DF18D">
            <w:pPr>
              <w:bidi w:val="0"/>
              <w:jc w:val="center"/>
              <w:rPr>
                <w:rFonts w:hint="eastAsia"/>
                <w:color w:val="auto"/>
                <w:highlight w:val="none"/>
                <w:lang w:eastAsia="zh-CN"/>
              </w:rPr>
            </w:pPr>
            <w:r>
              <w:rPr>
                <w:rFonts w:hint="eastAsia"/>
                <w:color w:val="auto"/>
                <w:highlight w:val="none"/>
                <w:lang w:eastAsia="zh-CN"/>
              </w:rPr>
              <w:t>废含油抹布</w:t>
            </w:r>
          </w:p>
        </w:tc>
        <w:tc>
          <w:tcPr>
            <w:tcW w:w="1417" w:type="dxa"/>
            <w:vAlign w:val="center"/>
          </w:tcPr>
          <w:p w14:paraId="222A92A8">
            <w:pPr>
              <w:pStyle w:val="376"/>
              <w:ind w:firstLine="0" w:firstLineChars="0"/>
              <w:jc w:val="center"/>
              <w:rPr>
                <w:rFonts w:hint="eastAsia"/>
                <w:color w:val="auto"/>
                <w:highlight w:val="none"/>
                <w:lang w:val="en-US" w:eastAsia="zh-CN"/>
              </w:rPr>
            </w:pPr>
            <w:r>
              <w:rPr>
                <w:rFonts w:hint="eastAsia"/>
                <w:snapToGrid w:val="0"/>
                <w:color w:val="auto"/>
                <w:sz w:val="21"/>
                <w:szCs w:val="21"/>
                <w:highlight w:val="none"/>
              </w:rPr>
              <w:t>/</w:t>
            </w:r>
          </w:p>
        </w:tc>
        <w:tc>
          <w:tcPr>
            <w:tcW w:w="1418" w:type="dxa"/>
            <w:shd w:val="clear" w:color="auto" w:fill="auto"/>
            <w:vAlign w:val="center"/>
          </w:tcPr>
          <w:p w14:paraId="452EBD31">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559" w:type="dxa"/>
            <w:shd w:val="clear" w:color="auto" w:fill="auto"/>
            <w:vAlign w:val="center"/>
          </w:tcPr>
          <w:p w14:paraId="1458692C">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417" w:type="dxa"/>
            <w:vAlign w:val="center"/>
          </w:tcPr>
          <w:p w14:paraId="745CB6AE">
            <w:pPr>
              <w:bidi w:val="0"/>
              <w:jc w:val="center"/>
              <w:rPr>
                <w:rFonts w:hint="default" w:eastAsia="宋体"/>
                <w:color w:val="auto"/>
                <w:highlight w:val="none"/>
                <w:lang w:val="en-US" w:eastAsia="zh-CN"/>
              </w:rPr>
            </w:pPr>
            <w:r>
              <w:rPr>
                <w:rFonts w:hint="eastAsia"/>
                <w:color w:val="auto"/>
                <w:highlight w:val="none"/>
                <w:lang w:val="en-US" w:eastAsia="zh-CN"/>
              </w:rPr>
              <w:t>0.05</w:t>
            </w:r>
          </w:p>
        </w:tc>
        <w:tc>
          <w:tcPr>
            <w:tcW w:w="1336" w:type="dxa"/>
            <w:shd w:val="clear" w:color="auto" w:fill="auto"/>
            <w:vAlign w:val="center"/>
          </w:tcPr>
          <w:p w14:paraId="6A23D2BD">
            <w:pPr>
              <w:pStyle w:val="376"/>
              <w:ind w:firstLine="0" w:firstLineChars="0"/>
              <w:jc w:val="center"/>
              <w:rPr>
                <w:rFonts w:hint="eastAsia" w:ascii="Times New Roman" w:hAnsi="Times New Roman" w:eastAsia="宋体" w:cs="Times New Roman"/>
                <w:color w:val="auto"/>
                <w:kern w:val="0"/>
                <w:sz w:val="21"/>
                <w:szCs w:val="20"/>
                <w:highlight w:val="none"/>
                <w:lang w:val="en-US" w:eastAsia="zh-CN" w:bidi="ar-SA"/>
              </w:rPr>
            </w:pPr>
            <w:r>
              <w:rPr>
                <w:rFonts w:hint="eastAsia"/>
                <w:snapToGrid w:val="0"/>
                <w:color w:val="auto"/>
                <w:sz w:val="21"/>
                <w:szCs w:val="21"/>
                <w:highlight w:val="none"/>
              </w:rPr>
              <w:t>/</w:t>
            </w:r>
          </w:p>
        </w:tc>
        <w:tc>
          <w:tcPr>
            <w:tcW w:w="1640" w:type="dxa"/>
            <w:shd w:val="clear" w:color="auto" w:fill="auto"/>
            <w:vAlign w:val="center"/>
          </w:tcPr>
          <w:p w14:paraId="4EE22A01">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0.05</w:t>
            </w:r>
          </w:p>
        </w:tc>
        <w:tc>
          <w:tcPr>
            <w:tcW w:w="1145" w:type="dxa"/>
            <w:shd w:val="clear" w:color="auto" w:fill="auto"/>
            <w:vAlign w:val="center"/>
          </w:tcPr>
          <w:p w14:paraId="33687DC8">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+0.05</w:t>
            </w:r>
          </w:p>
        </w:tc>
      </w:tr>
    </w:tbl>
    <w:p w14:paraId="628D6A33">
      <w:pPr>
        <w:pStyle w:val="76"/>
        <w:spacing w:beforeLines="0" w:afterLines="0" w:line="240" w:lineRule="auto"/>
        <w:jc w:val="left"/>
        <w:rPr>
          <w:rFonts w:ascii="Times New Roman"/>
          <w:snapToGrid w:val="0"/>
          <w:color w:val="auto"/>
          <w:spacing w:val="-6"/>
          <w:kern w:val="21"/>
          <w:szCs w:val="21"/>
          <w:highlight w:val="none"/>
        </w:rPr>
      </w:pPr>
      <w:r>
        <w:rPr>
          <w:rFonts w:ascii="Times New Roman"/>
          <w:snapToGrid w:val="0"/>
          <w:color w:val="auto"/>
          <w:kern w:val="21"/>
          <w:szCs w:val="21"/>
          <w:highlight w:val="none"/>
        </w:rPr>
        <w:t>注：</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6 \* GB3 \* MERGEFORMAT </w:instrText>
      </w:r>
      <w:r>
        <w:rPr>
          <w:rFonts w:ascii="Times New Roman"/>
          <w:snapToGrid w:val="0"/>
          <w:color w:val="auto"/>
          <w:spacing w:val="-16"/>
          <w:kern w:val="21"/>
          <w:szCs w:val="21"/>
          <w:highlight w:val="none"/>
        </w:rPr>
        <w:fldChar w:fldCharType="separate"/>
      </w:r>
      <w:r>
        <w:rPr>
          <w:rFonts w:ascii="Times New Roman"/>
          <w:color w:val="auto"/>
          <w:szCs w:val="21"/>
          <w:highlight w:val="none"/>
        </w:rPr>
        <w:t>⑥</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1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①</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3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③</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4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④</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5 \* GB3 \* MERGEFORMAT </w:instrText>
      </w:r>
      <w:r>
        <w:rPr>
          <w:rFonts w:ascii="Times New Roman"/>
          <w:snapToGrid w:val="0"/>
          <w:color w:val="auto"/>
          <w:spacing w:val="-16"/>
          <w:kern w:val="21"/>
          <w:szCs w:val="21"/>
          <w:highlight w:val="none"/>
        </w:rPr>
        <w:fldChar w:fldCharType="separate"/>
      </w:r>
      <w:r>
        <w:rPr>
          <w:rFonts w:ascii="Times New Roman"/>
          <w:color w:val="auto"/>
          <w:szCs w:val="21"/>
          <w:highlight w:val="none"/>
        </w:rPr>
        <w:t>⑤</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7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⑦</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6 \* GB3 \* MERGEFORMAT </w:instrText>
      </w:r>
      <w:r>
        <w:rPr>
          <w:rFonts w:ascii="Times New Roman"/>
          <w:snapToGrid w:val="0"/>
          <w:color w:val="auto"/>
          <w:spacing w:val="-16"/>
          <w:kern w:val="21"/>
          <w:szCs w:val="21"/>
          <w:highlight w:val="none"/>
        </w:rPr>
        <w:fldChar w:fldCharType="separate"/>
      </w:r>
      <w:r>
        <w:rPr>
          <w:rFonts w:ascii="Times New Roman"/>
          <w:color w:val="auto"/>
          <w:szCs w:val="21"/>
          <w:highlight w:val="none"/>
        </w:rPr>
        <w:t>⑥</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1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①</w:t>
      </w:r>
      <w:r>
        <w:rPr>
          <w:rFonts w:ascii="Times New Roman"/>
          <w:snapToGrid w:val="0"/>
          <w:color w:val="auto"/>
          <w:spacing w:val="-6"/>
          <w:kern w:val="21"/>
          <w:szCs w:val="21"/>
          <w:highlight w:val="none"/>
        </w:rPr>
        <w:fldChar w:fldCharType="end"/>
      </w:r>
    </w:p>
    <w:p w14:paraId="03661A92">
      <w:pPr>
        <w:ind w:firstLine="420" w:firstLineChars="200"/>
        <w:rPr>
          <w:color w:val="auto"/>
          <w:highlight w:val="none"/>
        </w:rPr>
      </w:pPr>
      <w:r>
        <w:rPr>
          <w:color w:val="auto"/>
          <w:highlight w:val="none"/>
        </w:rPr>
        <w:t>单位：t/a。</w:t>
      </w:r>
    </w:p>
    <w:sectPr>
      <w:pgSz w:w="16838" w:h="11906" w:orient="landscape"/>
      <w:pgMar w:top="1417" w:right="1418" w:bottom="1417"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汉鼎简书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imesNewRoman">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ºÚÌå">
    <w:altName w:val="Arial"/>
    <w:panose1 w:val="00000000000000000000"/>
    <w:charset w:val="00"/>
    <w:family w:val="swiss"/>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华文仿宋">
    <w:altName w:val="仿宋"/>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6F3C">
    <w:pPr>
      <w:pStyle w:val="2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BBA6">
    <w:pPr>
      <w:pStyle w:val="25"/>
      <w:framePr w:wrap="around" w:vAnchor="text" w:hAnchor="margin" w:xAlign="center" w:y="1"/>
      <w:rPr>
        <w:rStyle w:val="43"/>
      </w:rPr>
    </w:pPr>
    <w:r>
      <w:fldChar w:fldCharType="begin"/>
    </w:r>
    <w:r>
      <w:rPr>
        <w:rStyle w:val="43"/>
      </w:rPr>
      <w:instrText xml:space="preserve">PAGE  </w:instrText>
    </w:r>
    <w:r>
      <w:fldChar w:fldCharType="end"/>
    </w:r>
  </w:p>
  <w:p w14:paraId="1AB49559">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BDF6E">
    <w:pPr>
      <w:pStyle w:val="25"/>
      <w:framePr w:wrap="around" w:vAnchor="text" w:hAnchor="page" w:x="5661" w:y="7"/>
      <w:jc w:val="center"/>
      <w:rPr>
        <w:rStyle w:val="43"/>
        <w:rFonts w:hint="eastAsia" w:ascii="宋体" w:hAnsi="宋体"/>
        <w:sz w:val="21"/>
        <w:szCs w:val="21"/>
      </w:rPr>
    </w:pPr>
    <w:r>
      <w:rPr>
        <w:rStyle w:val="43"/>
        <w:rFonts w:hint="eastAsia" w:ascii="宋体" w:hAnsi="宋体"/>
        <w:sz w:val="21"/>
        <w:szCs w:val="21"/>
      </w:rPr>
      <w:t xml:space="preserve">— </w:t>
    </w:r>
    <w:r>
      <w:rPr>
        <w:sz w:val="21"/>
        <w:szCs w:val="21"/>
      </w:rPr>
      <w:fldChar w:fldCharType="begin"/>
    </w:r>
    <w:r>
      <w:rPr>
        <w:rStyle w:val="43"/>
        <w:sz w:val="21"/>
        <w:szCs w:val="21"/>
      </w:rPr>
      <w:instrText xml:space="preserve">PAGE  </w:instrText>
    </w:r>
    <w:r>
      <w:rPr>
        <w:sz w:val="21"/>
        <w:szCs w:val="21"/>
      </w:rPr>
      <w:fldChar w:fldCharType="separate"/>
    </w:r>
    <w:r>
      <w:rPr>
        <w:rStyle w:val="43"/>
        <w:sz w:val="21"/>
        <w:szCs w:val="21"/>
      </w:rPr>
      <w:t>33</w:t>
    </w:r>
    <w:r>
      <w:rPr>
        <w:sz w:val="21"/>
        <w:szCs w:val="21"/>
      </w:rPr>
      <w:fldChar w:fldCharType="end"/>
    </w:r>
    <w:r>
      <w:rPr>
        <w:rStyle w:val="43"/>
        <w:rFonts w:hint="eastAsia" w:ascii="宋体" w:hAnsi="宋体"/>
        <w:sz w:val="21"/>
        <w:szCs w:val="21"/>
      </w:rPr>
      <w:t xml:space="preserve"> —</w:t>
    </w:r>
  </w:p>
  <w:p w14:paraId="044D2515">
    <w:pPr>
      <w:pStyle w:val="25"/>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D986B">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60F4A"/>
    <w:multiLevelType w:val="singleLevel"/>
    <w:tmpl w:val="04260F4A"/>
    <w:lvl w:ilvl="0" w:tentative="0">
      <w:start w:val="12"/>
      <w:numFmt w:val="chineseCounting"/>
      <w:suff w:val="nothing"/>
      <w:lvlText w:val="%1、"/>
      <w:lvlJc w:val="left"/>
      <w:rPr>
        <w:rFonts w:hint="eastAsia"/>
      </w:rPr>
    </w:lvl>
  </w:abstractNum>
  <w:abstractNum w:abstractNumId="1">
    <w:nsid w:val="529B38A7"/>
    <w:multiLevelType w:val="singleLevel"/>
    <w:tmpl w:val="529B38A7"/>
    <w:lvl w:ilvl="0" w:tentative="0">
      <w:start w:val="5"/>
      <w:numFmt w:val="decimal"/>
      <w:pStyle w:val="22"/>
      <w:suff w:val="nothing"/>
      <w:lvlText w:val="表1-%1  "/>
      <w:lvlJc w:val="center"/>
      <w:pPr>
        <w:ind w:left="0" w:firstLine="0"/>
      </w:pPr>
      <w:rPr>
        <w:rFonts w:hint="default" w:ascii="Times New Roman" w:hAnsi="Times New Roman" w:eastAsia="宋体" w:cs="宋体"/>
        <w:b/>
        <w:sz w:val="24"/>
        <w:szCs w:val="21"/>
      </w:rPr>
    </w:lvl>
  </w:abstractNum>
  <w:abstractNum w:abstractNumId="2">
    <w:nsid w:val="58E5F1C5"/>
    <w:multiLevelType w:val="singleLevel"/>
    <w:tmpl w:val="58E5F1C5"/>
    <w:lvl w:ilvl="0" w:tentative="0">
      <w:start w:val="1"/>
      <w:numFmt w:val="decimal"/>
      <w:suff w:val="nothing"/>
      <w:lvlText w:val="（%1）"/>
      <w:lvlJc w:val="left"/>
      <w:pPr>
        <w:ind w:left="208"/>
      </w:pPr>
    </w:lvl>
  </w:abstractNum>
  <w:abstractNum w:abstractNumId="3">
    <w:nsid w:val="5A40E611"/>
    <w:multiLevelType w:val="multilevel"/>
    <w:tmpl w:val="5A40E611"/>
    <w:lvl w:ilvl="0" w:tentative="0">
      <w:start w:val="1"/>
      <w:numFmt w:val="decimal"/>
      <w:isLgl/>
      <w:suff w:val="space"/>
      <w:lvlText w:val="第%1章"/>
      <w:lvlJc w:val="center"/>
      <w:pPr>
        <w:tabs>
          <w:tab w:val="left" w:pos="0"/>
        </w:tabs>
        <w:ind w:left="0" w:firstLine="0"/>
      </w:pPr>
      <w:rPr>
        <w:rFonts w:hint="default" w:ascii="Times New Roman" w:hAnsi="Times New Roman" w:eastAsia="宋体" w:cs="Times New Roman"/>
        <w:b/>
        <w:bCs/>
        <w:i w:val="0"/>
        <w:sz w:val="32"/>
        <w:szCs w:val="32"/>
        <w:lang w:val="en-US"/>
      </w:rPr>
    </w:lvl>
    <w:lvl w:ilvl="1" w:tentative="0">
      <w:start w:val="1"/>
      <w:numFmt w:val="decimal"/>
      <w:isLgl/>
      <w:suff w:val="space"/>
      <w:lvlText w:val="%1.%2"/>
      <w:lvlJc w:val="left"/>
      <w:pPr>
        <w:tabs>
          <w:tab w:val="left" w:pos="0"/>
        </w:tabs>
        <w:ind w:left="0" w:firstLine="0"/>
      </w:pPr>
      <w:rPr>
        <w:rFonts w:hint="default" w:ascii="Times New Roman" w:hAnsi="Times New Roman" w:eastAsia="宋体"/>
        <w:b/>
        <w:bCs/>
        <w:i w:val="0"/>
        <w:sz w:val="28"/>
        <w:szCs w:val="28"/>
      </w:rPr>
    </w:lvl>
    <w:lvl w:ilvl="2" w:tentative="0">
      <w:start w:val="1"/>
      <w:numFmt w:val="decimal"/>
      <w:isLgl/>
      <w:suff w:val="space"/>
      <w:lvlText w:val="%1.%2.%3"/>
      <w:lvlJc w:val="left"/>
      <w:pPr>
        <w:tabs>
          <w:tab w:val="left" w:pos="0"/>
        </w:tabs>
        <w:ind w:left="0" w:firstLine="0"/>
      </w:pPr>
      <w:rPr>
        <w:rFonts w:hint="default" w:ascii="Times New Roman" w:hAnsi="Times New Roman" w:eastAsia="宋体" w:cs="Times New Roman"/>
        <w:b/>
        <w:bCs/>
        <w:i w:val="0"/>
        <w:iCs w:val="0"/>
        <w:caps w:val="0"/>
        <w:smallCaps w:val="0"/>
        <w:strike w:val="0"/>
        <w:dstrike w:val="0"/>
        <w:outline w:val="0"/>
        <w:shadow w:val="0"/>
        <w:emboss w:val="0"/>
        <w:imprint w:val="0"/>
        <w:color w:val="auto"/>
        <w:spacing w:val="0"/>
        <w:w w:val="100"/>
        <w:kern w:val="0"/>
        <w:position w:val="0"/>
        <w:sz w:val="24"/>
        <w:szCs w:val="24"/>
        <w:u w:val="none"/>
        <w:shd w:val="clear" w:color="auto" w:fill="auto"/>
        <w:lang w:val="en-US" w:eastAsia="zh-CN"/>
      </w:rPr>
    </w:lvl>
    <w:lvl w:ilvl="3" w:tentative="0">
      <w:start w:val="1"/>
      <w:numFmt w:val="decimal"/>
      <w:pStyle w:val="5"/>
      <w:isLgl/>
      <w:suff w:val="space"/>
      <w:lvlText w:val="%1.%2.%3.%4"/>
      <w:lvlJc w:val="left"/>
      <w:pPr>
        <w:tabs>
          <w:tab w:val="left" w:pos="0"/>
        </w:tabs>
        <w:ind w:left="0" w:firstLine="0"/>
      </w:pPr>
      <w:rPr>
        <w:rFonts w:hint="default" w:ascii="Times New Roman" w:hAnsi="Times New Roman" w:eastAsia="宋体"/>
        <w:b/>
        <w:i w:val="0"/>
        <w:sz w:val="24"/>
      </w:rPr>
    </w:lvl>
    <w:lvl w:ilvl="4" w:tentative="0">
      <w:start w:val="1"/>
      <w:numFmt w:val="decimal"/>
      <w:isLgl/>
      <w:lvlText w:val="%1.%2.%3.%4.%5"/>
      <w:lvlJc w:val="left"/>
      <w:pPr>
        <w:tabs>
          <w:tab w:val="left" w:pos="1713"/>
        </w:tabs>
        <w:ind w:left="633" w:firstLine="0"/>
      </w:pPr>
      <w:rPr>
        <w:rFonts w:hint="default" w:ascii="Times New Roman" w:hAnsi="Times New Roman" w:eastAsia="宋体"/>
        <w:b/>
        <w:i w:val="0"/>
        <w:sz w:val="24"/>
      </w:rPr>
    </w:lvl>
    <w:lvl w:ilvl="5" w:tentative="0">
      <w:start w:val="1"/>
      <w:numFmt w:val="decimal"/>
      <w:isLgl/>
      <w:lvlText w:val="%1.%2.%3.%4.%5.%6"/>
      <w:lvlJc w:val="left"/>
      <w:pPr>
        <w:tabs>
          <w:tab w:val="left" w:pos="2433"/>
        </w:tabs>
        <w:ind w:left="1767" w:hanging="1134"/>
      </w:pPr>
      <w:rPr>
        <w:rFonts w:hint="eastAsia"/>
      </w:rPr>
    </w:lvl>
    <w:lvl w:ilvl="6" w:tentative="0">
      <w:start w:val="1"/>
      <w:numFmt w:val="decimal"/>
      <w:lvlText w:val="%1.%2.%3.%4.%5.%6.%7."/>
      <w:lvlJc w:val="left"/>
      <w:pPr>
        <w:tabs>
          <w:tab w:val="left" w:pos="1909"/>
        </w:tabs>
        <w:ind w:left="1909" w:hanging="1276"/>
      </w:pPr>
      <w:rPr>
        <w:rFonts w:hint="eastAsia"/>
      </w:rPr>
    </w:lvl>
    <w:lvl w:ilvl="7" w:tentative="0">
      <w:start w:val="1"/>
      <w:numFmt w:val="decimal"/>
      <w:lvlText w:val="%1.%2.%3.%4.%5.%6.%7.%8."/>
      <w:lvlJc w:val="left"/>
      <w:pPr>
        <w:tabs>
          <w:tab w:val="left" w:pos="2051"/>
        </w:tabs>
        <w:ind w:left="2051" w:hanging="1418"/>
      </w:pPr>
      <w:rPr>
        <w:rFonts w:hint="eastAsia"/>
      </w:rPr>
    </w:lvl>
    <w:lvl w:ilvl="8" w:tentative="0">
      <w:start w:val="1"/>
      <w:numFmt w:val="decimal"/>
      <w:lvlText w:val="%1.%2.%3.%4.%5.%6.%7.%8.%9."/>
      <w:lvlJc w:val="left"/>
      <w:pPr>
        <w:tabs>
          <w:tab w:val="left" w:pos="2192"/>
        </w:tabs>
        <w:ind w:left="2192" w:hanging="1559"/>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Yzg5OTJiNjMyZjhmNzdmOWQwZDAzZjkwOGQ1ZDkifQ=="/>
    <w:docVar w:name="KSO_WPS_MARK_KEY" w:val="c29459ca-fccb-4783-abd8-0a0eb81fa278"/>
  </w:docVars>
  <w:rsids>
    <w:rsidRoot w:val="00A14947"/>
    <w:rsid w:val="000046AD"/>
    <w:rsid w:val="000058AD"/>
    <w:rsid w:val="00005E98"/>
    <w:rsid w:val="000060B3"/>
    <w:rsid w:val="0000647B"/>
    <w:rsid w:val="000073E4"/>
    <w:rsid w:val="00014322"/>
    <w:rsid w:val="0001440C"/>
    <w:rsid w:val="000151E1"/>
    <w:rsid w:val="00015777"/>
    <w:rsid w:val="000214EA"/>
    <w:rsid w:val="00021FBC"/>
    <w:rsid w:val="000227C7"/>
    <w:rsid w:val="00023601"/>
    <w:rsid w:val="00025301"/>
    <w:rsid w:val="00027B40"/>
    <w:rsid w:val="00032953"/>
    <w:rsid w:val="000359B8"/>
    <w:rsid w:val="00035C57"/>
    <w:rsid w:val="00036409"/>
    <w:rsid w:val="000417B7"/>
    <w:rsid w:val="00043491"/>
    <w:rsid w:val="0004364B"/>
    <w:rsid w:val="00043FCD"/>
    <w:rsid w:val="0004412B"/>
    <w:rsid w:val="00050FF8"/>
    <w:rsid w:val="00052D3E"/>
    <w:rsid w:val="000537DE"/>
    <w:rsid w:val="0005477B"/>
    <w:rsid w:val="00054A44"/>
    <w:rsid w:val="00056EEF"/>
    <w:rsid w:val="00061B1F"/>
    <w:rsid w:val="00065B59"/>
    <w:rsid w:val="00070F54"/>
    <w:rsid w:val="00071651"/>
    <w:rsid w:val="000733C4"/>
    <w:rsid w:val="00073C54"/>
    <w:rsid w:val="00074069"/>
    <w:rsid w:val="00074783"/>
    <w:rsid w:val="00076727"/>
    <w:rsid w:val="0008070B"/>
    <w:rsid w:val="000810AC"/>
    <w:rsid w:val="0008139F"/>
    <w:rsid w:val="00081A02"/>
    <w:rsid w:val="00082231"/>
    <w:rsid w:val="00082A1E"/>
    <w:rsid w:val="000846AF"/>
    <w:rsid w:val="00087A39"/>
    <w:rsid w:val="00092D38"/>
    <w:rsid w:val="0009377B"/>
    <w:rsid w:val="000A20C9"/>
    <w:rsid w:val="000A37D4"/>
    <w:rsid w:val="000A6213"/>
    <w:rsid w:val="000B058F"/>
    <w:rsid w:val="000B33ED"/>
    <w:rsid w:val="000B4467"/>
    <w:rsid w:val="000B4DB9"/>
    <w:rsid w:val="000B66DA"/>
    <w:rsid w:val="000C09AC"/>
    <w:rsid w:val="000C129B"/>
    <w:rsid w:val="000C1617"/>
    <w:rsid w:val="000C2CC2"/>
    <w:rsid w:val="000C3AB4"/>
    <w:rsid w:val="000C3C2C"/>
    <w:rsid w:val="000C767F"/>
    <w:rsid w:val="000D09B0"/>
    <w:rsid w:val="000D0F73"/>
    <w:rsid w:val="000D47E0"/>
    <w:rsid w:val="000D5A44"/>
    <w:rsid w:val="000D6756"/>
    <w:rsid w:val="000E3170"/>
    <w:rsid w:val="000E3ED2"/>
    <w:rsid w:val="000E597D"/>
    <w:rsid w:val="000F1C60"/>
    <w:rsid w:val="000F444D"/>
    <w:rsid w:val="00101D77"/>
    <w:rsid w:val="00104C29"/>
    <w:rsid w:val="0010746F"/>
    <w:rsid w:val="00110E84"/>
    <w:rsid w:val="001111DC"/>
    <w:rsid w:val="001166C4"/>
    <w:rsid w:val="00116967"/>
    <w:rsid w:val="0012196D"/>
    <w:rsid w:val="00131942"/>
    <w:rsid w:val="00131B8D"/>
    <w:rsid w:val="00131F42"/>
    <w:rsid w:val="00132307"/>
    <w:rsid w:val="0013339E"/>
    <w:rsid w:val="00133AA7"/>
    <w:rsid w:val="001357F1"/>
    <w:rsid w:val="001409B5"/>
    <w:rsid w:val="00140E71"/>
    <w:rsid w:val="00140FA8"/>
    <w:rsid w:val="00142940"/>
    <w:rsid w:val="00142FEB"/>
    <w:rsid w:val="00143A2D"/>
    <w:rsid w:val="00144814"/>
    <w:rsid w:val="00145A41"/>
    <w:rsid w:val="0015018B"/>
    <w:rsid w:val="00151675"/>
    <w:rsid w:val="00151E4C"/>
    <w:rsid w:val="001541F3"/>
    <w:rsid w:val="001566A4"/>
    <w:rsid w:val="00157435"/>
    <w:rsid w:val="00163052"/>
    <w:rsid w:val="00163B0A"/>
    <w:rsid w:val="00172D2A"/>
    <w:rsid w:val="001736F1"/>
    <w:rsid w:val="0017458F"/>
    <w:rsid w:val="00174A82"/>
    <w:rsid w:val="0017504D"/>
    <w:rsid w:val="001753CE"/>
    <w:rsid w:val="0017671A"/>
    <w:rsid w:val="00177308"/>
    <w:rsid w:val="00177422"/>
    <w:rsid w:val="001777EF"/>
    <w:rsid w:val="00181C24"/>
    <w:rsid w:val="001835ED"/>
    <w:rsid w:val="00184150"/>
    <w:rsid w:val="00184590"/>
    <w:rsid w:val="001870D1"/>
    <w:rsid w:val="0018781E"/>
    <w:rsid w:val="0018798C"/>
    <w:rsid w:val="00190A3B"/>
    <w:rsid w:val="00190B67"/>
    <w:rsid w:val="00191C23"/>
    <w:rsid w:val="0019262D"/>
    <w:rsid w:val="001932C4"/>
    <w:rsid w:val="00195B49"/>
    <w:rsid w:val="00196A63"/>
    <w:rsid w:val="0019758C"/>
    <w:rsid w:val="001A1B35"/>
    <w:rsid w:val="001A303D"/>
    <w:rsid w:val="001A366A"/>
    <w:rsid w:val="001A389F"/>
    <w:rsid w:val="001A3D97"/>
    <w:rsid w:val="001A48A2"/>
    <w:rsid w:val="001A5A91"/>
    <w:rsid w:val="001A5D1B"/>
    <w:rsid w:val="001A6D04"/>
    <w:rsid w:val="001A6F61"/>
    <w:rsid w:val="001B0585"/>
    <w:rsid w:val="001B098E"/>
    <w:rsid w:val="001B0B7D"/>
    <w:rsid w:val="001B0C99"/>
    <w:rsid w:val="001B35FF"/>
    <w:rsid w:val="001B3DCA"/>
    <w:rsid w:val="001B6C94"/>
    <w:rsid w:val="001B72B8"/>
    <w:rsid w:val="001B7FCA"/>
    <w:rsid w:val="001C2E92"/>
    <w:rsid w:val="001C4C12"/>
    <w:rsid w:val="001C69B3"/>
    <w:rsid w:val="001C7F83"/>
    <w:rsid w:val="001D5595"/>
    <w:rsid w:val="001D5E46"/>
    <w:rsid w:val="001D7874"/>
    <w:rsid w:val="001D7F22"/>
    <w:rsid w:val="001E0308"/>
    <w:rsid w:val="001F0F17"/>
    <w:rsid w:val="001F175F"/>
    <w:rsid w:val="001F3347"/>
    <w:rsid w:val="001F401C"/>
    <w:rsid w:val="001F5E2D"/>
    <w:rsid w:val="001F69E4"/>
    <w:rsid w:val="0020155E"/>
    <w:rsid w:val="00203444"/>
    <w:rsid w:val="002038B2"/>
    <w:rsid w:val="00205BEC"/>
    <w:rsid w:val="002061AD"/>
    <w:rsid w:val="00206E0C"/>
    <w:rsid w:val="0020762F"/>
    <w:rsid w:val="00207E76"/>
    <w:rsid w:val="002125B4"/>
    <w:rsid w:val="00212FD0"/>
    <w:rsid w:val="002155B8"/>
    <w:rsid w:val="00221364"/>
    <w:rsid w:val="0022437B"/>
    <w:rsid w:val="00224839"/>
    <w:rsid w:val="002249B2"/>
    <w:rsid w:val="00225BE2"/>
    <w:rsid w:val="00226574"/>
    <w:rsid w:val="002278EC"/>
    <w:rsid w:val="002311C9"/>
    <w:rsid w:val="0023280E"/>
    <w:rsid w:val="002337BE"/>
    <w:rsid w:val="002350A3"/>
    <w:rsid w:val="00236ECA"/>
    <w:rsid w:val="002377D1"/>
    <w:rsid w:val="0024097D"/>
    <w:rsid w:val="00241B32"/>
    <w:rsid w:val="0024254C"/>
    <w:rsid w:val="00245CC9"/>
    <w:rsid w:val="00246A7A"/>
    <w:rsid w:val="002479C1"/>
    <w:rsid w:val="002506BC"/>
    <w:rsid w:val="00251016"/>
    <w:rsid w:val="00252EB3"/>
    <w:rsid w:val="00253083"/>
    <w:rsid w:val="002539F7"/>
    <w:rsid w:val="00254345"/>
    <w:rsid w:val="0025485F"/>
    <w:rsid w:val="0025542A"/>
    <w:rsid w:val="00260D82"/>
    <w:rsid w:val="00262652"/>
    <w:rsid w:val="00264557"/>
    <w:rsid w:val="00265DF9"/>
    <w:rsid w:val="00267B58"/>
    <w:rsid w:val="00272C8A"/>
    <w:rsid w:val="00273E79"/>
    <w:rsid w:val="00274473"/>
    <w:rsid w:val="00274925"/>
    <w:rsid w:val="00276F47"/>
    <w:rsid w:val="00277BDC"/>
    <w:rsid w:val="002805AB"/>
    <w:rsid w:val="00284204"/>
    <w:rsid w:val="00284EA2"/>
    <w:rsid w:val="00285ED9"/>
    <w:rsid w:val="002876B6"/>
    <w:rsid w:val="00287789"/>
    <w:rsid w:val="002878F5"/>
    <w:rsid w:val="002900E5"/>
    <w:rsid w:val="00291773"/>
    <w:rsid w:val="00291DAC"/>
    <w:rsid w:val="00291EAE"/>
    <w:rsid w:val="00293214"/>
    <w:rsid w:val="00293488"/>
    <w:rsid w:val="00293843"/>
    <w:rsid w:val="002938F3"/>
    <w:rsid w:val="002959AA"/>
    <w:rsid w:val="00295D7B"/>
    <w:rsid w:val="00295ED5"/>
    <w:rsid w:val="002A07A6"/>
    <w:rsid w:val="002A168C"/>
    <w:rsid w:val="002A2E02"/>
    <w:rsid w:val="002A3AEC"/>
    <w:rsid w:val="002A3DC7"/>
    <w:rsid w:val="002A516B"/>
    <w:rsid w:val="002A5D72"/>
    <w:rsid w:val="002A7850"/>
    <w:rsid w:val="002B1F67"/>
    <w:rsid w:val="002B49E2"/>
    <w:rsid w:val="002B50C4"/>
    <w:rsid w:val="002B76DE"/>
    <w:rsid w:val="002B7B00"/>
    <w:rsid w:val="002B7C44"/>
    <w:rsid w:val="002C179B"/>
    <w:rsid w:val="002C2B17"/>
    <w:rsid w:val="002C33F8"/>
    <w:rsid w:val="002C5706"/>
    <w:rsid w:val="002D157E"/>
    <w:rsid w:val="002D3DD0"/>
    <w:rsid w:val="002D564D"/>
    <w:rsid w:val="002E1F3A"/>
    <w:rsid w:val="002E298A"/>
    <w:rsid w:val="002E490E"/>
    <w:rsid w:val="002E4BD2"/>
    <w:rsid w:val="002E692D"/>
    <w:rsid w:val="002E7CE5"/>
    <w:rsid w:val="002F0AC5"/>
    <w:rsid w:val="002F0DB9"/>
    <w:rsid w:val="00301978"/>
    <w:rsid w:val="0030332C"/>
    <w:rsid w:val="00304356"/>
    <w:rsid w:val="003051C2"/>
    <w:rsid w:val="00306C75"/>
    <w:rsid w:val="003109E1"/>
    <w:rsid w:val="00312296"/>
    <w:rsid w:val="00314F0E"/>
    <w:rsid w:val="00317041"/>
    <w:rsid w:val="003172B4"/>
    <w:rsid w:val="00321540"/>
    <w:rsid w:val="00321D8E"/>
    <w:rsid w:val="00322300"/>
    <w:rsid w:val="003228D3"/>
    <w:rsid w:val="003234F1"/>
    <w:rsid w:val="00325928"/>
    <w:rsid w:val="00330548"/>
    <w:rsid w:val="00331B69"/>
    <w:rsid w:val="0033218D"/>
    <w:rsid w:val="00332863"/>
    <w:rsid w:val="0033307E"/>
    <w:rsid w:val="00335E25"/>
    <w:rsid w:val="00335FA1"/>
    <w:rsid w:val="00336130"/>
    <w:rsid w:val="0033634B"/>
    <w:rsid w:val="00336615"/>
    <w:rsid w:val="0033679B"/>
    <w:rsid w:val="0033684D"/>
    <w:rsid w:val="00336CF6"/>
    <w:rsid w:val="00336D24"/>
    <w:rsid w:val="00337B42"/>
    <w:rsid w:val="00337CFC"/>
    <w:rsid w:val="003410DC"/>
    <w:rsid w:val="00341B42"/>
    <w:rsid w:val="0034348F"/>
    <w:rsid w:val="003434A3"/>
    <w:rsid w:val="00343F36"/>
    <w:rsid w:val="00345FB4"/>
    <w:rsid w:val="00354B49"/>
    <w:rsid w:val="003554FC"/>
    <w:rsid w:val="00356653"/>
    <w:rsid w:val="0035743F"/>
    <w:rsid w:val="00357BE2"/>
    <w:rsid w:val="0036170C"/>
    <w:rsid w:val="00366E0F"/>
    <w:rsid w:val="00367F43"/>
    <w:rsid w:val="0037184C"/>
    <w:rsid w:val="00371B9B"/>
    <w:rsid w:val="003729C8"/>
    <w:rsid w:val="00376AB6"/>
    <w:rsid w:val="0037794C"/>
    <w:rsid w:val="00377F1B"/>
    <w:rsid w:val="00380897"/>
    <w:rsid w:val="00381A72"/>
    <w:rsid w:val="00384676"/>
    <w:rsid w:val="00384685"/>
    <w:rsid w:val="00384D81"/>
    <w:rsid w:val="003877F6"/>
    <w:rsid w:val="00390857"/>
    <w:rsid w:val="00392485"/>
    <w:rsid w:val="003974E5"/>
    <w:rsid w:val="003A1BEC"/>
    <w:rsid w:val="003A4BF3"/>
    <w:rsid w:val="003A5E5A"/>
    <w:rsid w:val="003B0278"/>
    <w:rsid w:val="003B217F"/>
    <w:rsid w:val="003B2DC5"/>
    <w:rsid w:val="003B420D"/>
    <w:rsid w:val="003B54D6"/>
    <w:rsid w:val="003B5F7A"/>
    <w:rsid w:val="003B799A"/>
    <w:rsid w:val="003C6C16"/>
    <w:rsid w:val="003C7A33"/>
    <w:rsid w:val="003D1B87"/>
    <w:rsid w:val="003D2CB2"/>
    <w:rsid w:val="003D38C6"/>
    <w:rsid w:val="003D794D"/>
    <w:rsid w:val="003E0566"/>
    <w:rsid w:val="003E3058"/>
    <w:rsid w:val="003E3423"/>
    <w:rsid w:val="003E435C"/>
    <w:rsid w:val="003E76A9"/>
    <w:rsid w:val="003F0707"/>
    <w:rsid w:val="003F0809"/>
    <w:rsid w:val="003F2C9B"/>
    <w:rsid w:val="003F6A8C"/>
    <w:rsid w:val="003F755C"/>
    <w:rsid w:val="00402709"/>
    <w:rsid w:val="00403BEE"/>
    <w:rsid w:val="00406F01"/>
    <w:rsid w:val="00407ED7"/>
    <w:rsid w:val="00410BD7"/>
    <w:rsid w:val="00416AD4"/>
    <w:rsid w:val="00416D50"/>
    <w:rsid w:val="00416FD5"/>
    <w:rsid w:val="00417772"/>
    <w:rsid w:val="0042082E"/>
    <w:rsid w:val="00420E6A"/>
    <w:rsid w:val="00421DCD"/>
    <w:rsid w:val="00425630"/>
    <w:rsid w:val="00425A9E"/>
    <w:rsid w:val="00425B43"/>
    <w:rsid w:val="00425D93"/>
    <w:rsid w:val="00426D6B"/>
    <w:rsid w:val="00431E6C"/>
    <w:rsid w:val="00432ABA"/>
    <w:rsid w:val="00433788"/>
    <w:rsid w:val="00433CE7"/>
    <w:rsid w:val="0043413A"/>
    <w:rsid w:val="0043540F"/>
    <w:rsid w:val="00435A92"/>
    <w:rsid w:val="0044074B"/>
    <w:rsid w:val="004511E2"/>
    <w:rsid w:val="004515C3"/>
    <w:rsid w:val="00452738"/>
    <w:rsid w:val="00453000"/>
    <w:rsid w:val="00453627"/>
    <w:rsid w:val="004544DC"/>
    <w:rsid w:val="00456091"/>
    <w:rsid w:val="00456BCB"/>
    <w:rsid w:val="00456EBF"/>
    <w:rsid w:val="00457B9A"/>
    <w:rsid w:val="00460303"/>
    <w:rsid w:val="00460D54"/>
    <w:rsid w:val="00460F6D"/>
    <w:rsid w:val="00462077"/>
    <w:rsid w:val="00462095"/>
    <w:rsid w:val="00466321"/>
    <w:rsid w:val="00473FC3"/>
    <w:rsid w:val="00476DBB"/>
    <w:rsid w:val="00476EDF"/>
    <w:rsid w:val="00484B9B"/>
    <w:rsid w:val="004855F6"/>
    <w:rsid w:val="004856D8"/>
    <w:rsid w:val="0048661E"/>
    <w:rsid w:val="00490BD8"/>
    <w:rsid w:val="00491E7A"/>
    <w:rsid w:val="00494670"/>
    <w:rsid w:val="004946BF"/>
    <w:rsid w:val="00496DC0"/>
    <w:rsid w:val="004A06CC"/>
    <w:rsid w:val="004A1062"/>
    <w:rsid w:val="004A3823"/>
    <w:rsid w:val="004A3980"/>
    <w:rsid w:val="004A6C6B"/>
    <w:rsid w:val="004A6DA1"/>
    <w:rsid w:val="004C184A"/>
    <w:rsid w:val="004C4F61"/>
    <w:rsid w:val="004C65B1"/>
    <w:rsid w:val="004D0EA1"/>
    <w:rsid w:val="004D2752"/>
    <w:rsid w:val="004D3DCF"/>
    <w:rsid w:val="004D477E"/>
    <w:rsid w:val="004E1282"/>
    <w:rsid w:val="004E2CA9"/>
    <w:rsid w:val="004E2E0A"/>
    <w:rsid w:val="004E32BB"/>
    <w:rsid w:val="004E38D2"/>
    <w:rsid w:val="004E3F4A"/>
    <w:rsid w:val="004E6946"/>
    <w:rsid w:val="004F0B5B"/>
    <w:rsid w:val="004F1962"/>
    <w:rsid w:val="004F1AD8"/>
    <w:rsid w:val="004F1DA1"/>
    <w:rsid w:val="004F2008"/>
    <w:rsid w:val="00500A76"/>
    <w:rsid w:val="005013DE"/>
    <w:rsid w:val="00503750"/>
    <w:rsid w:val="005039CB"/>
    <w:rsid w:val="0050558F"/>
    <w:rsid w:val="00506286"/>
    <w:rsid w:val="005067B4"/>
    <w:rsid w:val="00507B39"/>
    <w:rsid w:val="00507BA2"/>
    <w:rsid w:val="00510813"/>
    <w:rsid w:val="00511990"/>
    <w:rsid w:val="00511DE0"/>
    <w:rsid w:val="00511EEE"/>
    <w:rsid w:val="00512CDC"/>
    <w:rsid w:val="00514870"/>
    <w:rsid w:val="00514B9B"/>
    <w:rsid w:val="005160A9"/>
    <w:rsid w:val="00516538"/>
    <w:rsid w:val="00517F02"/>
    <w:rsid w:val="00524303"/>
    <w:rsid w:val="005245EA"/>
    <w:rsid w:val="005258A2"/>
    <w:rsid w:val="005401AE"/>
    <w:rsid w:val="00540838"/>
    <w:rsid w:val="005408FC"/>
    <w:rsid w:val="00542E07"/>
    <w:rsid w:val="00545424"/>
    <w:rsid w:val="005516B4"/>
    <w:rsid w:val="005523D1"/>
    <w:rsid w:val="0055351D"/>
    <w:rsid w:val="005539E3"/>
    <w:rsid w:val="00553BA1"/>
    <w:rsid w:val="00554A7B"/>
    <w:rsid w:val="0055572C"/>
    <w:rsid w:val="00556AA6"/>
    <w:rsid w:val="005608A7"/>
    <w:rsid w:val="0056106A"/>
    <w:rsid w:val="005611F0"/>
    <w:rsid w:val="00563990"/>
    <w:rsid w:val="005650C6"/>
    <w:rsid w:val="00566900"/>
    <w:rsid w:val="00567A1F"/>
    <w:rsid w:val="005720AE"/>
    <w:rsid w:val="00573A40"/>
    <w:rsid w:val="00575926"/>
    <w:rsid w:val="00581C4B"/>
    <w:rsid w:val="005845DC"/>
    <w:rsid w:val="00584C1D"/>
    <w:rsid w:val="00586799"/>
    <w:rsid w:val="00587385"/>
    <w:rsid w:val="005902EF"/>
    <w:rsid w:val="005922FB"/>
    <w:rsid w:val="00592EE7"/>
    <w:rsid w:val="00594D77"/>
    <w:rsid w:val="005969E4"/>
    <w:rsid w:val="00597878"/>
    <w:rsid w:val="005A0355"/>
    <w:rsid w:val="005A042A"/>
    <w:rsid w:val="005A06B7"/>
    <w:rsid w:val="005A1030"/>
    <w:rsid w:val="005A1759"/>
    <w:rsid w:val="005A68A7"/>
    <w:rsid w:val="005B0358"/>
    <w:rsid w:val="005B044D"/>
    <w:rsid w:val="005B283F"/>
    <w:rsid w:val="005B2A83"/>
    <w:rsid w:val="005B34BC"/>
    <w:rsid w:val="005B3D38"/>
    <w:rsid w:val="005B6427"/>
    <w:rsid w:val="005C4479"/>
    <w:rsid w:val="005C5E21"/>
    <w:rsid w:val="005C61C1"/>
    <w:rsid w:val="005C65E0"/>
    <w:rsid w:val="005C71DF"/>
    <w:rsid w:val="005D06C3"/>
    <w:rsid w:val="005D1B12"/>
    <w:rsid w:val="005D36AB"/>
    <w:rsid w:val="005D3DA7"/>
    <w:rsid w:val="005D5D1A"/>
    <w:rsid w:val="005D6442"/>
    <w:rsid w:val="005D7FC0"/>
    <w:rsid w:val="005E0A95"/>
    <w:rsid w:val="005E1E46"/>
    <w:rsid w:val="005E2889"/>
    <w:rsid w:val="005E738D"/>
    <w:rsid w:val="005E7E41"/>
    <w:rsid w:val="005F00A2"/>
    <w:rsid w:val="005F131A"/>
    <w:rsid w:val="005F5391"/>
    <w:rsid w:val="00600A71"/>
    <w:rsid w:val="00600ECC"/>
    <w:rsid w:val="00603CFB"/>
    <w:rsid w:val="00610583"/>
    <w:rsid w:val="00611F81"/>
    <w:rsid w:val="006125AA"/>
    <w:rsid w:val="00614053"/>
    <w:rsid w:val="006141AA"/>
    <w:rsid w:val="00616EBB"/>
    <w:rsid w:val="00617CC3"/>
    <w:rsid w:val="00622D09"/>
    <w:rsid w:val="0062440D"/>
    <w:rsid w:val="0062534C"/>
    <w:rsid w:val="00631259"/>
    <w:rsid w:val="0063275A"/>
    <w:rsid w:val="006377A6"/>
    <w:rsid w:val="00637A3D"/>
    <w:rsid w:val="006407A2"/>
    <w:rsid w:val="006411EF"/>
    <w:rsid w:val="0064123D"/>
    <w:rsid w:val="006416E2"/>
    <w:rsid w:val="00642BCE"/>
    <w:rsid w:val="006432DB"/>
    <w:rsid w:val="0064608A"/>
    <w:rsid w:val="00650697"/>
    <w:rsid w:val="00652091"/>
    <w:rsid w:val="00654165"/>
    <w:rsid w:val="0066206E"/>
    <w:rsid w:val="00662223"/>
    <w:rsid w:val="00662DDB"/>
    <w:rsid w:val="0067071F"/>
    <w:rsid w:val="00671978"/>
    <w:rsid w:val="006738AA"/>
    <w:rsid w:val="00674542"/>
    <w:rsid w:val="006748B8"/>
    <w:rsid w:val="0067605C"/>
    <w:rsid w:val="006775C3"/>
    <w:rsid w:val="00677DE7"/>
    <w:rsid w:val="006819B2"/>
    <w:rsid w:val="00681D55"/>
    <w:rsid w:val="00683BD9"/>
    <w:rsid w:val="00686AD5"/>
    <w:rsid w:val="006901A8"/>
    <w:rsid w:val="00690C12"/>
    <w:rsid w:val="00691291"/>
    <w:rsid w:val="0069290A"/>
    <w:rsid w:val="00692CF3"/>
    <w:rsid w:val="00693514"/>
    <w:rsid w:val="0069474B"/>
    <w:rsid w:val="00694A51"/>
    <w:rsid w:val="00697177"/>
    <w:rsid w:val="0069775A"/>
    <w:rsid w:val="00697813"/>
    <w:rsid w:val="006A1690"/>
    <w:rsid w:val="006A2A1D"/>
    <w:rsid w:val="006A3EE8"/>
    <w:rsid w:val="006A57CD"/>
    <w:rsid w:val="006A58F2"/>
    <w:rsid w:val="006A5FF1"/>
    <w:rsid w:val="006A72BF"/>
    <w:rsid w:val="006B03F2"/>
    <w:rsid w:val="006B0D21"/>
    <w:rsid w:val="006B1247"/>
    <w:rsid w:val="006B37DC"/>
    <w:rsid w:val="006B3E66"/>
    <w:rsid w:val="006B4F68"/>
    <w:rsid w:val="006B5C06"/>
    <w:rsid w:val="006B5F6D"/>
    <w:rsid w:val="006B6CBB"/>
    <w:rsid w:val="006B6CF8"/>
    <w:rsid w:val="006B7CA3"/>
    <w:rsid w:val="006C01A4"/>
    <w:rsid w:val="006C0592"/>
    <w:rsid w:val="006C272E"/>
    <w:rsid w:val="006C2A7D"/>
    <w:rsid w:val="006C47C2"/>
    <w:rsid w:val="006C5479"/>
    <w:rsid w:val="006C5FD5"/>
    <w:rsid w:val="006C697A"/>
    <w:rsid w:val="006D13B5"/>
    <w:rsid w:val="006D7EDC"/>
    <w:rsid w:val="006E0BAF"/>
    <w:rsid w:val="006E12FF"/>
    <w:rsid w:val="006E27B0"/>
    <w:rsid w:val="006E2CC8"/>
    <w:rsid w:val="006E5881"/>
    <w:rsid w:val="006E607E"/>
    <w:rsid w:val="006E7709"/>
    <w:rsid w:val="006F02AF"/>
    <w:rsid w:val="006F0863"/>
    <w:rsid w:val="006F0BD5"/>
    <w:rsid w:val="006F5258"/>
    <w:rsid w:val="0070015E"/>
    <w:rsid w:val="00700D1A"/>
    <w:rsid w:val="00702BDE"/>
    <w:rsid w:val="0070469A"/>
    <w:rsid w:val="00706B70"/>
    <w:rsid w:val="00706C5D"/>
    <w:rsid w:val="00711C41"/>
    <w:rsid w:val="0071346F"/>
    <w:rsid w:val="00715CA7"/>
    <w:rsid w:val="00716630"/>
    <w:rsid w:val="0071685A"/>
    <w:rsid w:val="00717085"/>
    <w:rsid w:val="00721F68"/>
    <w:rsid w:val="007245DF"/>
    <w:rsid w:val="00724D56"/>
    <w:rsid w:val="0072767C"/>
    <w:rsid w:val="00730041"/>
    <w:rsid w:val="007309AC"/>
    <w:rsid w:val="00731098"/>
    <w:rsid w:val="00731467"/>
    <w:rsid w:val="00732922"/>
    <w:rsid w:val="00732B41"/>
    <w:rsid w:val="00732F0C"/>
    <w:rsid w:val="00736D1A"/>
    <w:rsid w:val="00742228"/>
    <w:rsid w:val="00743398"/>
    <w:rsid w:val="0074522D"/>
    <w:rsid w:val="007459E2"/>
    <w:rsid w:val="0075162E"/>
    <w:rsid w:val="007520A2"/>
    <w:rsid w:val="00754034"/>
    <w:rsid w:val="007551AA"/>
    <w:rsid w:val="0075615A"/>
    <w:rsid w:val="007561C4"/>
    <w:rsid w:val="00756556"/>
    <w:rsid w:val="00757E22"/>
    <w:rsid w:val="00760215"/>
    <w:rsid w:val="007611FD"/>
    <w:rsid w:val="007618C4"/>
    <w:rsid w:val="00765352"/>
    <w:rsid w:val="00765C8D"/>
    <w:rsid w:val="00767980"/>
    <w:rsid w:val="00770B19"/>
    <w:rsid w:val="00772B32"/>
    <w:rsid w:val="0077463F"/>
    <w:rsid w:val="00782633"/>
    <w:rsid w:val="00782CFB"/>
    <w:rsid w:val="007836EA"/>
    <w:rsid w:val="00783939"/>
    <w:rsid w:val="00784CDA"/>
    <w:rsid w:val="007906C4"/>
    <w:rsid w:val="00792665"/>
    <w:rsid w:val="007940EA"/>
    <w:rsid w:val="00794161"/>
    <w:rsid w:val="00795CAA"/>
    <w:rsid w:val="00795CFF"/>
    <w:rsid w:val="007967E8"/>
    <w:rsid w:val="007A05CC"/>
    <w:rsid w:val="007A2170"/>
    <w:rsid w:val="007A22BF"/>
    <w:rsid w:val="007A328C"/>
    <w:rsid w:val="007A3323"/>
    <w:rsid w:val="007A68AE"/>
    <w:rsid w:val="007B01D7"/>
    <w:rsid w:val="007B0F58"/>
    <w:rsid w:val="007B3FF3"/>
    <w:rsid w:val="007B5304"/>
    <w:rsid w:val="007B69C3"/>
    <w:rsid w:val="007B72B8"/>
    <w:rsid w:val="007B7A58"/>
    <w:rsid w:val="007C18B0"/>
    <w:rsid w:val="007C1DBC"/>
    <w:rsid w:val="007C21B5"/>
    <w:rsid w:val="007C2BAD"/>
    <w:rsid w:val="007C38D4"/>
    <w:rsid w:val="007C3F55"/>
    <w:rsid w:val="007C41A1"/>
    <w:rsid w:val="007D015C"/>
    <w:rsid w:val="007D0669"/>
    <w:rsid w:val="007D10FE"/>
    <w:rsid w:val="007D1CCE"/>
    <w:rsid w:val="007D41F9"/>
    <w:rsid w:val="007D6560"/>
    <w:rsid w:val="007D700B"/>
    <w:rsid w:val="007D75F2"/>
    <w:rsid w:val="007D7703"/>
    <w:rsid w:val="007E0578"/>
    <w:rsid w:val="007E153A"/>
    <w:rsid w:val="007E2E54"/>
    <w:rsid w:val="007E33FB"/>
    <w:rsid w:val="007E45FC"/>
    <w:rsid w:val="007E4BD2"/>
    <w:rsid w:val="007E4FEC"/>
    <w:rsid w:val="007E5B68"/>
    <w:rsid w:val="007F053D"/>
    <w:rsid w:val="007F18EC"/>
    <w:rsid w:val="007F228E"/>
    <w:rsid w:val="007F4A55"/>
    <w:rsid w:val="007F5877"/>
    <w:rsid w:val="007F6F8E"/>
    <w:rsid w:val="00801393"/>
    <w:rsid w:val="00801FD1"/>
    <w:rsid w:val="00802B42"/>
    <w:rsid w:val="00802EAF"/>
    <w:rsid w:val="00802F88"/>
    <w:rsid w:val="0080486F"/>
    <w:rsid w:val="00805CF8"/>
    <w:rsid w:val="00810F8E"/>
    <w:rsid w:val="008125BC"/>
    <w:rsid w:val="0081268C"/>
    <w:rsid w:val="0081293E"/>
    <w:rsid w:val="00812A06"/>
    <w:rsid w:val="00814229"/>
    <w:rsid w:val="0081477F"/>
    <w:rsid w:val="008148CB"/>
    <w:rsid w:val="00815465"/>
    <w:rsid w:val="008158D9"/>
    <w:rsid w:val="00817E9A"/>
    <w:rsid w:val="0082056C"/>
    <w:rsid w:val="00826F98"/>
    <w:rsid w:val="008306BD"/>
    <w:rsid w:val="00830A6F"/>
    <w:rsid w:val="00831A80"/>
    <w:rsid w:val="00832B44"/>
    <w:rsid w:val="00833743"/>
    <w:rsid w:val="008340A4"/>
    <w:rsid w:val="0083427A"/>
    <w:rsid w:val="00841234"/>
    <w:rsid w:val="00847937"/>
    <w:rsid w:val="0085648A"/>
    <w:rsid w:val="00857489"/>
    <w:rsid w:val="00865CE7"/>
    <w:rsid w:val="00866535"/>
    <w:rsid w:val="0086655A"/>
    <w:rsid w:val="00867F1F"/>
    <w:rsid w:val="008705E5"/>
    <w:rsid w:val="00870F77"/>
    <w:rsid w:val="0087135F"/>
    <w:rsid w:val="00872D94"/>
    <w:rsid w:val="008758AE"/>
    <w:rsid w:val="00876B75"/>
    <w:rsid w:val="00880364"/>
    <w:rsid w:val="0088119B"/>
    <w:rsid w:val="00890D03"/>
    <w:rsid w:val="00891592"/>
    <w:rsid w:val="00891694"/>
    <w:rsid w:val="00891E9E"/>
    <w:rsid w:val="008929D9"/>
    <w:rsid w:val="00895427"/>
    <w:rsid w:val="008967E1"/>
    <w:rsid w:val="00896A5B"/>
    <w:rsid w:val="008A06B2"/>
    <w:rsid w:val="008A089E"/>
    <w:rsid w:val="008A2F68"/>
    <w:rsid w:val="008B4A00"/>
    <w:rsid w:val="008B4FA6"/>
    <w:rsid w:val="008B5282"/>
    <w:rsid w:val="008B6AC2"/>
    <w:rsid w:val="008B7C17"/>
    <w:rsid w:val="008C2D01"/>
    <w:rsid w:val="008C2EA3"/>
    <w:rsid w:val="008C2F41"/>
    <w:rsid w:val="008C3537"/>
    <w:rsid w:val="008C40E6"/>
    <w:rsid w:val="008C529B"/>
    <w:rsid w:val="008C5A3F"/>
    <w:rsid w:val="008C6489"/>
    <w:rsid w:val="008C7CE4"/>
    <w:rsid w:val="008D0F7A"/>
    <w:rsid w:val="008D1569"/>
    <w:rsid w:val="008D2310"/>
    <w:rsid w:val="008D68E4"/>
    <w:rsid w:val="008E0506"/>
    <w:rsid w:val="008E0CFF"/>
    <w:rsid w:val="008E1A3A"/>
    <w:rsid w:val="008E2424"/>
    <w:rsid w:val="008E4CB8"/>
    <w:rsid w:val="008E5508"/>
    <w:rsid w:val="008E5D6B"/>
    <w:rsid w:val="008E76F0"/>
    <w:rsid w:val="008F01A7"/>
    <w:rsid w:val="008F0658"/>
    <w:rsid w:val="008F0678"/>
    <w:rsid w:val="008F1359"/>
    <w:rsid w:val="008F15FE"/>
    <w:rsid w:val="008F2D29"/>
    <w:rsid w:val="008F5187"/>
    <w:rsid w:val="008F60D8"/>
    <w:rsid w:val="008F77A3"/>
    <w:rsid w:val="0090084B"/>
    <w:rsid w:val="009017E9"/>
    <w:rsid w:val="00902727"/>
    <w:rsid w:val="0090312B"/>
    <w:rsid w:val="009042AA"/>
    <w:rsid w:val="00904A67"/>
    <w:rsid w:val="009053DE"/>
    <w:rsid w:val="00905A6C"/>
    <w:rsid w:val="00911742"/>
    <w:rsid w:val="00914B4E"/>
    <w:rsid w:val="0091736D"/>
    <w:rsid w:val="00920CA2"/>
    <w:rsid w:val="0093037A"/>
    <w:rsid w:val="00931200"/>
    <w:rsid w:val="00933149"/>
    <w:rsid w:val="00934BAF"/>
    <w:rsid w:val="00935D72"/>
    <w:rsid w:val="009412FC"/>
    <w:rsid w:val="0094154D"/>
    <w:rsid w:val="00942A76"/>
    <w:rsid w:val="009433F9"/>
    <w:rsid w:val="00943F7A"/>
    <w:rsid w:val="0095155F"/>
    <w:rsid w:val="00954250"/>
    <w:rsid w:val="00954429"/>
    <w:rsid w:val="0095463D"/>
    <w:rsid w:val="009563CE"/>
    <w:rsid w:val="0095716C"/>
    <w:rsid w:val="00965C8D"/>
    <w:rsid w:val="00970CD9"/>
    <w:rsid w:val="00976328"/>
    <w:rsid w:val="0097680D"/>
    <w:rsid w:val="00976C28"/>
    <w:rsid w:val="009802C5"/>
    <w:rsid w:val="009816B1"/>
    <w:rsid w:val="00981BFD"/>
    <w:rsid w:val="00982438"/>
    <w:rsid w:val="0098404C"/>
    <w:rsid w:val="00985283"/>
    <w:rsid w:val="009857B0"/>
    <w:rsid w:val="0098773D"/>
    <w:rsid w:val="00990848"/>
    <w:rsid w:val="00993E30"/>
    <w:rsid w:val="00995992"/>
    <w:rsid w:val="00996FAC"/>
    <w:rsid w:val="0099763B"/>
    <w:rsid w:val="009A03E5"/>
    <w:rsid w:val="009A069A"/>
    <w:rsid w:val="009A0F3B"/>
    <w:rsid w:val="009A1BB4"/>
    <w:rsid w:val="009A2628"/>
    <w:rsid w:val="009A3200"/>
    <w:rsid w:val="009A347B"/>
    <w:rsid w:val="009A6CFD"/>
    <w:rsid w:val="009A6D9E"/>
    <w:rsid w:val="009B0358"/>
    <w:rsid w:val="009B0897"/>
    <w:rsid w:val="009B538E"/>
    <w:rsid w:val="009B7BD9"/>
    <w:rsid w:val="009C479C"/>
    <w:rsid w:val="009C4AF6"/>
    <w:rsid w:val="009C50C1"/>
    <w:rsid w:val="009C7DD5"/>
    <w:rsid w:val="009D29B5"/>
    <w:rsid w:val="009D4FFF"/>
    <w:rsid w:val="009E030A"/>
    <w:rsid w:val="009E227D"/>
    <w:rsid w:val="009E22E2"/>
    <w:rsid w:val="009E23B1"/>
    <w:rsid w:val="009E251D"/>
    <w:rsid w:val="009E263C"/>
    <w:rsid w:val="009E3358"/>
    <w:rsid w:val="009E38B6"/>
    <w:rsid w:val="009E5019"/>
    <w:rsid w:val="009E61E2"/>
    <w:rsid w:val="009F0992"/>
    <w:rsid w:val="009F42E2"/>
    <w:rsid w:val="009F4E21"/>
    <w:rsid w:val="00A00003"/>
    <w:rsid w:val="00A00416"/>
    <w:rsid w:val="00A0449F"/>
    <w:rsid w:val="00A04F1B"/>
    <w:rsid w:val="00A0501B"/>
    <w:rsid w:val="00A05686"/>
    <w:rsid w:val="00A073DF"/>
    <w:rsid w:val="00A1093C"/>
    <w:rsid w:val="00A14947"/>
    <w:rsid w:val="00A17F87"/>
    <w:rsid w:val="00A21927"/>
    <w:rsid w:val="00A2566D"/>
    <w:rsid w:val="00A27748"/>
    <w:rsid w:val="00A30DDF"/>
    <w:rsid w:val="00A30E7A"/>
    <w:rsid w:val="00A323AF"/>
    <w:rsid w:val="00A32A83"/>
    <w:rsid w:val="00A35221"/>
    <w:rsid w:val="00A368DB"/>
    <w:rsid w:val="00A423AA"/>
    <w:rsid w:val="00A433C0"/>
    <w:rsid w:val="00A434BC"/>
    <w:rsid w:val="00A43785"/>
    <w:rsid w:val="00A53EC6"/>
    <w:rsid w:val="00A544EF"/>
    <w:rsid w:val="00A55BA8"/>
    <w:rsid w:val="00A55C0F"/>
    <w:rsid w:val="00A55F77"/>
    <w:rsid w:val="00A5631B"/>
    <w:rsid w:val="00A573DE"/>
    <w:rsid w:val="00A63E26"/>
    <w:rsid w:val="00A63E9A"/>
    <w:rsid w:val="00A71D41"/>
    <w:rsid w:val="00A721F3"/>
    <w:rsid w:val="00A73A6D"/>
    <w:rsid w:val="00A740FB"/>
    <w:rsid w:val="00A7561E"/>
    <w:rsid w:val="00A769E1"/>
    <w:rsid w:val="00A81624"/>
    <w:rsid w:val="00A82CA6"/>
    <w:rsid w:val="00A832A6"/>
    <w:rsid w:val="00A86D19"/>
    <w:rsid w:val="00A8713F"/>
    <w:rsid w:val="00A90BA1"/>
    <w:rsid w:val="00A926DF"/>
    <w:rsid w:val="00A941BE"/>
    <w:rsid w:val="00A9499C"/>
    <w:rsid w:val="00A97A9A"/>
    <w:rsid w:val="00AA0671"/>
    <w:rsid w:val="00AA2531"/>
    <w:rsid w:val="00AA3F9D"/>
    <w:rsid w:val="00AA52AC"/>
    <w:rsid w:val="00AA7083"/>
    <w:rsid w:val="00AA7F02"/>
    <w:rsid w:val="00AB10D8"/>
    <w:rsid w:val="00AB12CB"/>
    <w:rsid w:val="00AB1DEC"/>
    <w:rsid w:val="00AB1E09"/>
    <w:rsid w:val="00AB2E3F"/>
    <w:rsid w:val="00AB33BA"/>
    <w:rsid w:val="00AB3CC4"/>
    <w:rsid w:val="00AB5330"/>
    <w:rsid w:val="00AB619D"/>
    <w:rsid w:val="00AB63FA"/>
    <w:rsid w:val="00AB7747"/>
    <w:rsid w:val="00AC0E8C"/>
    <w:rsid w:val="00AC14CE"/>
    <w:rsid w:val="00AC21C1"/>
    <w:rsid w:val="00AC2A56"/>
    <w:rsid w:val="00AC3998"/>
    <w:rsid w:val="00AC3D94"/>
    <w:rsid w:val="00AC7D79"/>
    <w:rsid w:val="00AC7ED4"/>
    <w:rsid w:val="00AD03B0"/>
    <w:rsid w:val="00AD055E"/>
    <w:rsid w:val="00AD168A"/>
    <w:rsid w:val="00AD1D60"/>
    <w:rsid w:val="00AD2209"/>
    <w:rsid w:val="00AD350C"/>
    <w:rsid w:val="00AD356B"/>
    <w:rsid w:val="00AD47A7"/>
    <w:rsid w:val="00AD74B9"/>
    <w:rsid w:val="00AE08E6"/>
    <w:rsid w:val="00AE12AE"/>
    <w:rsid w:val="00AE2A3A"/>
    <w:rsid w:val="00AF0CBF"/>
    <w:rsid w:val="00AF242B"/>
    <w:rsid w:val="00AF257F"/>
    <w:rsid w:val="00AF2A69"/>
    <w:rsid w:val="00AF33CF"/>
    <w:rsid w:val="00AF360A"/>
    <w:rsid w:val="00AF46EF"/>
    <w:rsid w:val="00AF4D50"/>
    <w:rsid w:val="00AF6179"/>
    <w:rsid w:val="00B0209F"/>
    <w:rsid w:val="00B0313C"/>
    <w:rsid w:val="00B03B56"/>
    <w:rsid w:val="00B04C13"/>
    <w:rsid w:val="00B06CB6"/>
    <w:rsid w:val="00B1295A"/>
    <w:rsid w:val="00B1445E"/>
    <w:rsid w:val="00B1606D"/>
    <w:rsid w:val="00B2019D"/>
    <w:rsid w:val="00B20A45"/>
    <w:rsid w:val="00B20A76"/>
    <w:rsid w:val="00B22C5C"/>
    <w:rsid w:val="00B23152"/>
    <w:rsid w:val="00B24F30"/>
    <w:rsid w:val="00B25664"/>
    <w:rsid w:val="00B31ABF"/>
    <w:rsid w:val="00B31C8B"/>
    <w:rsid w:val="00B32DC4"/>
    <w:rsid w:val="00B33BE3"/>
    <w:rsid w:val="00B34B6C"/>
    <w:rsid w:val="00B34E20"/>
    <w:rsid w:val="00B36693"/>
    <w:rsid w:val="00B36A7E"/>
    <w:rsid w:val="00B37D2B"/>
    <w:rsid w:val="00B42EF5"/>
    <w:rsid w:val="00B442FB"/>
    <w:rsid w:val="00B50327"/>
    <w:rsid w:val="00B50D38"/>
    <w:rsid w:val="00B52363"/>
    <w:rsid w:val="00B53010"/>
    <w:rsid w:val="00B53104"/>
    <w:rsid w:val="00B53B5D"/>
    <w:rsid w:val="00B53C88"/>
    <w:rsid w:val="00B55294"/>
    <w:rsid w:val="00B57EE0"/>
    <w:rsid w:val="00B6055E"/>
    <w:rsid w:val="00B62846"/>
    <w:rsid w:val="00B6317D"/>
    <w:rsid w:val="00B644B0"/>
    <w:rsid w:val="00B65C7B"/>
    <w:rsid w:val="00B66113"/>
    <w:rsid w:val="00B6694C"/>
    <w:rsid w:val="00B757FC"/>
    <w:rsid w:val="00B760B3"/>
    <w:rsid w:val="00B7723F"/>
    <w:rsid w:val="00B80534"/>
    <w:rsid w:val="00B81066"/>
    <w:rsid w:val="00B835EF"/>
    <w:rsid w:val="00B83614"/>
    <w:rsid w:val="00B8433C"/>
    <w:rsid w:val="00B87491"/>
    <w:rsid w:val="00B909C8"/>
    <w:rsid w:val="00B91D41"/>
    <w:rsid w:val="00B92EAF"/>
    <w:rsid w:val="00B96D10"/>
    <w:rsid w:val="00BA07D4"/>
    <w:rsid w:val="00BA26AE"/>
    <w:rsid w:val="00BA29E9"/>
    <w:rsid w:val="00BA2C0D"/>
    <w:rsid w:val="00BA4184"/>
    <w:rsid w:val="00BA6CDD"/>
    <w:rsid w:val="00BA7142"/>
    <w:rsid w:val="00BB11C9"/>
    <w:rsid w:val="00BB2350"/>
    <w:rsid w:val="00BB237C"/>
    <w:rsid w:val="00BB41A3"/>
    <w:rsid w:val="00BB6899"/>
    <w:rsid w:val="00BB770F"/>
    <w:rsid w:val="00BC24CD"/>
    <w:rsid w:val="00BC32DC"/>
    <w:rsid w:val="00BC35B6"/>
    <w:rsid w:val="00BC4F56"/>
    <w:rsid w:val="00BD0769"/>
    <w:rsid w:val="00BD088E"/>
    <w:rsid w:val="00BD0A20"/>
    <w:rsid w:val="00BD1B51"/>
    <w:rsid w:val="00BD4596"/>
    <w:rsid w:val="00BD6143"/>
    <w:rsid w:val="00BD6344"/>
    <w:rsid w:val="00BD75CD"/>
    <w:rsid w:val="00BD791F"/>
    <w:rsid w:val="00BE1405"/>
    <w:rsid w:val="00BE1FCB"/>
    <w:rsid w:val="00BE29AA"/>
    <w:rsid w:val="00BE312D"/>
    <w:rsid w:val="00BE32B5"/>
    <w:rsid w:val="00BE408C"/>
    <w:rsid w:val="00BE501A"/>
    <w:rsid w:val="00BE712B"/>
    <w:rsid w:val="00BF1C20"/>
    <w:rsid w:val="00BF1CCE"/>
    <w:rsid w:val="00BF5DE7"/>
    <w:rsid w:val="00BF6408"/>
    <w:rsid w:val="00C0116A"/>
    <w:rsid w:val="00C01583"/>
    <w:rsid w:val="00C02248"/>
    <w:rsid w:val="00C048B6"/>
    <w:rsid w:val="00C055C1"/>
    <w:rsid w:val="00C07FF1"/>
    <w:rsid w:val="00C10578"/>
    <w:rsid w:val="00C10E5A"/>
    <w:rsid w:val="00C10EED"/>
    <w:rsid w:val="00C12690"/>
    <w:rsid w:val="00C135BC"/>
    <w:rsid w:val="00C15C95"/>
    <w:rsid w:val="00C16FA8"/>
    <w:rsid w:val="00C172FE"/>
    <w:rsid w:val="00C179E8"/>
    <w:rsid w:val="00C20072"/>
    <w:rsid w:val="00C21121"/>
    <w:rsid w:val="00C2596A"/>
    <w:rsid w:val="00C25DF1"/>
    <w:rsid w:val="00C262CC"/>
    <w:rsid w:val="00C26EBD"/>
    <w:rsid w:val="00C27537"/>
    <w:rsid w:val="00C328FE"/>
    <w:rsid w:val="00C33507"/>
    <w:rsid w:val="00C33BB8"/>
    <w:rsid w:val="00C35A71"/>
    <w:rsid w:val="00C37680"/>
    <w:rsid w:val="00C37ADF"/>
    <w:rsid w:val="00C37E77"/>
    <w:rsid w:val="00C37EAF"/>
    <w:rsid w:val="00C40040"/>
    <w:rsid w:val="00C41EC7"/>
    <w:rsid w:val="00C431E0"/>
    <w:rsid w:val="00C4409D"/>
    <w:rsid w:val="00C44D16"/>
    <w:rsid w:val="00C44E72"/>
    <w:rsid w:val="00C45A06"/>
    <w:rsid w:val="00C47E5B"/>
    <w:rsid w:val="00C50140"/>
    <w:rsid w:val="00C50D8E"/>
    <w:rsid w:val="00C519E6"/>
    <w:rsid w:val="00C52960"/>
    <w:rsid w:val="00C52F3A"/>
    <w:rsid w:val="00C54DDE"/>
    <w:rsid w:val="00C604DF"/>
    <w:rsid w:val="00C61E4B"/>
    <w:rsid w:val="00C64B18"/>
    <w:rsid w:val="00C64BFF"/>
    <w:rsid w:val="00C65C1A"/>
    <w:rsid w:val="00C665C2"/>
    <w:rsid w:val="00C6773E"/>
    <w:rsid w:val="00C704E9"/>
    <w:rsid w:val="00C71B65"/>
    <w:rsid w:val="00C72207"/>
    <w:rsid w:val="00C72A8D"/>
    <w:rsid w:val="00C763C9"/>
    <w:rsid w:val="00C80057"/>
    <w:rsid w:val="00C800B1"/>
    <w:rsid w:val="00C808D7"/>
    <w:rsid w:val="00C82232"/>
    <w:rsid w:val="00C82913"/>
    <w:rsid w:val="00C8625D"/>
    <w:rsid w:val="00C91B17"/>
    <w:rsid w:val="00C9506F"/>
    <w:rsid w:val="00C955AA"/>
    <w:rsid w:val="00C957F9"/>
    <w:rsid w:val="00C972B1"/>
    <w:rsid w:val="00CA2CCE"/>
    <w:rsid w:val="00CA4166"/>
    <w:rsid w:val="00CA43FD"/>
    <w:rsid w:val="00CA604F"/>
    <w:rsid w:val="00CA7EF8"/>
    <w:rsid w:val="00CB37FA"/>
    <w:rsid w:val="00CB6A4A"/>
    <w:rsid w:val="00CC02D1"/>
    <w:rsid w:val="00CC0400"/>
    <w:rsid w:val="00CC489B"/>
    <w:rsid w:val="00CC5B19"/>
    <w:rsid w:val="00CC5FA9"/>
    <w:rsid w:val="00CC6081"/>
    <w:rsid w:val="00CC6DDB"/>
    <w:rsid w:val="00CC72EF"/>
    <w:rsid w:val="00CD0678"/>
    <w:rsid w:val="00CD2B4B"/>
    <w:rsid w:val="00CD2BCD"/>
    <w:rsid w:val="00CD3A4C"/>
    <w:rsid w:val="00CD3DAE"/>
    <w:rsid w:val="00CD4562"/>
    <w:rsid w:val="00CD5B06"/>
    <w:rsid w:val="00CD6076"/>
    <w:rsid w:val="00CE10E9"/>
    <w:rsid w:val="00CE2910"/>
    <w:rsid w:val="00CE2A59"/>
    <w:rsid w:val="00CE3602"/>
    <w:rsid w:val="00CE5393"/>
    <w:rsid w:val="00CF1FCD"/>
    <w:rsid w:val="00CF36BE"/>
    <w:rsid w:val="00CF375B"/>
    <w:rsid w:val="00CF6000"/>
    <w:rsid w:val="00CF648D"/>
    <w:rsid w:val="00CF65F7"/>
    <w:rsid w:val="00CF719E"/>
    <w:rsid w:val="00D003F3"/>
    <w:rsid w:val="00D00FF7"/>
    <w:rsid w:val="00D01F32"/>
    <w:rsid w:val="00D02EFE"/>
    <w:rsid w:val="00D0364F"/>
    <w:rsid w:val="00D04E15"/>
    <w:rsid w:val="00D06145"/>
    <w:rsid w:val="00D06834"/>
    <w:rsid w:val="00D11751"/>
    <w:rsid w:val="00D11F09"/>
    <w:rsid w:val="00D12140"/>
    <w:rsid w:val="00D15C87"/>
    <w:rsid w:val="00D205E7"/>
    <w:rsid w:val="00D213FC"/>
    <w:rsid w:val="00D230EE"/>
    <w:rsid w:val="00D303DF"/>
    <w:rsid w:val="00D308ED"/>
    <w:rsid w:val="00D335AB"/>
    <w:rsid w:val="00D34FBE"/>
    <w:rsid w:val="00D36142"/>
    <w:rsid w:val="00D36716"/>
    <w:rsid w:val="00D36D86"/>
    <w:rsid w:val="00D3705E"/>
    <w:rsid w:val="00D37138"/>
    <w:rsid w:val="00D37372"/>
    <w:rsid w:val="00D40018"/>
    <w:rsid w:val="00D428AA"/>
    <w:rsid w:val="00D437AE"/>
    <w:rsid w:val="00D441B6"/>
    <w:rsid w:val="00D45207"/>
    <w:rsid w:val="00D4548E"/>
    <w:rsid w:val="00D50A34"/>
    <w:rsid w:val="00D51FAD"/>
    <w:rsid w:val="00D526E5"/>
    <w:rsid w:val="00D52C59"/>
    <w:rsid w:val="00D53E97"/>
    <w:rsid w:val="00D53EFA"/>
    <w:rsid w:val="00D5408A"/>
    <w:rsid w:val="00D57232"/>
    <w:rsid w:val="00D62D44"/>
    <w:rsid w:val="00D655FA"/>
    <w:rsid w:val="00D6591F"/>
    <w:rsid w:val="00D66608"/>
    <w:rsid w:val="00D70B3A"/>
    <w:rsid w:val="00D7129C"/>
    <w:rsid w:val="00D71C6F"/>
    <w:rsid w:val="00D7220D"/>
    <w:rsid w:val="00D731BA"/>
    <w:rsid w:val="00D813DF"/>
    <w:rsid w:val="00D82060"/>
    <w:rsid w:val="00D860D4"/>
    <w:rsid w:val="00D866E7"/>
    <w:rsid w:val="00D94A7C"/>
    <w:rsid w:val="00D95896"/>
    <w:rsid w:val="00D96B2A"/>
    <w:rsid w:val="00D9782A"/>
    <w:rsid w:val="00DA0677"/>
    <w:rsid w:val="00DA1791"/>
    <w:rsid w:val="00DA3159"/>
    <w:rsid w:val="00DA3A2C"/>
    <w:rsid w:val="00DA3C94"/>
    <w:rsid w:val="00DA3CEE"/>
    <w:rsid w:val="00DA7B12"/>
    <w:rsid w:val="00DB12B8"/>
    <w:rsid w:val="00DB1343"/>
    <w:rsid w:val="00DB18E9"/>
    <w:rsid w:val="00DB27F2"/>
    <w:rsid w:val="00DB2983"/>
    <w:rsid w:val="00DB3384"/>
    <w:rsid w:val="00DB7AF7"/>
    <w:rsid w:val="00DC1257"/>
    <w:rsid w:val="00DC2B9C"/>
    <w:rsid w:val="00DC3DC0"/>
    <w:rsid w:val="00DC5B2B"/>
    <w:rsid w:val="00DC6632"/>
    <w:rsid w:val="00DD2540"/>
    <w:rsid w:val="00DD318D"/>
    <w:rsid w:val="00DD7D6C"/>
    <w:rsid w:val="00DE4F26"/>
    <w:rsid w:val="00DE5438"/>
    <w:rsid w:val="00DE556A"/>
    <w:rsid w:val="00DE7694"/>
    <w:rsid w:val="00DF09DF"/>
    <w:rsid w:val="00DF2E12"/>
    <w:rsid w:val="00DF2F18"/>
    <w:rsid w:val="00DF514A"/>
    <w:rsid w:val="00DF6690"/>
    <w:rsid w:val="00DF6804"/>
    <w:rsid w:val="00E007A6"/>
    <w:rsid w:val="00E020BC"/>
    <w:rsid w:val="00E0358D"/>
    <w:rsid w:val="00E0368F"/>
    <w:rsid w:val="00E04172"/>
    <w:rsid w:val="00E04323"/>
    <w:rsid w:val="00E04703"/>
    <w:rsid w:val="00E04A88"/>
    <w:rsid w:val="00E06C6D"/>
    <w:rsid w:val="00E06F8A"/>
    <w:rsid w:val="00E07021"/>
    <w:rsid w:val="00E070A2"/>
    <w:rsid w:val="00E10FF8"/>
    <w:rsid w:val="00E11D0D"/>
    <w:rsid w:val="00E165F4"/>
    <w:rsid w:val="00E203DD"/>
    <w:rsid w:val="00E209F6"/>
    <w:rsid w:val="00E216E6"/>
    <w:rsid w:val="00E21906"/>
    <w:rsid w:val="00E21E1B"/>
    <w:rsid w:val="00E25257"/>
    <w:rsid w:val="00E25563"/>
    <w:rsid w:val="00E2656A"/>
    <w:rsid w:val="00E32D33"/>
    <w:rsid w:val="00E33E45"/>
    <w:rsid w:val="00E3589D"/>
    <w:rsid w:val="00E412D0"/>
    <w:rsid w:val="00E428C0"/>
    <w:rsid w:val="00E44640"/>
    <w:rsid w:val="00E44DF3"/>
    <w:rsid w:val="00E477B2"/>
    <w:rsid w:val="00E53B58"/>
    <w:rsid w:val="00E55392"/>
    <w:rsid w:val="00E56322"/>
    <w:rsid w:val="00E60982"/>
    <w:rsid w:val="00E62C62"/>
    <w:rsid w:val="00E654C1"/>
    <w:rsid w:val="00E65D97"/>
    <w:rsid w:val="00E70568"/>
    <w:rsid w:val="00E71124"/>
    <w:rsid w:val="00E717D8"/>
    <w:rsid w:val="00E72A5A"/>
    <w:rsid w:val="00E73187"/>
    <w:rsid w:val="00E73354"/>
    <w:rsid w:val="00E73B22"/>
    <w:rsid w:val="00E73F60"/>
    <w:rsid w:val="00E742CF"/>
    <w:rsid w:val="00E75D93"/>
    <w:rsid w:val="00E77EBF"/>
    <w:rsid w:val="00E806F7"/>
    <w:rsid w:val="00E867C1"/>
    <w:rsid w:val="00E91A49"/>
    <w:rsid w:val="00E92328"/>
    <w:rsid w:val="00E9242D"/>
    <w:rsid w:val="00E92CF1"/>
    <w:rsid w:val="00E92DA9"/>
    <w:rsid w:val="00E939A5"/>
    <w:rsid w:val="00E9466D"/>
    <w:rsid w:val="00E9500A"/>
    <w:rsid w:val="00E968C5"/>
    <w:rsid w:val="00E97C83"/>
    <w:rsid w:val="00EA0EF9"/>
    <w:rsid w:val="00EA118D"/>
    <w:rsid w:val="00EA251D"/>
    <w:rsid w:val="00EA3057"/>
    <w:rsid w:val="00EA388F"/>
    <w:rsid w:val="00EA7E04"/>
    <w:rsid w:val="00EB0BAD"/>
    <w:rsid w:val="00EB1744"/>
    <w:rsid w:val="00EB2CAF"/>
    <w:rsid w:val="00EB39CB"/>
    <w:rsid w:val="00EB4183"/>
    <w:rsid w:val="00EB5255"/>
    <w:rsid w:val="00EB5C47"/>
    <w:rsid w:val="00EC0EC5"/>
    <w:rsid w:val="00EC2967"/>
    <w:rsid w:val="00EC60F4"/>
    <w:rsid w:val="00EC6C84"/>
    <w:rsid w:val="00EC6F06"/>
    <w:rsid w:val="00ED0639"/>
    <w:rsid w:val="00ED1281"/>
    <w:rsid w:val="00ED1E23"/>
    <w:rsid w:val="00ED20CA"/>
    <w:rsid w:val="00ED47CB"/>
    <w:rsid w:val="00ED4945"/>
    <w:rsid w:val="00ED5CC6"/>
    <w:rsid w:val="00ED6B05"/>
    <w:rsid w:val="00ED6BFD"/>
    <w:rsid w:val="00ED7010"/>
    <w:rsid w:val="00EE48D1"/>
    <w:rsid w:val="00EE5D97"/>
    <w:rsid w:val="00EF0AB5"/>
    <w:rsid w:val="00EF18C9"/>
    <w:rsid w:val="00EF4755"/>
    <w:rsid w:val="00EF7135"/>
    <w:rsid w:val="00F0108F"/>
    <w:rsid w:val="00F02389"/>
    <w:rsid w:val="00F027DB"/>
    <w:rsid w:val="00F068ED"/>
    <w:rsid w:val="00F10BEC"/>
    <w:rsid w:val="00F14A7A"/>
    <w:rsid w:val="00F22985"/>
    <w:rsid w:val="00F27589"/>
    <w:rsid w:val="00F3375D"/>
    <w:rsid w:val="00F3383E"/>
    <w:rsid w:val="00F371FA"/>
    <w:rsid w:val="00F420AA"/>
    <w:rsid w:val="00F46560"/>
    <w:rsid w:val="00F465A7"/>
    <w:rsid w:val="00F506EB"/>
    <w:rsid w:val="00F50B7C"/>
    <w:rsid w:val="00F50EF3"/>
    <w:rsid w:val="00F51911"/>
    <w:rsid w:val="00F51968"/>
    <w:rsid w:val="00F52C19"/>
    <w:rsid w:val="00F53E92"/>
    <w:rsid w:val="00F550E6"/>
    <w:rsid w:val="00F55185"/>
    <w:rsid w:val="00F56E48"/>
    <w:rsid w:val="00F62454"/>
    <w:rsid w:val="00F62E4D"/>
    <w:rsid w:val="00F70941"/>
    <w:rsid w:val="00F71ED1"/>
    <w:rsid w:val="00F740A3"/>
    <w:rsid w:val="00F74345"/>
    <w:rsid w:val="00F74413"/>
    <w:rsid w:val="00F7534A"/>
    <w:rsid w:val="00F75487"/>
    <w:rsid w:val="00F767DF"/>
    <w:rsid w:val="00F77FB7"/>
    <w:rsid w:val="00F802BE"/>
    <w:rsid w:val="00F80A0A"/>
    <w:rsid w:val="00F8281B"/>
    <w:rsid w:val="00F82B19"/>
    <w:rsid w:val="00F830F0"/>
    <w:rsid w:val="00F842B0"/>
    <w:rsid w:val="00F843FF"/>
    <w:rsid w:val="00F85358"/>
    <w:rsid w:val="00F86402"/>
    <w:rsid w:val="00F86846"/>
    <w:rsid w:val="00F86A1A"/>
    <w:rsid w:val="00F9212D"/>
    <w:rsid w:val="00F944B0"/>
    <w:rsid w:val="00F947DC"/>
    <w:rsid w:val="00F951B0"/>
    <w:rsid w:val="00F962BB"/>
    <w:rsid w:val="00F965DA"/>
    <w:rsid w:val="00F97BC0"/>
    <w:rsid w:val="00FA19F8"/>
    <w:rsid w:val="00FA2603"/>
    <w:rsid w:val="00FA406A"/>
    <w:rsid w:val="00FA5841"/>
    <w:rsid w:val="00FA728B"/>
    <w:rsid w:val="00FA7FDA"/>
    <w:rsid w:val="00FB1025"/>
    <w:rsid w:val="00FB15BC"/>
    <w:rsid w:val="00FB1AA5"/>
    <w:rsid w:val="00FB503A"/>
    <w:rsid w:val="00FB516C"/>
    <w:rsid w:val="00FB7A0E"/>
    <w:rsid w:val="00FC3D8E"/>
    <w:rsid w:val="00FC3EDA"/>
    <w:rsid w:val="00FC4DAF"/>
    <w:rsid w:val="00FD0236"/>
    <w:rsid w:val="00FD18F4"/>
    <w:rsid w:val="00FD4EB3"/>
    <w:rsid w:val="00FD54DB"/>
    <w:rsid w:val="00FD5E38"/>
    <w:rsid w:val="00FD619F"/>
    <w:rsid w:val="00FD6860"/>
    <w:rsid w:val="00FD70DB"/>
    <w:rsid w:val="00FD7404"/>
    <w:rsid w:val="00FE1F37"/>
    <w:rsid w:val="00FE2E62"/>
    <w:rsid w:val="00FE469A"/>
    <w:rsid w:val="00FE59EF"/>
    <w:rsid w:val="00FF4699"/>
    <w:rsid w:val="00FF5BEA"/>
    <w:rsid w:val="011A7BAC"/>
    <w:rsid w:val="012402C3"/>
    <w:rsid w:val="01290F7E"/>
    <w:rsid w:val="013B0C6D"/>
    <w:rsid w:val="01466F12"/>
    <w:rsid w:val="014F03EF"/>
    <w:rsid w:val="015D1E09"/>
    <w:rsid w:val="01704002"/>
    <w:rsid w:val="01735D76"/>
    <w:rsid w:val="01D84244"/>
    <w:rsid w:val="01DF0DDA"/>
    <w:rsid w:val="021D7EDE"/>
    <w:rsid w:val="026575BB"/>
    <w:rsid w:val="02697903"/>
    <w:rsid w:val="0281297F"/>
    <w:rsid w:val="02B67D66"/>
    <w:rsid w:val="02F96569"/>
    <w:rsid w:val="030468B1"/>
    <w:rsid w:val="032C08A5"/>
    <w:rsid w:val="03863519"/>
    <w:rsid w:val="03941CA4"/>
    <w:rsid w:val="03BD5EFC"/>
    <w:rsid w:val="03E26C4D"/>
    <w:rsid w:val="03EA7B21"/>
    <w:rsid w:val="03EB3DC4"/>
    <w:rsid w:val="03F646E2"/>
    <w:rsid w:val="04947956"/>
    <w:rsid w:val="049F2583"/>
    <w:rsid w:val="04A91479"/>
    <w:rsid w:val="04D1736D"/>
    <w:rsid w:val="04DC0C65"/>
    <w:rsid w:val="04DD3770"/>
    <w:rsid w:val="04DF2BB8"/>
    <w:rsid w:val="04E4536A"/>
    <w:rsid w:val="04E93972"/>
    <w:rsid w:val="04EA554A"/>
    <w:rsid w:val="04EE3309"/>
    <w:rsid w:val="04FA431E"/>
    <w:rsid w:val="05327D53"/>
    <w:rsid w:val="05354B61"/>
    <w:rsid w:val="05737154"/>
    <w:rsid w:val="05784086"/>
    <w:rsid w:val="057F622F"/>
    <w:rsid w:val="05BF2113"/>
    <w:rsid w:val="05DE1601"/>
    <w:rsid w:val="05F83EAE"/>
    <w:rsid w:val="06187987"/>
    <w:rsid w:val="06284D83"/>
    <w:rsid w:val="062F7F71"/>
    <w:rsid w:val="063E7D85"/>
    <w:rsid w:val="067C5DDF"/>
    <w:rsid w:val="069F2838"/>
    <w:rsid w:val="06A37154"/>
    <w:rsid w:val="06AB73E8"/>
    <w:rsid w:val="06CB763A"/>
    <w:rsid w:val="06F009A8"/>
    <w:rsid w:val="070505FF"/>
    <w:rsid w:val="071870C5"/>
    <w:rsid w:val="07293586"/>
    <w:rsid w:val="07295285"/>
    <w:rsid w:val="07320BED"/>
    <w:rsid w:val="074D59A5"/>
    <w:rsid w:val="07636392"/>
    <w:rsid w:val="076518BD"/>
    <w:rsid w:val="07770C56"/>
    <w:rsid w:val="077B71C1"/>
    <w:rsid w:val="07B2792A"/>
    <w:rsid w:val="07D13268"/>
    <w:rsid w:val="07DC1F53"/>
    <w:rsid w:val="07E908C9"/>
    <w:rsid w:val="08052254"/>
    <w:rsid w:val="087860E0"/>
    <w:rsid w:val="087A0447"/>
    <w:rsid w:val="088717BD"/>
    <w:rsid w:val="08966904"/>
    <w:rsid w:val="08AC409F"/>
    <w:rsid w:val="091D6794"/>
    <w:rsid w:val="092217DD"/>
    <w:rsid w:val="09393E1B"/>
    <w:rsid w:val="093A7294"/>
    <w:rsid w:val="096D55BB"/>
    <w:rsid w:val="099D1820"/>
    <w:rsid w:val="09F47BF4"/>
    <w:rsid w:val="09F875A4"/>
    <w:rsid w:val="0A0855DF"/>
    <w:rsid w:val="0A263993"/>
    <w:rsid w:val="0A2D3AC2"/>
    <w:rsid w:val="0A4C118F"/>
    <w:rsid w:val="0A6B46AB"/>
    <w:rsid w:val="0AA755DF"/>
    <w:rsid w:val="0AAC7730"/>
    <w:rsid w:val="0ABA79C4"/>
    <w:rsid w:val="0AF87E9B"/>
    <w:rsid w:val="0B120D44"/>
    <w:rsid w:val="0B325009"/>
    <w:rsid w:val="0B52745A"/>
    <w:rsid w:val="0B6A2FA3"/>
    <w:rsid w:val="0BAA6E7F"/>
    <w:rsid w:val="0BD27BF6"/>
    <w:rsid w:val="0C246232"/>
    <w:rsid w:val="0C3B3C7D"/>
    <w:rsid w:val="0C713924"/>
    <w:rsid w:val="0C71547F"/>
    <w:rsid w:val="0C825C04"/>
    <w:rsid w:val="0C85560D"/>
    <w:rsid w:val="0C8B4272"/>
    <w:rsid w:val="0C8F72CB"/>
    <w:rsid w:val="0CAB2EAE"/>
    <w:rsid w:val="0CC22C16"/>
    <w:rsid w:val="0D0B6CF9"/>
    <w:rsid w:val="0D257698"/>
    <w:rsid w:val="0D621C7D"/>
    <w:rsid w:val="0DBE3097"/>
    <w:rsid w:val="0DEF1012"/>
    <w:rsid w:val="0DF77E44"/>
    <w:rsid w:val="0E2F65FE"/>
    <w:rsid w:val="0E5D2914"/>
    <w:rsid w:val="0E73034D"/>
    <w:rsid w:val="0E753DFD"/>
    <w:rsid w:val="0E833AA9"/>
    <w:rsid w:val="0E9A295E"/>
    <w:rsid w:val="0EA435A1"/>
    <w:rsid w:val="0EA53D44"/>
    <w:rsid w:val="0EAA0D96"/>
    <w:rsid w:val="0EB474CC"/>
    <w:rsid w:val="0ECF161C"/>
    <w:rsid w:val="0EDE2CE5"/>
    <w:rsid w:val="0EE65A3E"/>
    <w:rsid w:val="0EF4218E"/>
    <w:rsid w:val="0F13775A"/>
    <w:rsid w:val="0F1605B7"/>
    <w:rsid w:val="0F242EBB"/>
    <w:rsid w:val="0F2920ED"/>
    <w:rsid w:val="0F4C2EA3"/>
    <w:rsid w:val="0F4F5AC2"/>
    <w:rsid w:val="0F554E1D"/>
    <w:rsid w:val="0F5F45FE"/>
    <w:rsid w:val="0F9A112B"/>
    <w:rsid w:val="0FA735A8"/>
    <w:rsid w:val="0FAF5EB1"/>
    <w:rsid w:val="10092CB6"/>
    <w:rsid w:val="10156BFC"/>
    <w:rsid w:val="106D2F64"/>
    <w:rsid w:val="106F46A0"/>
    <w:rsid w:val="10833B67"/>
    <w:rsid w:val="10B63710"/>
    <w:rsid w:val="10BA27B7"/>
    <w:rsid w:val="10C307E8"/>
    <w:rsid w:val="10C87A31"/>
    <w:rsid w:val="10F10820"/>
    <w:rsid w:val="11005262"/>
    <w:rsid w:val="110F4F24"/>
    <w:rsid w:val="11193EC1"/>
    <w:rsid w:val="111C2F7A"/>
    <w:rsid w:val="114D0531"/>
    <w:rsid w:val="11553F5A"/>
    <w:rsid w:val="11587AEA"/>
    <w:rsid w:val="11665CA1"/>
    <w:rsid w:val="116C6D9B"/>
    <w:rsid w:val="11836C32"/>
    <w:rsid w:val="11A76A18"/>
    <w:rsid w:val="11F137A5"/>
    <w:rsid w:val="11FD46BF"/>
    <w:rsid w:val="12014AEF"/>
    <w:rsid w:val="1239514B"/>
    <w:rsid w:val="125F7B1A"/>
    <w:rsid w:val="128A572B"/>
    <w:rsid w:val="12C265BF"/>
    <w:rsid w:val="12C80600"/>
    <w:rsid w:val="12D35117"/>
    <w:rsid w:val="130324BB"/>
    <w:rsid w:val="1310595A"/>
    <w:rsid w:val="1328238E"/>
    <w:rsid w:val="137B1089"/>
    <w:rsid w:val="137C5E48"/>
    <w:rsid w:val="138F0A28"/>
    <w:rsid w:val="13951726"/>
    <w:rsid w:val="13AB03B1"/>
    <w:rsid w:val="13B627B6"/>
    <w:rsid w:val="13C272E7"/>
    <w:rsid w:val="13CD215C"/>
    <w:rsid w:val="13D42E3E"/>
    <w:rsid w:val="13DD1DB5"/>
    <w:rsid w:val="13FB7AFF"/>
    <w:rsid w:val="140D4A9F"/>
    <w:rsid w:val="14396509"/>
    <w:rsid w:val="143F5A39"/>
    <w:rsid w:val="14410305"/>
    <w:rsid w:val="14521169"/>
    <w:rsid w:val="14CA1A94"/>
    <w:rsid w:val="14CD63E3"/>
    <w:rsid w:val="14DB5BA9"/>
    <w:rsid w:val="14DD2C3C"/>
    <w:rsid w:val="14FE0705"/>
    <w:rsid w:val="150E444C"/>
    <w:rsid w:val="15115112"/>
    <w:rsid w:val="15137EF1"/>
    <w:rsid w:val="155A0EDF"/>
    <w:rsid w:val="15603AD5"/>
    <w:rsid w:val="15CB1E40"/>
    <w:rsid w:val="15DA7609"/>
    <w:rsid w:val="15DF7D6B"/>
    <w:rsid w:val="15F555B1"/>
    <w:rsid w:val="1601099B"/>
    <w:rsid w:val="16087E1D"/>
    <w:rsid w:val="161E3DDB"/>
    <w:rsid w:val="161F592F"/>
    <w:rsid w:val="162445F3"/>
    <w:rsid w:val="16390530"/>
    <w:rsid w:val="164718A6"/>
    <w:rsid w:val="16C738BB"/>
    <w:rsid w:val="16CE6178"/>
    <w:rsid w:val="171652B3"/>
    <w:rsid w:val="17510620"/>
    <w:rsid w:val="17536C84"/>
    <w:rsid w:val="17683B61"/>
    <w:rsid w:val="17701D14"/>
    <w:rsid w:val="17735226"/>
    <w:rsid w:val="17851755"/>
    <w:rsid w:val="178A2761"/>
    <w:rsid w:val="179D0D81"/>
    <w:rsid w:val="17B907DC"/>
    <w:rsid w:val="17E5019A"/>
    <w:rsid w:val="17E757AB"/>
    <w:rsid w:val="18167255"/>
    <w:rsid w:val="181A49D1"/>
    <w:rsid w:val="181E745F"/>
    <w:rsid w:val="18381FD2"/>
    <w:rsid w:val="183E2AE7"/>
    <w:rsid w:val="189F624C"/>
    <w:rsid w:val="18BC298E"/>
    <w:rsid w:val="18D80F2E"/>
    <w:rsid w:val="18F65608"/>
    <w:rsid w:val="190E5B63"/>
    <w:rsid w:val="191D28A5"/>
    <w:rsid w:val="19297320"/>
    <w:rsid w:val="196458A0"/>
    <w:rsid w:val="19936AE1"/>
    <w:rsid w:val="199B3FFF"/>
    <w:rsid w:val="19F0521D"/>
    <w:rsid w:val="1A0B2502"/>
    <w:rsid w:val="1A1C66C0"/>
    <w:rsid w:val="1A42393B"/>
    <w:rsid w:val="1A4C3C21"/>
    <w:rsid w:val="1A6A15A2"/>
    <w:rsid w:val="1A75742D"/>
    <w:rsid w:val="1A7A75DE"/>
    <w:rsid w:val="1A7A7E33"/>
    <w:rsid w:val="1AA87452"/>
    <w:rsid w:val="1AA97044"/>
    <w:rsid w:val="1AAD45DE"/>
    <w:rsid w:val="1ABA42E9"/>
    <w:rsid w:val="1AC03E0F"/>
    <w:rsid w:val="1B00129A"/>
    <w:rsid w:val="1B046F80"/>
    <w:rsid w:val="1B2F599A"/>
    <w:rsid w:val="1B3267B5"/>
    <w:rsid w:val="1B40161D"/>
    <w:rsid w:val="1B441859"/>
    <w:rsid w:val="1B4855C5"/>
    <w:rsid w:val="1B4D379A"/>
    <w:rsid w:val="1B6606B1"/>
    <w:rsid w:val="1B89667B"/>
    <w:rsid w:val="1BA333BA"/>
    <w:rsid w:val="1BE062B8"/>
    <w:rsid w:val="1BF87608"/>
    <w:rsid w:val="1C2567AA"/>
    <w:rsid w:val="1C3041CB"/>
    <w:rsid w:val="1C5E027E"/>
    <w:rsid w:val="1C5E7925"/>
    <w:rsid w:val="1C8B0FD5"/>
    <w:rsid w:val="1C98707A"/>
    <w:rsid w:val="1C9F5E31"/>
    <w:rsid w:val="1CA2399F"/>
    <w:rsid w:val="1CD1262D"/>
    <w:rsid w:val="1CDF24FF"/>
    <w:rsid w:val="1CF55435"/>
    <w:rsid w:val="1CFD070F"/>
    <w:rsid w:val="1CFF0AC4"/>
    <w:rsid w:val="1D455902"/>
    <w:rsid w:val="1D5F6196"/>
    <w:rsid w:val="1D6132A5"/>
    <w:rsid w:val="1D6C348C"/>
    <w:rsid w:val="1D8E56D5"/>
    <w:rsid w:val="1D961D68"/>
    <w:rsid w:val="1DBC7976"/>
    <w:rsid w:val="1E2B02A8"/>
    <w:rsid w:val="1E4B0FC7"/>
    <w:rsid w:val="1E4C1C18"/>
    <w:rsid w:val="1E7A43DA"/>
    <w:rsid w:val="1E827BFE"/>
    <w:rsid w:val="1E8826EB"/>
    <w:rsid w:val="1E97448A"/>
    <w:rsid w:val="1E9878D8"/>
    <w:rsid w:val="1EF22EF9"/>
    <w:rsid w:val="1F2051DC"/>
    <w:rsid w:val="1F3F2EA1"/>
    <w:rsid w:val="1F5350F7"/>
    <w:rsid w:val="1F801C71"/>
    <w:rsid w:val="1F83341C"/>
    <w:rsid w:val="1F9161B3"/>
    <w:rsid w:val="1F9B2F7B"/>
    <w:rsid w:val="1FA952B4"/>
    <w:rsid w:val="1FB24952"/>
    <w:rsid w:val="1FE7539E"/>
    <w:rsid w:val="20097FDE"/>
    <w:rsid w:val="201605FE"/>
    <w:rsid w:val="20664508"/>
    <w:rsid w:val="20671BE0"/>
    <w:rsid w:val="20963CB8"/>
    <w:rsid w:val="209E2EFD"/>
    <w:rsid w:val="20A81A1B"/>
    <w:rsid w:val="20B07FB6"/>
    <w:rsid w:val="20B646FB"/>
    <w:rsid w:val="20C4005A"/>
    <w:rsid w:val="20C55B80"/>
    <w:rsid w:val="20C6771C"/>
    <w:rsid w:val="213B74B1"/>
    <w:rsid w:val="21535882"/>
    <w:rsid w:val="215A2310"/>
    <w:rsid w:val="21777D06"/>
    <w:rsid w:val="217A6FCE"/>
    <w:rsid w:val="21922957"/>
    <w:rsid w:val="21D05E43"/>
    <w:rsid w:val="21DE318A"/>
    <w:rsid w:val="21EF5B80"/>
    <w:rsid w:val="21FD33F4"/>
    <w:rsid w:val="221014DD"/>
    <w:rsid w:val="224A1058"/>
    <w:rsid w:val="22576990"/>
    <w:rsid w:val="226C79C5"/>
    <w:rsid w:val="22764C0C"/>
    <w:rsid w:val="22902419"/>
    <w:rsid w:val="22937EF8"/>
    <w:rsid w:val="229E46EA"/>
    <w:rsid w:val="22B02E93"/>
    <w:rsid w:val="22EB4196"/>
    <w:rsid w:val="22F47480"/>
    <w:rsid w:val="2334004B"/>
    <w:rsid w:val="2350316D"/>
    <w:rsid w:val="23504A11"/>
    <w:rsid w:val="23762DA2"/>
    <w:rsid w:val="23803608"/>
    <w:rsid w:val="23985D9B"/>
    <w:rsid w:val="23B02BE5"/>
    <w:rsid w:val="23CC4D5A"/>
    <w:rsid w:val="23CC4F5F"/>
    <w:rsid w:val="23DC4AE4"/>
    <w:rsid w:val="23DD6032"/>
    <w:rsid w:val="23DE1C48"/>
    <w:rsid w:val="240210CD"/>
    <w:rsid w:val="24065841"/>
    <w:rsid w:val="242022A8"/>
    <w:rsid w:val="242515DF"/>
    <w:rsid w:val="244852D0"/>
    <w:rsid w:val="247B4D1E"/>
    <w:rsid w:val="24BF09F7"/>
    <w:rsid w:val="25025341"/>
    <w:rsid w:val="252D53FE"/>
    <w:rsid w:val="253B1E0B"/>
    <w:rsid w:val="2565481E"/>
    <w:rsid w:val="25667A05"/>
    <w:rsid w:val="25C6157E"/>
    <w:rsid w:val="25EC2D81"/>
    <w:rsid w:val="26012E81"/>
    <w:rsid w:val="26151358"/>
    <w:rsid w:val="26171494"/>
    <w:rsid w:val="26434146"/>
    <w:rsid w:val="264D30A2"/>
    <w:rsid w:val="26680E3D"/>
    <w:rsid w:val="266F267C"/>
    <w:rsid w:val="26743AD6"/>
    <w:rsid w:val="26746C89"/>
    <w:rsid w:val="26760499"/>
    <w:rsid w:val="267842DD"/>
    <w:rsid w:val="26A8223F"/>
    <w:rsid w:val="26EB2E9A"/>
    <w:rsid w:val="26F617E0"/>
    <w:rsid w:val="271C3272"/>
    <w:rsid w:val="27391D70"/>
    <w:rsid w:val="27597CB9"/>
    <w:rsid w:val="277057A2"/>
    <w:rsid w:val="27983944"/>
    <w:rsid w:val="27AC64E8"/>
    <w:rsid w:val="27C957AB"/>
    <w:rsid w:val="27E62FAC"/>
    <w:rsid w:val="27F95320"/>
    <w:rsid w:val="28126177"/>
    <w:rsid w:val="281D1D13"/>
    <w:rsid w:val="28234F4F"/>
    <w:rsid w:val="2830203E"/>
    <w:rsid w:val="283811BC"/>
    <w:rsid w:val="28387EB1"/>
    <w:rsid w:val="28486025"/>
    <w:rsid w:val="284A00B6"/>
    <w:rsid w:val="28562B5B"/>
    <w:rsid w:val="2863136D"/>
    <w:rsid w:val="28780AAE"/>
    <w:rsid w:val="28786F05"/>
    <w:rsid w:val="28C47669"/>
    <w:rsid w:val="28FE1D2D"/>
    <w:rsid w:val="28FE331F"/>
    <w:rsid w:val="290551CB"/>
    <w:rsid w:val="29206EB8"/>
    <w:rsid w:val="29234D3B"/>
    <w:rsid w:val="29246DDB"/>
    <w:rsid w:val="292A208E"/>
    <w:rsid w:val="29400691"/>
    <w:rsid w:val="29595666"/>
    <w:rsid w:val="29874881"/>
    <w:rsid w:val="298A66CF"/>
    <w:rsid w:val="29962751"/>
    <w:rsid w:val="29BD5AFE"/>
    <w:rsid w:val="29D54962"/>
    <w:rsid w:val="29E325E0"/>
    <w:rsid w:val="29EF33C4"/>
    <w:rsid w:val="2A0D52AD"/>
    <w:rsid w:val="2A174FE3"/>
    <w:rsid w:val="2A1B3136"/>
    <w:rsid w:val="2A22039D"/>
    <w:rsid w:val="2A363B85"/>
    <w:rsid w:val="2A3D1C3C"/>
    <w:rsid w:val="2A452503"/>
    <w:rsid w:val="2A5C30A5"/>
    <w:rsid w:val="2A623994"/>
    <w:rsid w:val="2A9C3DF6"/>
    <w:rsid w:val="2AEC39A9"/>
    <w:rsid w:val="2AFF3B05"/>
    <w:rsid w:val="2B1163C7"/>
    <w:rsid w:val="2B5262C3"/>
    <w:rsid w:val="2BA936A8"/>
    <w:rsid w:val="2BA96659"/>
    <w:rsid w:val="2BB35003"/>
    <w:rsid w:val="2BE71E1B"/>
    <w:rsid w:val="2BE802EC"/>
    <w:rsid w:val="2C050FDF"/>
    <w:rsid w:val="2C2418B7"/>
    <w:rsid w:val="2C2D08FC"/>
    <w:rsid w:val="2C315A5A"/>
    <w:rsid w:val="2C4B1C25"/>
    <w:rsid w:val="2C515841"/>
    <w:rsid w:val="2CAB4B3B"/>
    <w:rsid w:val="2CD74631"/>
    <w:rsid w:val="2D064BDE"/>
    <w:rsid w:val="2D254955"/>
    <w:rsid w:val="2D550172"/>
    <w:rsid w:val="2D81006B"/>
    <w:rsid w:val="2D8C6342"/>
    <w:rsid w:val="2D9E56F5"/>
    <w:rsid w:val="2DD861BF"/>
    <w:rsid w:val="2DE758BA"/>
    <w:rsid w:val="2DFF0D48"/>
    <w:rsid w:val="2DFF4892"/>
    <w:rsid w:val="2E003654"/>
    <w:rsid w:val="2E0C67FF"/>
    <w:rsid w:val="2E216CF4"/>
    <w:rsid w:val="2E310CF9"/>
    <w:rsid w:val="2E607823"/>
    <w:rsid w:val="2E667F96"/>
    <w:rsid w:val="2E8226AB"/>
    <w:rsid w:val="2EA03B36"/>
    <w:rsid w:val="2EAC25AF"/>
    <w:rsid w:val="2F1E2DE1"/>
    <w:rsid w:val="2F8A780B"/>
    <w:rsid w:val="2F9F7D65"/>
    <w:rsid w:val="2FA9730B"/>
    <w:rsid w:val="2FD065E6"/>
    <w:rsid w:val="2FD96870"/>
    <w:rsid w:val="30217819"/>
    <w:rsid w:val="30386968"/>
    <w:rsid w:val="304C26FA"/>
    <w:rsid w:val="30580BC9"/>
    <w:rsid w:val="3058102A"/>
    <w:rsid w:val="30B54637"/>
    <w:rsid w:val="30CE064F"/>
    <w:rsid w:val="30D94843"/>
    <w:rsid w:val="30F62887"/>
    <w:rsid w:val="30FF41AF"/>
    <w:rsid w:val="31013F2D"/>
    <w:rsid w:val="311C17EC"/>
    <w:rsid w:val="311E2ED7"/>
    <w:rsid w:val="312615BA"/>
    <w:rsid w:val="314B6DEB"/>
    <w:rsid w:val="315619EE"/>
    <w:rsid w:val="315C449C"/>
    <w:rsid w:val="317570BE"/>
    <w:rsid w:val="318E6A66"/>
    <w:rsid w:val="31B82709"/>
    <w:rsid w:val="31C924FA"/>
    <w:rsid w:val="31D05482"/>
    <w:rsid w:val="32001FAA"/>
    <w:rsid w:val="320D2B0A"/>
    <w:rsid w:val="323C4A0B"/>
    <w:rsid w:val="32400B34"/>
    <w:rsid w:val="324C4353"/>
    <w:rsid w:val="3260395B"/>
    <w:rsid w:val="326568B9"/>
    <w:rsid w:val="328E04C8"/>
    <w:rsid w:val="329E6876"/>
    <w:rsid w:val="32BE48B0"/>
    <w:rsid w:val="330813A2"/>
    <w:rsid w:val="33175049"/>
    <w:rsid w:val="333015F2"/>
    <w:rsid w:val="334B6320"/>
    <w:rsid w:val="3391065F"/>
    <w:rsid w:val="33C26A70"/>
    <w:rsid w:val="33D8726A"/>
    <w:rsid w:val="33D934D4"/>
    <w:rsid w:val="33DB0FA3"/>
    <w:rsid w:val="33DD7FC4"/>
    <w:rsid w:val="33FE2F6A"/>
    <w:rsid w:val="340E07E5"/>
    <w:rsid w:val="34235BF7"/>
    <w:rsid w:val="342B2097"/>
    <w:rsid w:val="343B1876"/>
    <w:rsid w:val="344252FD"/>
    <w:rsid w:val="34590721"/>
    <w:rsid w:val="346979AC"/>
    <w:rsid w:val="34B82084"/>
    <w:rsid w:val="34DA419B"/>
    <w:rsid w:val="34F47513"/>
    <w:rsid w:val="352A065E"/>
    <w:rsid w:val="35384F03"/>
    <w:rsid w:val="35730F32"/>
    <w:rsid w:val="358C5FA8"/>
    <w:rsid w:val="35C15DF1"/>
    <w:rsid w:val="35D536C4"/>
    <w:rsid w:val="35FC4375"/>
    <w:rsid w:val="36074A7F"/>
    <w:rsid w:val="36124308"/>
    <w:rsid w:val="363F5927"/>
    <w:rsid w:val="3667365B"/>
    <w:rsid w:val="366B20ED"/>
    <w:rsid w:val="367055DA"/>
    <w:rsid w:val="3675611C"/>
    <w:rsid w:val="367A4E79"/>
    <w:rsid w:val="36923549"/>
    <w:rsid w:val="36B04A93"/>
    <w:rsid w:val="36B75FBF"/>
    <w:rsid w:val="36BD0C45"/>
    <w:rsid w:val="36CC115F"/>
    <w:rsid w:val="36D6068F"/>
    <w:rsid w:val="36DB762A"/>
    <w:rsid w:val="36DC42B7"/>
    <w:rsid w:val="36ED633C"/>
    <w:rsid w:val="36F73ABB"/>
    <w:rsid w:val="370600B2"/>
    <w:rsid w:val="37072071"/>
    <w:rsid w:val="371F781E"/>
    <w:rsid w:val="3723490B"/>
    <w:rsid w:val="37350A2D"/>
    <w:rsid w:val="37967425"/>
    <w:rsid w:val="37A2520F"/>
    <w:rsid w:val="37A83D9D"/>
    <w:rsid w:val="37D270A9"/>
    <w:rsid w:val="37E00298"/>
    <w:rsid w:val="380B51B4"/>
    <w:rsid w:val="380F7189"/>
    <w:rsid w:val="38190C3E"/>
    <w:rsid w:val="383C2774"/>
    <w:rsid w:val="383F2DB8"/>
    <w:rsid w:val="387E2D8D"/>
    <w:rsid w:val="388039B0"/>
    <w:rsid w:val="38857EBA"/>
    <w:rsid w:val="388E3CDE"/>
    <w:rsid w:val="38B302F9"/>
    <w:rsid w:val="38F050DC"/>
    <w:rsid w:val="38F12CD3"/>
    <w:rsid w:val="38F94775"/>
    <w:rsid w:val="38FE416C"/>
    <w:rsid w:val="3905525C"/>
    <w:rsid w:val="391042D2"/>
    <w:rsid w:val="392971ED"/>
    <w:rsid w:val="39325651"/>
    <w:rsid w:val="394D768A"/>
    <w:rsid w:val="399D7FB5"/>
    <w:rsid w:val="39A95BE7"/>
    <w:rsid w:val="39CC0F12"/>
    <w:rsid w:val="39E25914"/>
    <w:rsid w:val="3A0D26B3"/>
    <w:rsid w:val="3A726418"/>
    <w:rsid w:val="3A726921"/>
    <w:rsid w:val="3A7806D8"/>
    <w:rsid w:val="3A872856"/>
    <w:rsid w:val="3A895A25"/>
    <w:rsid w:val="3A8D262A"/>
    <w:rsid w:val="3AEF7B36"/>
    <w:rsid w:val="3B03174A"/>
    <w:rsid w:val="3B1D345E"/>
    <w:rsid w:val="3B262ECF"/>
    <w:rsid w:val="3B281CFF"/>
    <w:rsid w:val="3B344098"/>
    <w:rsid w:val="3B3763D1"/>
    <w:rsid w:val="3B3973AD"/>
    <w:rsid w:val="3B7A3CDF"/>
    <w:rsid w:val="3BD11425"/>
    <w:rsid w:val="3C2602BE"/>
    <w:rsid w:val="3C2C5EA5"/>
    <w:rsid w:val="3C2C7F48"/>
    <w:rsid w:val="3C2F6E1E"/>
    <w:rsid w:val="3C467711"/>
    <w:rsid w:val="3C4F64BA"/>
    <w:rsid w:val="3C6F303B"/>
    <w:rsid w:val="3C75032E"/>
    <w:rsid w:val="3C8452B8"/>
    <w:rsid w:val="3CDA245A"/>
    <w:rsid w:val="3CF01C6E"/>
    <w:rsid w:val="3CF86B3D"/>
    <w:rsid w:val="3D0F097F"/>
    <w:rsid w:val="3D1E06B7"/>
    <w:rsid w:val="3D2B441C"/>
    <w:rsid w:val="3D2F36AB"/>
    <w:rsid w:val="3D335E45"/>
    <w:rsid w:val="3D3D5856"/>
    <w:rsid w:val="3D475D4B"/>
    <w:rsid w:val="3D4E2786"/>
    <w:rsid w:val="3D532D7C"/>
    <w:rsid w:val="3D544888"/>
    <w:rsid w:val="3D6129FE"/>
    <w:rsid w:val="3D6B59D2"/>
    <w:rsid w:val="3D765BE8"/>
    <w:rsid w:val="3D803724"/>
    <w:rsid w:val="3D8E3243"/>
    <w:rsid w:val="3D915310"/>
    <w:rsid w:val="3DB35602"/>
    <w:rsid w:val="3DCB6926"/>
    <w:rsid w:val="3DD05E38"/>
    <w:rsid w:val="3DD75419"/>
    <w:rsid w:val="3E004877"/>
    <w:rsid w:val="3E2D1DC5"/>
    <w:rsid w:val="3E596801"/>
    <w:rsid w:val="3E6B2961"/>
    <w:rsid w:val="3EA01CAF"/>
    <w:rsid w:val="3EB470D7"/>
    <w:rsid w:val="3EDA0523"/>
    <w:rsid w:val="3EEB1E76"/>
    <w:rsid w:val="3F685DEA"/>
    <w:rsid w:val="3F6A2E3E"/>
    <w:rsid w:val="3F7620C9"/>
    <w:rsid w:val="3F8778D8"/>
    <w:rsid w:val="3F966588"/>
    <w:rsid w:val="3FF67059"/>
    <w:rsid w:val="3FFB361E"/>
    <w:rsid w:val="401C65C3"/>
    <w:rsid w:val="40275672"/>
    <w:rsid w:val="402B6BAA"/>
    <w:rsid w:val="407A6407"/>
    <w:rsid w:val="40871387"/>
    <w:rsid w:val="4089422A"/>
    <w:rsid w:val="409C21CB"/>
    <w:rsid w:val="40BB79D5"/>
    <w:rsid w:val="40CD48E4"/>
    <w:rsid w:val="40DB0080"/>
    <w:rsid w:val="412A14CD"/>
    <w:rsid w:val="41351872"/>
    <w:rsid w:val="413F2C56"/>
    <w:rsid w:val="414A4EB8"/>
    <w:rsid w:val="419327FA"/>
    <w:rsid w:val="41CB08A2"/>
    <w:rsid w:val="41FC2C0A"/>
    <w:rsid w:val="4200449D"/>
    <w:rsid w:val="42041463"/>
    <w:rsid w:val="42223F66"/>
    <w:rsid w:val="422A43A5"/>
    <w:rsid w:val="423A3BCC"/>
    <w:rsid w:val="424E57D2"/>
    <w:rsid w:val="427404B5"/>
    <w:rsid w:val="42844BC6"/>
    <w:rsid w:val="42A06211"/>
    <w:rsid w:val="42B04D42"/>
    <w:rsid w:val="42B26C49"/>
    <w:rsid w:val="42C35F6C"/>
    <w:rsid w:val="42E16763"/>
    <w:rsid w:val="4321106E"/>
    <w:rsid w:val="433A6FE6"/>
    <w:rsid w:val="43480868"/>
    <w:rsid w:val="434D3A87"/>
    <w:rsid w:val="4350713C"/>
    <w:rsid w:val="436653E0"/>
    <w:rsid w:val="437239C9"/>
    <w:rsid w:val="43780409"/>
    <w:rsid w:val="43991E17"/>
    <w:rsid w:val="439A505E"/>
    <w:rsid w:val="43C4431A"/>
    <w:rsid w:val="43C52B92"/>
    <w:rsid w:val="43D02C9C"/>
    <w:rsid w:val="43D10CCB"/>
    <w:rsid w:val="43D703CE"/>
    <w:rsid w:val="43F178F0"/>
    <w:rsid w:val="43FF2BCC"/>
    <w:rsid w:val="44927617"/>
    <w:rsid w:val="44936F46"/>
    <w:rsid w:val="44B951CC"/>
    <w:rsid w:val="44C800DB"/>
    <w:rsid w:val="44CD14E0"/>
    <w:rsid w:val="44DE4CB0"/>
    <w:rsid w:val="44E1098A"/>
    <w:rsid w:val="44F20B0B"/>
    <w:rsid w:val="44F67C10"/>
    <w:rsid w:val="44FE1C14"/>
    <w:rsid w:val="45111A73"/>
    <w:rsid w:val="452E5F4C"/>
    <w:rsid w:val="453273D9"/>
    <w:rsid w:val="455D417D"/>
    <w:rsid w:val="45612018"/>
    <w:rsid w:val="45703F6B"/>
    <w:rsid w:val="458946E9"/>
    <w:rsid w:val="45A47C0E"/>
    <w:rsid w:val="45BB72B3"/>
    <w:rsid w:val="45BD01E3"/>
    <w:rsid w:val="45E216A1"/>
    <w:rsid w:val="46026465"/>
    <w:rsid w:val="46134D8C"/>
    <w:rsid w:val="462A0FFF"/>
    <w:rsid w:val="46577FD6"/>
    <w:rsid w:val="46690BD8"/>
    <w:rsid w:val="46800901"/>
    <w:rsid w:val="46835B5C"/>
    <w:rsid w:val="468D14AD"/>
    <w:rsid w:val="469435F1"/>
    <w:rsid w:val="469D5504"/>
    <w:rsid w:val="46A22A74"/>
    <w:rsid w:val="46AB7443"/>
    <w:rsid w:val="46D955A7"/>
    <w:rsid w:val="46E769C3"/>
    <w:rsid w:val="47133957"/>
    <w:rsid w:val="471D57BA"/>
    <w:rsid w:val="47460422"/>
    <w:rsid w:val="476C157B"/>
    <w:rsid w:val="47771BD9"/>
    <w:rsid w:val="47796D02"/>
    <w:rsid w:val="47896B2B"/>
    <w:rsid w:val="47A07E0C"/>
    <w:rsid w:val="47BB36A9"/>
    <w:rsid w:val="47F61ABC"/>
    <w:rsid w:val="482F09DE"/>
    <w:rsid w:val="48305DBC"/>
    <w:rsid w:val="48487C6F"/>
    <w:rsid w:val="48537D67"/>
    <w:rsid w:val="4870272E"/>
    <w:rsid w:val="489847F3"/>
    <w:rsid w:val="49294B2E"/>
    <w:rsid w:val="493E233E"/>
    <w:rsid w:val="494A5169"/>
    <w:rsid w:val="497437E4"/>
    <w:rsid w:val="49DC7715"/>
    <w:rsid w:val="49F7717C"/>
    <w:rsid w:val="49F96717"/>
    <w:rsid w:val="4A023139"/>
    <w:rsid w:val="4A1068BF"/>
    <w:rsid w:val="4A494BD2"/>
    <w:rsid w:val="4A612515"/>
    <w:rsid w:val="4A640B43"/>
    <w:rsid w:val="4A7B576F"/>
    <w:rsid w:val="4A8F0E29"/>
    <w:rsid w:val="4A964D6F"/>
    <w:rsid w:val="4AB03ADF"/>
    <w:rsid w:val="4AC5484B"/>
    <w:rsid w:val="4AD2724E"/>
    <w:rsid w:val="4AE003EE"/>
    <w:rsid w:val="4AF46E1C"/>
    <w:rsid w:val="4AF55B79"/>
    <w:rsid w:val="4AF561A9"/>
    <w:rsid w:val="4B045C9B"/>
    <w:rsid w:val="4B0E20ED"/>
    <w:rsid w:val="4B1D496F"/>
    <w:rsid w:val="4B2B6DA4"/>
    <w:rsid w:val="4B4321EC"/>
    <w:rsid w:val="4B997BA3"/>
    <w:rsid w:val="4B9A7310"/>
    <w:rsid w:val="4BAE583F"/>
    <w:rsid w:val="4BB41ED2"/>
    <w:rsid w:val="4BF82B11"/>
    <w:rsid w:val="4C3939A1"/>
    <w:rsid w:val="4C4A0649"/>
    <w:rsid w:val="4C7A4D91"/>
    <w:rsid w:val="4C7E5ECA"/>
    <w:rsid w:val="4C876AA5"/>
    <w:rsid w:val="4C8B19C3"/>
    <w:rsid w:val="4C9A60FC"/>
    <w:rsid w:val="4CB127A8"/>
    <w:rsid w:val="4CD21FC0"/>
    <w:rsid w:val="4D0373AB"/>
    <w:rsid w:val="4D0E00FB"/>
    <w:rsid w:val="4D176606"/>
    <w:rsid w:val="4D6C07E2"/>
    <w:rsid w:val="4D7F0CE1"/>
    <w:rsid w:val="4D9B1777"/>
    <w:rsid w:val="4DA37290"/>
    <w:rsid w:val="4DA90454"/>
    <w:rsid w:val="4DE40CCB"/>
    <w:rsid w:val="4DEC4FB0"/>
    <w:rsid w:val="4DF85B4E"/>
    <w:rsid w:val="4E075D8A"/>
    <w:rsid w:val="4E39513E"/>
    <w:rsid w:val="4E66012E"/>
    <w:rsid w:val="4EC00FAD"/>
    <w:rsid w:val="4ECD33FB"/>
    <w:rsid w:val="4EE01086"/>
    <w:rsid w:val="4EF37BD9"/>
    <w:rsid w:val="4EFE5EBB"/>
    <w:rsid w:val="4F633687"/>
    <w:rsid w:val="4F65547B"/>
    <w:rsid w:val="4F6A54F9"/>
    <w:rsid w:val="4F820B9F"/>
    <w:rsid w:val="4F913852"/>
    <w:rsid w:val="4F9843DC"/>
    <w:rsid w:val="4FC62A8C"/>
    <w:rsid w:val="4FCE6549"/>
    <w:rsid w:val="4FCF7C28"/>
    <w:rsid w:val="4FE20F0D"/>
    <w:rsid w:val="4FE51552"/>
    <w:rsid w:val="50106B9F"/>
    <w:rsid w:val="50257BB9"/>
    <w:rsid w:val="50297F13"/>
    <w:rsid w:val="502A750A"/>
    <w:rsid w:val="50504C4B"/>
    <w:rsid w:val="505F5FBF"/>
    <w:rsid w:val="507A547F"/>
    <w:rsid w:val="509C6E7C"/>
    <w:rsid w:val="50A01EA4"/>
    <w:rsid w:val="50F748D4"/>
    <w:rsid w:val="5162104E"/>
    <w:rsid w:val="517C2D0A"/>
    <w:rsid w:val="519D6BA2"/>
    <w:rsid w:val="51BB4A40"/>
    <w:rsid w:val="51C11C0C"/>
    <w:rsid w:val="51C8559B"/>
    <w:rsid w:val="51CD2C8E"/>
    <w:rsid w:val="51EA1475"/>
    <w:rsid w:val="5245539F"/>
    <w:rsid w:val="524E5C77"/>
    <w:rsid w:val="525A41A8"/>
    <w:rsid w:val="52833311"/>
    <w:rsid w:val="52C010E6"/>
    <w:rsid w:val="52EA4EB5"/>
    <w:rsid w:val="53061DFB"/>
    <w:rsid w:val="53125EF4"/>
    <w:rsid w:val="531632E0"/>
    <w:rsid w:val="532701B6"/>
    <w:rsid w:val="534C039E"/>
    <w:rsid w:val="536A1960"/>
    <w:rsid w:val="5373420A"/>
    <w:rsid w:val="53945476"/>
    <w:rsid w:val="539E0863"/>
    <w:rsid w:val="53A039CC"/>
    <w:rsid w:val="53A1505A"/>
    <w:rsid w:val="53B536AF"/>
    <w:rsid w:val="53E76804"/>
    <w:rsid w:val="53EF7F57"/>
    <w:rsid w:val="53FB03AE"/>
    <w:rsid w:val="54063E08"/>
    <w:rsid w:val="543437E8"/>
    <w:rsid w:val="54381629"/>
    <w:rsid w:val="548503AA"/>
    <w:rsid w:val="5492171C"/>
    <w:rsid w:val="54B576DE"/>
    <w:rsid w:val="54CC4B60"/>
    <w:rsid w:val="54D14E2C"/>
    <w:rsid w:val="54D958EC"/>
    <w:rsid w:val="54DA5BF9"/>
    <w:rsid w:val="54E51D72"/>
    <w:rsid w:val="54F73313"/>
    <w:rsid w:val="54F80955"/>
    <w:rsid w:val="550361D8"/>
    <w:rsid w:val="550E7B0A"/>
    <w:rsid w:val="552969BE"/>
    <w:rsid w:val="552B6484"/>
    <w:rsid w:val="553E1482"/>
    <w:rsid w:val="555170A7"/>
    <w:rsid w:val="5587536D"/>
    <w:rsid w:val="559B174B"/>
    <w:rsid w:val="55B11553"/>
    <w:rsid w:val="55CE0CF4"/>
    <w:rsid w:val="55D43B94"/>
    <w:rsid w:val="55DE587B"/>
    <w:rsid w:val="56254791"/>
    <w:rsid w:val="563E0195"/>
    <w:rsid w:val="56546ED4"/>
    <w:rsid w:val="56A77FA4"/>
    <w:rsid w:val="56B22A9C"/>
    <w:rsid w:val="56C87499"/>
    <w:rsid w:val="56D12D75"/>
    <w:rsid w:val="56E52CD8"/>
    <w:rsid w:val="56E66F00"/>
    <w:rsid w:val="571132F2"/>
    <w:rsid w:val="572574C2"/>
    <w:rsid w:val="57521214"/>
    <w:rsid w:val="57554542"/>
    <w:rsid w:val="57604765"/>
    <w:rsid w:val="577E43CE"/>
    <w:rsid w:val="57972F3D"/>
    <w:rsid w:val="57A7207F"/>
    <w:rsid w:val="57B72A76"/>
    <w:rsid w:val="57C3426C"/>
    <w:rsid w:val="57C44FF9"/>
    <w:rsid w:val="57CE1F93"/>
    <w:rsid w:val="57D77C2D"/>
    <w:rsid w:val="57F13007"/>
    <w:rsid w:val="57FE4C66"/>
    <w:rsid w:val="5804433A"/>
    <w:rsid w:val="58083F78"/>
    <w:rsid w:val="58280CD9"/>
    <w:rsid w:val="582C27E5"/>
    <w:rsid w:val="58306FF4"/>
    <w:rsid w:val="58471A9C"/>
    <w:rsid w:val="5883010A"/>
    <w:rsid w:val="588743D1"/>
    <w:rsid w:val="5887701A"/>
    <w:rsid w:val="58937B43"/>
    <w:rsid w:val="58D11441"/>
    <w:rsid w:val="58E37595"/>
    <w:rsid w:val="58F64911"/>
    <w:rsid w:val="58FC3A12"/>
    <w:rsid w:val="5900220C"/>
    <w:rsid w:val="593F08BF"/>
    <w:rsid w:val="595823DB"/>
    <w:rsid w:val="599562EA"/>
    <w:rsid w:val="59B45EDC"/>
    <w:rsid w:val="59B46187"/>
    <w:rsid w:val="59C0439F"/>
    <w:rsid w:val="59C35852"/>
    <w:rsid w:val="59D27D41"/>
    <w:rsid w:val="5A2813B3"/>
    <w:rsid w:val="5A6540D2"/>
    <w:rsid w:val="5A78174E"/>
    <w:rsid w:val="5ABE2233"/>
    <w:rsid w:val="5AC739BF"/>
    <w:rsid w:val="5AF35881"/>
    <w:rsid w:val="5AFB4A87"/>
    <w:rsid w:val="5B8966DA"/>
    <w:rsid w:val="5BA20303"/>
    <w:rsid w:val="5BA30A06"/>
    <w:rsid w:val="5BA6508F"/>
    <w:rsid w:val="5BD60F83"/>
    <w:rsid w:val="5BDF5D95"/>
    <w:rsid w:val="5BF74AD6"/>
    <w:rsid w:val="5BFE7528"/>
    <w:rsid w:val="5C487462"/>
    <w:rsid w:val="5C4F17D1"/>
    <w:rsid w:val="5C6A5252"/>
    <w:rsid w:val="5C6D220E"/>
    <w:rsid w:val="5CB07109"/>
    <w:rsid w:val="5CB3602E"/>
    <w:rsid w:val="5D1C11A8"/>
    <w:rsid w:val="5D5E2925"/>
    <w:rsid w:val="5D707998"/>
    <w:rsid w:val="5D7956AC"/>
    <w:rsid w:val="5D7F1726"/>
    <w:rsid w:val="5D805528"/>
    <w:rsid w:val="5D860E9C"/>
    <w:rsid w:val="5D9B1A85"/>
    <w:rsid w:val="5DC14D28"/>
    <w:rsid w:val="5E17179F"/>
    <w:rsid w:val="5E2467F1"/>
    <w:rsid w:val="5E2F07EE"/>
    <w:rsid w:val="5E3B1233"/>
    <w:rsid w:val="5E7A3A07"/>
    <w:rsid w:val="5F091471"/>
    <w:rsid w:val="5F1A2B43"/>
    <w:rsid w:val="5F2C6794"/>
    <w:rsid w:val="5F323D34"/>
    <w:rsid w:val="5FA44660"/>
    <w:rsid w:val="5FB837BB"/>
    <w:rsid w:val="5FCC43E0"/>
    <w:rsid w:val="5FD72BFF"/>
    <w:rsid w:val="602E1007"/>
    <w:rsid w:val="604A0EE1"/>
    <w:rsid w:val="605D5F7B"/>
    <w:rsid w:val="60830691"/>
    <w:rsid w:val="60A725D1"/>
    <w:rsid w:val="60C74A21"/>
    <w:rsid w:val="60CC405A"/>
    <w:rsid w:val="60E7572C"/>
    <w:rsid w:val="60FF2176"/>
    <w:rsid w:val="612667D4"/>
    <w:rsid w:val="61587D6F"/>
    <w:rsid w:val="61735A93"/>
    <w:rsid w:val="619A50BB"/>
    <w:rsid w:val="61AE524A"/>
    <w:rsid w:val="61C176C2"/>
    <w:rsid w:val="61E215D8"/>
    <w:rsid w:val="6213213F"/>
    <w:rsid w:val="621B3775"/>
    <w:rsid w:val="62364782"/>
    <w:rsid w:val="624768C5"/>
    <w:rsid w:val="629866F6"/>
    <w:rsid w:val="62C906DA"/>
    <w:rsid w:val="62E2128F"/>
    <w:rsid w:val="62F94942"/>
    <w:rsid w:val="62FB7554"/>
    <w:rsid w:val="6306451B"/>
    <w:rsid w:val="63380DB8"/>
    <w:rsid w:val="6360509F"/>
    <w:rsid w:val="63685DA4"/>
    <w:rsid w:val="636A767F"/>
    <w:rsid w:val="6394356A"/>
    <w:rsid w:val="639D25F9"/>
    <w:rsid w:val="639E1592"/>
    <w:rsid w:val="63A23C9C"/>
    <w:rsid w:val="63AB6C79"/>
    <w:rsid w:val="63C61B2C"/>
    <w:rsid w:val="63D40BE9"/>
    <w:rsid w:val="63DC38F4"/>
    <w:rsid w:val="63DF7DB2"/>
    <w:rsid w:val="63EE2580"/>
    <w:rsid w:val="64102431"/>
    <w:rsid w:val="64131F01"/>
    <w:rsid w:val="64265F03"/>
    <w:rsid w:val="642D7CCA"/>
    <w:rsid w:val="644E538B"/>
    <w:rsid w:val="644F4EEF"/>
    <w:rsid w:val="64A5243A"/>
    <w:rsid w:val="64AE328C"/>
    <w:rsid w:val="64C8450C"/>
    <w:rsid w:val="64D2713C"/>
    <w:rsid w:val="64EA639C"/>
    <w:rsid w:val="64F531DE"/>
    <w:rsid w:val="650B2E1D"/>
    <w:rsid w:val="65132CB7"/>
    <w:rsid w:val="651E72F7"/>
    <w:rsid w:val="65266FC3"/>
    <w:rsid w:val="65373578"/>
    <w:rsid w:val="654967D5"/>
    <w:rsid w:val="657666F7"/>
    <w:rsid w:val="658D5919"/>
    <w:rsid w:val="65D30CBF"/>
    <w:rsid w:val="65D760DA"/>
    <w:rsid w:val="65D924C9"/>
    <w:rsid w:val="66205F9C"/>
    <w:rsid w:val="662317D3"/>
    <w:rsid w:val="666E2460"/>
    <w:rsid w:val="667C38A7"/>
    <w:rsid w:val="66BE0DA3"/>
    <w:rsid w:val="66D23EF1"/>
    <w:rsid w:val="66DB53E1"/>
    <w:rsid w:val="66E942CF"/>
    <w:rsid w:val="66F6167D"/>
    <w:rsid w:val="66FA504B"/>
    <w:rsid w:val="6707302D"/>
    <w:rsid w:val="670D3579"/>
    <w:rsid w:val="671F124A"/>
    <w:rsid w:val="672050C3"/>
    <w:rsid w:val="672755B0"/>
    <w:rsid w:val="67372D6D"/>
    <w:rsid w:val="67677475"/>
    <w:rsid w:val="676A4358"/>
    <w:rsid w:val="676C00D0"/>
    <w:rsid w:val="677A33C6"/>
    <w:rsid w:val="678C2521"/>
    <w:rsid w:val="67C106B0"/>
    <w:rsid w:val="67C11A31"/>
    <w:rsid w:val="67D430F4"/>
    <w:rsid w:val="67DA5694"/>
    <w:rsid w:val="67F57912"/>
    <w:rsid w:val="68151A6D"/>
    <w:rsid w:val="681F6961"/>
    <w:rsid w:val="6823192D"/>
    <w:rsid w:val="68610A2F"/>
    <w:rsid w:val="68642970"/>
    <w:rsid w:val="68734836"/>
    <w:rsid w:val="68750EDE"/>
    <w:rsid w:val="68805514"/>
    <w:rsid w:val="688F051A"/>
    <w:rsid w:val="68C02DC5"/>
    <w:rsid w:val="68D66A5E"/>
    <w:rsid w:val="68F26839"/>
    <w:rsid w:val="68F712F6"/>
    <w:rsid w:val="692D4614"/>
    <w:rsid w:val="69316E2F"/>
    <w:rsid w:val="693B16E3"/>
    <w:rsid w:val="694E2071"/>
    <w:rsid w:val="69715F8B"/>
    <w:rsid w:val="69766163"/>
    <w:rsid w:val="69771632"/>
    <w:rsid w:val="69787200"/>
    <w:rsid w:val="697A3B33"/>
    <w:rsid w:val="699A0A37"/>
    <w:rsid w:val="69B8480B"/>
    <w:rsid w:val="69CD6B71"/>
    <w:rsid w:val="69D44760"/>
    <w:rsid w:val="6A2133F4"/>
    <w:rsid w:val="6A2D47F2"/>
    <w:rsid w:val="6A454523"/>
    <w:rsid w:val="6A520EC7"/>
    <w:rsid w:val="6A764A65"/>
    <w:rsid w:val="6A9D03DB"/>
    <w:rsid w:val="6AB16676"/>
    <w:rsid w:val="6AB640D8"/>
    <w:rsid w:val="6AC367B6"/>
    <w:rsid w:val="6AF84271"/>
    <w:rsid w:val="6AF87E20"/>
    <w:rsid w:val="6B250641"/>
    <w:rsid w:val="6B2B0DF2"/>
    <w:rsid w:val="6B322639"/>
    <w:rsid w:val="6B566F37"/>
    <w:rsid w:val="6B8071CC"/>
    <w:rsid w:val="6B9A7701"/>
    <w:rsid w:val="6BAE515B"/>
    <w:rsid w:val="6BCF5840"/>
    <w:rsid w:val="6C17544E"/>
    <w:rsid w:val="6C297290"/>
    <w:rsid w:val="6C383399"/>
    <w:rsid w:val="6C636C38"/>
    <w:rsid w:val="6C92690B"/>
    <w:rsid w:val="6CC00AF1"/>
    <w:rsid w:val="6D27214F"/>
    <w:rsid w:val="6D2D72B2"/>
    <w:rsid w:val="6D311068"/>
    <w:rsid w:val="6D60154F"/>
    <w:rsid w:val="6D7773FF"/>
    <w:rsid w:val="6D8301B9"/>
    <w:rsid w:val="6D884309"/>
    <w:rsid w:val="6D8F5E11"/>
    <w:rsid w:val="6DB34098"/>
    <w:rsid w:val="6DB545B6"/>
    <w:rsid w:val="6DD4077E"/>
    <w:rsid w:val="6DDE3A99"/>
    <w:rsid w:val="6DE02FB4"/>
    <w:rsid w:val="6DE9117D"/>
    <w:rsid w:val="6E0717CB"/>
    <w:rsid w:val="6E15295D"/>
    <w:rsid w:val="6E166FE8"/>
    <w:rsid w:val="6E1D2D93"/>
    <w:rsid w:val="6E243335"/>
    <w:rsid w:val="6E36354F"/>
    <w:rsid w:val="6E514CED"/>
    <w:rsid w:val="6E6563F5"/>
    <w:rsid w:val="6E851A78"/>
    <w:rsid w:val="6EB563D5"/>
    <w:rsid w:val="6ECA28F1"/>
    <w:rsid w:val="6ED6148D"/>
    <w:rsid w:val="6ED92677"/>
    <w:rsid w:val="6EDC2DD2"/>
    <w:rsid w:val="6EE22991"/>
    <w:rsid w:val="6EE650A2"/>
    <w:rsid w:val="6F0768B7"/>
    <w:rsid w:val="6F184888"/>
    <w:rsid w:val="6F2149FD"/>
    <w:rsid w:val="6F225983"/>
    <w:rsid w:val="6F245167"/>
    <w:rsid w:val="6F2712BB"/>
    <w:rsid w:val="6F2D05CC"/>
    <w:rsid w:val="6F4E1A94"/>
    <w:rsid w:val="6F5D0F98"/>
    <w:rsid w:val="6F8D260D"/>
    <w:rsid w:val="6F9457F9"/>
    <w:rsid w:val="6FAA325E"/>
    <w:rsid w:val="6FBC1C91"/>
    <w:rsid w:val="6FFC5590"/>
    <w:rsid w:val="706D1DD0"/>
    <w:rsid w:val="70856B87"/>
    <w:rsid w:val="709F5509"/>
    <w:rsid w:val="70D527EE"/>
    <w:rsid w:val="70DB09F0"/>
    <w:rsid w:val="70DE203F"/>
    <w:rsid w:val="711F4406"/>
    <w:rsid w:val="71202E13"/>
    <w:rsid w:val="712E483D"/>
    <w:rsid w:val="713F1F95"/>
    <w:rsid w:val="715B5300"/>
    <w:rsid w:val="719D7A78"/>
    <w:rsid w:val="71B2442F"/>
    <w:rsid w:val="71B973CD"/>
    <w:rsid w:val="71D27F8A"/>
    <w:rsid w:val="71E65A23"/>
    <w:rsid w:val="71FA0279"/>
    <w:rsid w:val="71FE5D45"/>
    <w:rsid w:val="7211730E"/>
    <w:rsid w:val="72553024"/>
    <w:rsid w:val="72BE0948"/>
    <w:rsid w:val="72C8259E"/>
    <w:rsid w:val="72C83F3E"/>
    <w:rsid w:val="72D84702"/>
    <w:rsid w:val="72F0162A"/>
    <w:rsid w:val="73122968"/>
    <w:rsid w:val="731F5D5E"/>
    <w:rsid w:val="735A00A9"/>
    <w:rsid w:val="7366473B"/>
    <w:rsid w:val="73792049"/>
    <w:rsid w:val="73C51AD5"/>
    <w:rsid w:val="73F571A4"/>
    <w:rsid w:val="741950BC"/>
    <w:rsid w:val="741E793C"/>
    <w:rsid w:val="74261463"/>
    <w:rsid w:val="74291DE7"/>
    <w:rsid w:val="744E4FAA"/>
    <w:rsid w:val="745E3944"/>
    <w:rsid w:val="74856C0D"/>
    <w:rsid w:val="74980757"/>
    <w:rsid w:val="74A54366"/>
    <w:rsid w:val="74E53270"/>
    <w:rsid w:val="7535499E"/>
    <w:rsid w:val="755F21E8"/>
    <w:rsid w:val="75680227"/>
    <w:rsid w:val="7576042F"/>
    <w:rsid w:val="759035E8"/>
    <w:rsid w:val="759C268B"/>
    <w:rsid w:val="75A03D67"/>
    <w:rsid w:val="75B47E40"/>
    <w:rsid w:val="75B5315F"/>
    <w:rsid w:val="75C171ED"/>
    <w:rsid w:val="75C8797B"/>
    <w:rsid w:val="75DC4C1B"/>
    <w:rsid w:val="75E32C39"/>
    <w:rsid w:val="7608190C"/>
    <w:rsid w:val="7635099D"/>
    <w:rsid w:val="764E19CF"/>
    <w:rsid w:val="765B265C"/>
    <w:rsid w:val="76AF3B36"/>
    <w:rsid w:val="76B90D3E"/>
    <w:rsid w:val="76C01A11"/>
    <w:rsid w:val="76FA00C0"/>
    <w:rsid w:val="770F77AA"/>
    <w:rsid w:val="771A4A1A"/>
    <w:rsid w:val="772148DA"/>
    <w:rsid w:val="77425257"/>
    <w:rsid w:val="77633B57"/>
    <w:rsid w:val="77654F67"/>
    <w:rsid w:val="776914BC"/>
    <w:rsid w:val="77762421"/>
    <w:rsid w:val="77927A79"/>
    <w:rsid w:val="77B56B1F"/>
    <w:rsid w:val="77CB3207"/>
    <w:rsid w:val="77D24FF3"/>
    <w:rsid w:val="780F09F4"/>
    <w:rsid w:val="781C56D8"/>
    <w:rsid w:val="782E6D7D"/>
    <w:rsid w:val="786140D3"/>
    <w:rsid w:val="7872306D"/>
    <w:rsid w:val="787832D8"/>
    <w:rsid w:val="78A90480"/>
    <w:rsid w:val="78AA7377"/>
    <w:rsid w:val="78FC16D0"/>
    <w:rsid w:val="790964AC"/>
    <w:rsid w:val="791E1E0A"/>
    <w:rsid w:val="792415EC"/>
    <w:rsid w:val="793D58F9"/>
    <w:rsid w:val="794629F3"/>
    <w:rsid w:val="799E2C52"/>
    <w:rsid w:val="79AD3335"/>
    <w:rsid w:val="79CF2D55"/>
    <w:rsid w:val="7A364017"/>
    <w:rsid w:val="7A8265E1"/>
    <w:rsid w:val="7ADC3916"/>
    <w:rsid w:val="7B2C72C9"/>
    <w:rsid w:val="7B393200"/>
    <w:rsid w:val="7B407344"/>
    <w:rsid w:val="7B686D42"/>
    <w:rsid w:val="7B783090"/>
    <w:rsid w:val="7B841746"/>
    <w:rsid w:val="7B886DF0"/>
    <w:rsid w:val="7BFF1092"/>
    <w:rsid w:val="7C1D6FD3"/>
    <w:rsid w:val="7C201766"/>
    <w:rsid w:val="7C486144"/>
    <w:rsid w:val="7C487568"/>
    <w:rsid w:val="7C4B26A8"/>
    <w:rsid w:val="7C4F5D45"/>
    <w:rsid w:val="7C5B2F2E"/>
    <w:rsid w:val="7C5E0073"/>
    <w:rsid w:val="7C6A4563"/>
    <w:rsid w:val="7C6C5AC7"/>
    <w:rsid w:val="7CA51C63"/>
    <w:rsid w:val="7CC6544B"/>
    <w:rsid w:val="7CE107C1"/>
    <w:rsid w:val="7D0239FF"/>
    <w:rsid w:val="7D3D50B2"/>
    <w:rsid w:val="7D4323AE"/>
    <w:rsid w:val="7D5E40CD"/>
    <w:rsid w:val="7D763C4F"/>
    <w:rsid w:val="7D904AEE"/>
    <w:rsid w:val="7D940515"/>
    <w:rsid w:val="7DB04047"/>
    <w:rsid w:val="7DBB206D"/>
    <w:rsid w:val="7DC10D26"/>
    <w:rsid w:val="7DCD56F2"/>
    <w:rsid w:val="7DD12DFB"/>
    <w:rsid w:val="7DF824A2"/>
    <w:rsid w:val="7E035F8F"/>
    <w:rsid w:val="7E0D6380"/>
    <w:rsid w:val="7E140BE8"/>
    <w:rsid w:val="7E2813B7"/>
    <w:rsid w:val="7E386D73"/>
    <w:rsid w:val="7E435D39"/>
    <w:rsid w:val="7E505BCA"/>
    <w:rsid w:val="7E5D3AFF"/>
    <w:rsid w:val="7E724D25"/>
    <w:rsid w:val="7E902074"/>
    <w:rsid w:val="7E9417C7"/>
    <w:rsid w:val="7ED64CB3"/>
    <w:rsid w:val="7EED6AA6"/>
    <w:rsid w:val="7EF00858"/>
    <w:rsid w:val="7F001CE7"/>
    <w:rsid w:val="7F130423"/>
    <w:rsid w:val="7F23102B"/>
    <w:rsid w:val="7F343772"/>
    <w:rsid w:val="7F360540"/>
    <w:rsid w:val="7F3A0DCF"/>
    <w:rsid w:val="7F3C6183"/>
    <w:rsid w:val="7F557389"/>
    <w:rsid w:val="7F78540D"/>
    <w:rsid w:val="7F7C16D7"/>
    <w:rsid w:val="7F863758"/>
    <w:rsid w:val="7FB9405B"/>
    <w:rsid w:val="7FE47E50"/>
    <w:rsid w:val="7FEB5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qFormat="1"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qFormat="1"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qFormat="1"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162"/>
    <w:unhideWhenUsed/>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71"/>
    <w:qFormat/>
    <w:locked/>
    <w:uiPriority w:val="0"/>
    <w:pPr>
      <w:keepNext/>
      <w:keepLines/>
      <w:spacing w:before="260" w:after="260" w:line="416" w:lineRule="auto"/>
      <w:outlineLvl w:val="2"/>
    </w:pPr>
    <w:rPr>
      <w:b/>
      <w:bCs/>
      <w:sz w:val="32"/>
      <w:szCs w:val="32"/>
    </w:rPr>
  </w:style>
  <w:style w:type="paragraph" w:styleId="5">
    <w:name w:val="heading 4"/>
    <w:basedOn w:val="1"/>
    <w:next w:val="1"/>
    <w:qFormat/>
    <w:locked/>
    <w:uiPriority w:val="0"/>
    <w:pPr>
      <w:keepNext/>
      <w:keepLines/>
      <w:widowControl/>
      <w:numPr>
        <w:ilvl w:val="3"/>
        <w:numId w:val="1"/>
      </w:numPr>
      <w:spacing w:line="360" w:lineRule="auto"/>
      <w:jc w:val="left"/>
      <w:outlineLvl w:val="3"/>
    </w:pPr>
    <w:rPr>
      <w:b/>
      <w:bCs/>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6">
    <w:name w:val="List 3"/>
    <w:qFormat/>
    <w:locked/>
    <w:uiPriority w:val="0"/>
    <w:pPr>
      <w:widowControl w:val="0"/>
    </w:pPr>
    <w:rPr>
      <w:rFonts w:ascii="Times New Roman" w:hAnsi="Times New Roman" w:eastAsia="宋体" w:cs="Times New Roman"/>
      <w:bCs/>
      <w:kern w:val="2"/>
      <w:sz w:val="21"/>
      <w:szCs w:val="21"/>
      <w:lang w:val="en-US" w:eastAsia="zh-CN" w:bidi="ar-SA"/>
    </w:rPr>
  </w:style>
  <w:style w:type="paragraph" w:styleId="7">
    <w:name w:val="table of authorities"/>
    <w:basedOn w:val="1"/>
    <w:next w:val="1"/>
    <w:qFormat/>
    <w:locked/>
    <w:uiPriority w:val="0"/>
    <w:pPr>
      <w:ind w:left="420" w:leftChars="200"/>
    </w:pPr>
  </w:style>
  <w:style w:type="paragraph" w:styleId="8">
    <w:name w:val="Note Heading"/>
    <w:basedOn w:val="1"/>
    <w:next w:val="1"/>
    <w:link w:val="232"/>
    <w:qFormat/>
    <w:locked/>
    <w:uiPriority w:val="0"/>
    <w:pPr>
      <w:jc w:val="center"/>
    </w:pPr>
    <w:rPr>
      <w:sz w:val="28"/>
      <w:szCs w:val="20"/>
    </w:rPr>
  </w:style>
  <w:style w:type="paragraph" w:styleId="9">
    <w:name w:val="Normal Indent"/>
    <w:basedOn w:val="1"/>
    <w:next w:val="1"/>
    <w:link w:val="54"/>
    <w:qFormat/>
    <w:locked/>
    <w:uiPriority w:val="0"/>
    <w:pPr>
      <w:ind w:firstLine="420" w:firstLineChars="200"/>
    </w:pPr>
  </w:style>
  <w:style w:type="paragraph" w:styleId="10">
    <w:name w:val="caption"/>
    <w:basedOn w:val="1"/>
    <w:next w:val="1"/>
    <w:link w:val="135"/>
    <w:qFormat/>
    <w:locked/>
    <w:uiPriority w:val="0"/>
    <w:pPr>
      <w:widowControl/>
      <w:spacing w:line="360" w:lineRule="auto"/>
    </w:pPr>
    <w:rPr>
      <w:rFonts w:ascii="Arial" w:hAnsi="Arial" w:eastAsia="黑体" w:cs="Arial"/>
      <w:sz w:val="20"/>
      <w:szCs w:val="20"/>
    </w:rPr>
  </w:style>
  <w:style w:type="paragraph" w:styleId="11">
    <w:name w:val="Document Map"/>
    <w:basedOn w:val="1"/>
    <w:link w:val="55"/>
    <w:qFormat/>
    <w:locked/>
    <w:uiPriority w:val="0"/>
    <w:rPr>
      <w:rFonts w:ascii="宋体"/>
      <w:sz w:val="18"/>
      <w:szCs w:val="18"/>
    </w:rPr>
  </w:style>
  <w:style w:type="paragraph" w:styleId="12">
    <w:name w:val="annotation text"/>
    <w:basedOn w:val="1"/>
    <w:link w:val="56"/>
    <w:semiHidden/>
    <w:qFormat/>
    <w:uiPriority w:val="0"/>
    <w:pPr>
      <w:jc w:val="left"/>
    </w:pPr>
    <w:rPr>
      <w:kern w:val="0"/>
      <w:sz w:val="24"/>
      <w:szCs w:val="20"/>
    </w:rPr>
  </w:style>
  <w:style w:type="paragraph" w:styleId="13">
    <w:name w:val="Salutation"/>
    <w:basedOn w:val="1"/>
    <w:next w:val="1"/>
    <w:qFormat/>
    <w:locked/>
    <w:uiPriority w:val="0"/>
  </w:style>
  <w:style w:type="paragraph" w:styleId="14">
    <w:name w:val="Body Text"/>
    <w:basedOn w:val="1"/>
    <w:link w:val="57"/>
    <w:qFormat/>
    <w:uiPriority w:val="0"/>
    <w:pPr>
      <w:widowControl/>
      <w:snapToGrid w:val="0"/>
      <w:spacing w:before="60" w:after="160" w:line="259" w:lineRule="auto"/>
      <w:ind w:right="113"/>
    </w:pPr>
    <w:rPr>
      <w:kern w:val="0"/>
      <w:sz w:val="18"/>
      <w:szCs w:val="20"/>
    </w:rPr>
  </w:style>
  <w:style w:type="paragraph" w:styleId="15">
    <w:name w:val="Body Text Indent"/>
    <w:basedOn w:val="1"/>
    <w:next w:val="16"/>
    <w:link w:val="58"/>
    <w:qFormat/>
    <w:uiPriority w:val="0"/>
    <w:pPr>
      <w:spacing w:after="120"/>
      <w:ind w:left="420" w:leftChars="200"/>
    </w:pPr>
    <w:rPr>
      <w:kern w:val="0"/>
      <w:sz w:val="24"/>
      <w:szCs w:val="20"/>
    </w:rPr>
  </w:style>
  <w:style w:type="paragraph" w:styleId="16">
    <w:name w:val="Body Text Indent 2"/>
    <w:basedOn w:val="1"/>
    <w:next w:val="17"/>
    <w:link w:val="230"/>
    <w:qFormat/>
    <w:locked/>
    <w:uiPriority w:val="0"/>
    <w:pPr>
      <w:spacing w:after="120" w:line="480" w:lineRule="auto"/>
      <w:ind w:left="420" w:leftChars="200"/>
    </w:pPr>
  </w:style>
  <w:style w:type="paragraph" w:styleId="17">
    <w:name w:val="Body Text First Indent 2"/>
    <w:basedOn w:val="15"/>
    <w:next w:val="1"/>
    <w:link w:val="235"/>
    <w:qFormat/>
    <w:locked/>
    <w:uiPriority w:val="0"/>
    <w:pPr>
      <w:ind w:firstLine="420" w:firstLineChars="200"/>
    </w:pPr>
    <w:rPr>
      <w:kern w:val="2"/>
      <w:sz w:val="21"/>
      <w:szCs w:val="24"/>
    </w:rPr>
  </w:style>
  <w:style w:type="paragraph" w:styleId="18">
    <w:name w:val="List 2"/>
    <w:basedOn w:val="1"/>
    <w:qFormat/>
    <w:locked/>
    <w:uiPriority w:val="0"/>
    <w:pPr>
      <w:ind w:left="100" w:leftChars="200" w:hanging="200" w:hangingChars="200"/>
    </w:pPr>
    <w:rPr>
      <w:sz w:val="28"/>
    </w:rPr>
  </w:style>
  <w:style w:type="paragraph" w:styleId="19">
    <w:name w:val="Block Text"/>
    <w:basedOn w:val="1"/>
    <w:qFormat/>
    <w:locked/>
    <w:uiPriority w:val="0"/>
    <w:pPr>
      <w:spacing w:after="120"/>
      <w:ind w:left="1440" w:leftChars="700" w:right="1440" w:rightChars="700"/>
    </w:pPr>
  </w:style>
  <w:style w:type="paragraph" w:styleId="20">
    <w:name w:val="index 4"/>
    <w:next w:val="1"/>
    <w:qFormat/>
    <w:locked/>
    <w:uiPriority w:val="0"/>
    <w:pPr>
      <w:widowControl w:val="0"/>
      <w:ind w:left="600" w:leftChars="600"/>
      <w:jc w:val="both"/>
    </w:pPr>
    <w:rPr>
      <w:rFonts w:ascii="Times New Roman" w:hAnsi="Times New Roman" w:eastAsia="宋体" w:cs="Times New Roman"/>
      <w:kern w:val="2"/>
      <w:sz w:val="21"/>
      <w:szCs w:val="24"/>
      <w:lang w:val="en-US" w:eastAsia="zh-CN" w:bidi="ar-SA"/>
    </w:rPr>
  </w:style>
  <w:style w:type="paragraph" w:styleId="21">
    <w:name w:val="Plain Text"/>
    <w:basedOn w:val="1"/>
    <w:link w:val="59"/>
    <w:qFormat/>
    <w:locked/>
    <w:uiPriority w:val="0"/>
    <w:rPr>
      <w:rFonts w:ascii="宋体" w:hAnsi="Courier New" w:cs="Courier New"/>
      <w:szCs w:val="21"/>
    </w:rPr>
  </w:style>
  <w:style w:type="paragraph" w:styleId="22">
    <w:name w:val="List Bullet 5"/>
    <w:basedOn w:val="1"/>
    <w:qFormat/>
    <w:locked/>
    <w:uiPriority w:val="0"/>
    <w:pPr>
      <w:numPr>
        <w:ilvl w:val="0"/>
        <w:numId w:val="2"/>
      </w:numPr>
      <w:tabs>
        <w:tab w:val="left" w:pos="2040"/>
      </w:tabs>
    </w:pPr>
  </w:style>
  <w:style w:type="paragraph" w:styleId="23">
    <w:name w:val="Date"/>
    <w:basedOn w:val="1"/>
    <w:next w:val="1"/>
    <w:link w:val="60"/>
    <w:qFormat/>
    <w:uiPriority w:val="0"/>
    <w:pPr>
      <w:ind w:left="100" w:leftChars="2500"/>
    </w:pPr>
    <w:rPr>
      <w:kern w:val="0"/>
      <w:sz w:val="24"/>
      <w:szCs w:val="20"/>
    </w:rPr>
  </w:style>
  <w:style w:type="paragraph" w:styleId="24">
    <w:name w:val="Balloon Text"/>
    <w:basedOn w:val="1"/>
    <w:link w:val="61"/>
    <w:semiHidden/>
    <w:qFormat/>
    <w:uiPriority w:val="0"/>
    <w:rPr>
      <w:kern w:val="0"/>
      <w:sz w:val="18"/>
      <w:szCs w:val="20"/>
    </w:rPr>
  </w:style>
  <w:style w:type="paragraph" w:styleId="25">
    <w:name w:val="footer"/>
    <w:basedOn w:val="1"/>
    <w:link w:val="62"/>
    <w:qFormat/>
    <w:uiPriority w:val="99"/>
    <w:pPr>
      <w:tabs>
        <w:tab w:val="center" w:pos="4153"/>
        <w:tab w:val="right" w:pos="8306"/>
      </w:tabs>
      <w:snapToGrid w:val="0"/>
      <w:jc w:val="left"/>
    </w:pPr>
    <w:rPr>
      <w:kern w:val="0"/>
      <w:sz w:val="18"/>
      <w:szCs w:val="20"/>
    </w:rPr>
  </w:style>
  <w:style w:type="paragraph" w:styleId="26">
    <w:name w:val="header"/>
    <w:basedOn w:val="1"/>
    <w:next w:val="27"/>
    <w:link w:val="63"/>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7">
    <w:name w:val="样式5"/>
    <w:basedOn w:val="28"/>
    <w:qFormat/>
    <w:uiPriority w:val="0"/>
    <w:pPr>
      <w:spacing w:beforeLines="20" w:afterLines="20" w:line="480" w:lineRule="exact"/>
      <w:ind w:firstLine="523" w:firstLineChars="218"/>
    </w:pPr>
    <w:rPr>
      <w:i/>
      <w:iCs/>
      <w:sz w:val="24"/>
      <w:szCs w:val="20"/>
    </w:rPr>
  </w:style>
  <w:style w:type="paragraph" w:customStyle="1" w:styleId="28">
    <w:name w:val="正文1"/>
    <w:basedOn w:val="1"/>
    <w:next w:val="1"/>
    <w:qFormat/>
    <w:uiPriority w:val="0"/>
    <w:pPr>
      <w:adjustRightInd w:val="0"/>
      <w:snapToGrid w:val="0"/>
      <w:spacing w:line="500" w:lineRule="atLeast"/>
      <w:ind w:firstLine="567"/>
    </w:pPr>
    <w:rPr>
      <w:sz w:val="28"/>
    </w:rPr>
  </w:style>
  <w:style w:type="paragraph" w:styleId="29">
    <w:name w:val="Subtitle"/>
    <w:basedOn w:val="1"/>
    <w:qFormat/>
    <w:locked/>
    <w:uiPriority w:val="0"/>
    <w:pPr>
      <w:widowControl/>
      <w:ind w:left="1080" w:hanging="1080"/>
    </w:pPr>
    <w:rPr>
      <w:rFonts w:ascii="宋体" w:hAnsi="Courier New"/>
      <w:szCs w:val="21"/>
    </w:rPr>
  </w:style>
  <w:style w:type="paragraph" w:styleId="30">
    <w:name w:val="List"/>
    <w:basedOn w:val="1"/>
    <w:qFormat/>
    <w:locked/>
    <w:uiPriority w:val="0"/>
    <w:pPr>
      <w:spacing w:line="360" w:lineRule="auto"/>
      <w:jc w:val="center"/>
    </w:pPr>
    <w:rPr>
      <w:rFonts w:eastAsia="黑体"/>
      <w:sz w:val="24"/>
      <w:szCs w:val="20"/>
    </w:rPr>
  </w:style>
  <w:style w:type="paragraph" w:styleId="31">
    <w:name w:val="Body Text Indent 3"/>
    <w:basedOn w:val="1"/>
    <w:qFormat/>
    <w:locked/>
    <w:uiPriority w:val="0"/>
    <w:pPr>
      <w:spacing w:after="120"/>
      <w:ind w:left="420" w:leftChars="200"/>
    </w:pPr>
    <w:rPr>
      <w:sz w:val="16"/>
      <w:szCs w:val="16"/>
    </w:rPr>
  </w:style>
  <w:style w:type="paragraph" w:styleId="32">
    <w:name w:val="table of figures"/>
    <w:basedOn w:val="1"/>
    <w:next w:val="1"/>
    <w:unhideWhenUsed/>
    <w:qFormat/>
    <w:locked/>
    <w:uiPriority w:val="0"/>
    <w:pPr>
      <w:ind w:left="200" w:leftChars="200" w:hanging="200" w:hangingChars="200"/>
    </w:pPr>
    <w:rPr>
      <w:rFonts w:hint="eastAsia"/>
      <w:szCs w:val="20"/>
    </w:rPr>
  </w:style>
  <w:style w:type="paragraph" w:styleId="33">
    <w:name w:val="Body Text 2"/>
    <w:basedOn w:val="1"/>
    <w:next w:val="1"/>
    <w:qFormat/>
    <w:locked/>
    <w:uiPriority w:val="0"/>
    <w:pPr>
      <w:spacing w:after="120" w:line="480" w:lineRule="auto"/>
    </w:pPr>
  </w:style>
  <w:style w:type="paragraph" w:styleId="34">
    <w:name w:val="HTML Preformatted"/>
    <w:basedOn w:val="1"/>
    <w:link w:val="30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Times New Roman"/>
      <w:kern w:val="0"/>
      <w:szCs w:val="21"/>
    </w:rPr>
  </w:style>
  <w:style w:type="paragraph" w:styleId="35">
    <w:name w:val="Normal (Web)"/>
    <w:basedOn w:val="1"/>
    <w:link w:val="64"/>
    <w:qFormat/>
    <w:uiPriority w:val="99"/>
    <w:pPr>
      <w:widowControl/>
      <w:spacing w:before="100" w:beforeAutospacing="1" w:after="100" w:afterAutospacing="1"/>
      <w:jc w:val="left"/>
    </w:pPr>
    <w:rPr>
      <w:rFonts w:ascii="宋体" w:hAnsi="宋体"/>
      <w:kern w:val="0"/>
      <w:sz w:val="24"/>
      <w:szCs w:val="20"/>
    </w:rPr>
  </w:style>
  <w:style w:type="paragraph" w:styleId="36">
    <w:name w:val="index 1"/>
    <w:basedOn w:val="1"/>
    <w:next w:val="1"/>
    <w:qFormat/>
    <w:locked/>
    <w:uiPriority w:val="0"/>
    <w:pPr>
      <w:tabs>
        <w:tab w:val="left" w:pos="932"/>
        <w:tab w:val="center" w:pos="4535"/>
      </w:tabs>
      <w:spacing w:line="400" w:lineRule="exact"/>
      <w:jc w:val="center"/>
    </w:pPr>
    <w:rPr>
      <w:rFonts w:ascii="宋体" w:hAnsi="宋体"/>
      <w:bCs/>
      <w:sz w:val="24"/>
    </w:rPr>
  </w:style>
  <w:style w:type="paragraph" w:styleId="37">
    <w:name w:val="annotation subject"/>
    <w:basedOn w:val="12"/>
    <w:next w:val="12"/>
    <w:link w:val="65"/>
    <w:semiHidden/>
    <w:qFormat/>
    <w:uiPriority w:val="0"/>
    <w:rPr>
      <w:b/>
      <w:kern w:val="2"/>
    </w:rPr>
  </w:style>
  <w:style w:type="paragraph" w:styleId="38">
    <w:name w:val="Body Text First Indent"/>
    <w:basedOn w:val="14"/>
    <w:next w:val="1"/>
    <w:qFormat/>
    <w:locked/>
    <w:uiPriority w:val="0"/>
    <w:pPr>
      <w:spacing w:after="120" w:line="240" w:lineRule="auto"/>
      <w:ind w:firstLine="420" w:firstLineChars="100"/>
    </w:pPr>
    <w:rPr>
      <w:sz w:val="21"/>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locked/>
    <w:uiPriority w:val="0"/>
    <w:rPr>
      <w:b/>
      <w:bCs/>
    </w:rPr>
  </w:style>
  <w:style w:type="character" w:styleId="43">
    <w:name w:val="page number"/>
    <w:basedOn w:val="41"/>
    <w:qFormat/>
    <w:locked/>
    <w:uiPriority w:val="0"/>
  </w:style>
  <w:style w:type="character" w:styleId="44">
    <w:name w:val="Emphasis"/>
    <w:qFormat/>
    <w:locked/>
    <w:uiPriority w:val="0"/>
    <w:rPr>
      <w:i/>
      <w:iCs/>
    </w:rPr>
  </w:style>
  <w:style w:type="character" w:styleId="45">
    <w:name w:val="Hyperlink"/>
    <w:qFormat/>
    <w:locked/>
    <w:uiPriority w:val="0"/>
    <w:rPr>
      <w:color w:val="136EC2"/>
      <w:u w:val="single"/>
    </w:rPr>
  </w:style>
  <w:style w:type="character" w:styleId="46">
    <w:name w:val="annotation reference"/>
    <w:semiHidden/>
    <w:qFormat/>
    <w:uiPriority w:val="0"/>
    <w:rPr>
      <w:sz w:val="21"/>
    </w:rPr>
  </w:style>
  <w:style w:type="paragraph" w:customStyle="1" w:styleId="47">
    <w:name w:val="xl27"/>
    <w:basedOn w:val="1"/>
    <w:next w:val="48"/>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PMingLiU" w:eastAsia="PMingLiU"/>
      <w:kern w:val="0"/>
      <w:sz w:val="16"/>
      <w:szCs w:val="16"/>
      <w:lang w:eastAsia="zh-TW"/>
    </w:rPr>
  </w:style>
  <w:style w:type="paragraph" w:customStyle="1" w:styleId="48">
    <w:name w:val="A正文"/>
    <w:basedOn w:val="1"/>
    <w:next w:val="14"/>
    <w:link w:val="194"/>
    <w:qFormat/>
    <w:uiPriority w:val="0"/>
    <w:pPr>
      <w:widowControl/>
      <w:overflowPunct w:val="0"/>
      <w:autoSpaceDE w:val="0"/>
      <w:autoSpaceDN w:val="0"/>
      <w:jc w:val="left"/>
      <w:textAlignment w:val="baseline"/>
    </w:pPr>
  </w:style>
  <w:style w:type="paragraph" w:customStyle="1" w:styleId="49">
    <w:name w:val="Default"/>
    <w:basedOn w:val="50"/>
    <w:next w:val="51"/>
    <w:link w:val="360"/>
    <w:qFormat/>
    <w:uiPriority w:val="0"/>
    <w:pPr>
      <w:autoSpaceDE w:val="0"/>
      <w:autoSpaceDN w:val="0"/>
    </w:pPr>
    <w:rPr>
      <w:rFonts w:cs="宋体"/>
      <w:color w:val="000000"/>
      <w:sz w:val="24"/>
      <w:szCs w:val="24"/>
    </w:rPr>
  </w:style>
  <w:style w:type="paragraph" w:customStyle="1" w:styleId="50">
    <w:name w:val="文本"/>
    <w:next w:val="1"/>
    <w:link w:val="291"/>
    <w:qFormat/>
    <w:uiPriority w:val="0"/>
    <w:pPr>
      <w:widowControl w:val="0"/>
      <w:autoSpaceDE w:val="0"/>
      <w:autoSpaceDN w:val="0"/>
      <w:adjustRightInd w:val="0"/>
      <w:snapToGrid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51">
    <w:name w:val="1正文段落"/>
    <w:basedOn w:val="1"/>
    <w:link w:val="53"/>
    <w:qFormat/>
    <w:uiPriority w:val="0"/>
    <w:pPr>
      <w:spacing w:line="360" w:lineRule="auto"/>
      <w:ind w:firstLine="480" w:firstLineChars="200"/>
      <w:jc w:val="left"/>
    </w:pPr>
    <w:rPr>
      <w:kern w:val="0"/>
      <w:sz w:val="24"/>
      <w:szCs w:val="22"/>
    </w:rPr>
  </w:style>
  <w:style w:type="paragraph" w:customStyle="1" w:styleId="52">
    <w:name w:val="纯文本1"/>
    <w:basedOn w:val="1"/>
    <w:qFormat/>
    <w:uiPriority w:val="0"/>
    <w:pPr>
      <w:adjustRightInd w:val="0"/>
    </w:pPr>
    <w:rPr>
      <w:rFonts w:ascii="宋体" w:hAnsi="Courier New"/>
      <w:szCs w:val="20"/>
    </w:rPr>
  </w:style>
  <w:style w:type="character" w:customStyle="1" w:styleId="53">
    <w:name w:val="1正文段落 Char Char"/>
    <w:link w:val="51"/>
    <w:qFormat/>
    <w:uiPriority w:val="0"/>
    <w:rPr>
      <w:rFonts w:eastAsia="宋体"/>
      <w:sz w:val="24"/>
      <w:szCs w:val="22"/>
      <w:lang w:val="en-US" w:eastAsia="zh-CN" w:bidi="ar-SA"/>
    </w:rPr>
  </w:style>
  <w:style w:type="character" w:customStyle="1" w:styleId="54">
    <w:name w:val="正文缩进 字符"/>
    <w:link w:val="9"/>
    <w:qFormat/>
    <w:uiPriority w:val="0"/>
    <w:rPr>
      <w:rFonts w:eastAsia="宋体"/>
      <w:kern w:val="2"/>
      <w:sz w:val="21"/>
      <w:szCs w:val="24"/>
      <w:lang w:val="en-US" w:eastAsia="zh-CN" w:bidi="ar-SA"/>
    </w:rPr>
  </w:style>
  <w:style w:type="character" w:customStyle="1" w:styleId="55">
    <w:name w:val="文档结构图 字符"/>
    <w:basedOn w:val="41"/>
    <w:link w:val="11"/>
    <w:qFormat/>
    <w:uiPriority w:val="0"/>
    <w:rPr>
      <w:rFonts w:ascii="宋体"/>
      <w:kern w:val="2"/>
      <w:sz w:val="18"/>
      <w:szCs w:val="18"/>
    </w:rPr>
  </w:style>
  <w:style w:type="character" w:customStyle="1" w:styleId="56">
    <w:name w:val="批注文字 字符"/>
    <w:link w:val="12"/>
    <w:qFormat/>
    <w:locked/>
    <w:uiPriority w:val="0"/>
    <w:rPr>
      <w:rFonts w:ascii="Times New Roman" w:hAnsi="Times New Roman" w:eastAsia="宋体"/>
      <w:sz w:val="24"/>
    </w:rPr>
  </w:style>
  <w:style w:type="character" w:customStyle="1" w:styleId="57">
    <w:name w:val="正文文本 字符"/>
    <w:link w:val="14"/>
    <w:qFormat/>
    <w:locked/>
    <w:uiPriority w:val="0"/>
    <w:rPr>
      <w:sz w:val="18"/>
    </w:rPr>
  </w:style>
  <w:style w:type="character" w:customStyle="1" w:styleId="58">
    <w:name w:val="正文文本缩进 字符"/>
    <w:link w:val="15"/>
    <w:semiHidden/>
    <w:qFormat/>
    <w:locked/>
    <w:uiPriority w:val="0"/>
    <w:rPr>
      <w:rFonts w:ascii="Times New Roman" w:hAnsi="Times New Roman" w:eastAsia="宋体"/>
      <w:sz w:val="24"/>
    </w:rPr>
  </w:style>
  <w:style w:type="character" w:customStyle="1" w:styleId="59">
    <w:name w:val="纯文本 字符"/>
    <w:link w:val="21"/>
    <w:qFormat/>
    <w:uiPriority w:val="0"/>
    <w:rPr>
      <w:rFonts w:ascii="宋体" w:hAnsi="Courier New" w:eastAsia="宋体" w:cs="Courier New"/>
      <w:kern w:val="2"/>
      <w:sz w:val="21"/>
      <w:szCs w:val="21"/>
      <w:lang w:val="en-US" w:eastAsia="zh-CN" w:bidi="ar-SA"/>
    </w:rPr>
  </w:style>
  <w:style w:type="character" w:customStyle="1" w:styleId="60">
    <w:name w:val="日期 字符1"/>
    <w:link w:val="23"/>
    <w:qFormat/>
    <w:locked/>
    <w:uiPriority w:val="0"/>
    <w:rPr>
      <w:rFonts w:ascii="Times New Roman" w:hAnsi="Times New Roman" w:eastAsia="宋体"/>
      <w:sz w:val="24"/>
    </w:rPr>
  </w:style>
  <w:style w:type="character" w:customStyle="1" w:styleId="61">
    <w:name w:val="批注框文本 字符"/>
    <w:link w:val="24"/>
    <w:semiHidden/>
    <w:qFormat/>
    <w:locked/>
    <w:uiPriority w:val="0"/>
    <w:rPr>
      <w:rFonts w:ascii="Times New Roman" w:hAnsi="Times New Roman" w:eastAsia="宋体"/>
      <w:sz w:val="18"/>
    </w:rPr>
  </w:style>
  <w:style w:type="character" w:customStyle="1" w:styleId="62">
    <w:name w:val="页脚 字符1"/>
    <w:link w:val="25"/>
    <w:qFormat/>
    <w:locked/>
    <w:uiPriority w:val="99"/>
    <w:rPr>
      <w:sz w:val="18"/>
    </w:rPr>
  </w:style>
  <w:style w:type="character" w:customStyle="1" w:styleId="63">
    <w:name w:val="页眉 字符"/>
    <w:link w:val="26"/>
    <w:qFormat/>
    <w:locked/>
    <w:uiPriority w:val="0"/>
    <w:rPr>
      <w:sz w:val="18"/>
    </w:rPr>
  </w:style>
  <w:style w:type="character" w:customStyle="1" w:styleId="64">
    <w:name w:val="普通(网站) 字符"/>
    <w:link w:val="35"/>
    <w:qFormat/>
    <w:locked/>
    <w:uiPriority w:val="0"/>
    <w:rPr>
      <w:rFonts w:ascii="宋体" w:hAnsi="宋体" w:eastAsia="宋体"/>
      <w:sz w:val="24"/>
    </w:rPr>
  </w:style>
  <w:style w:type="character" w:customStyle="1" w:styleId="65">
    <w:name w:val="批注主题 字符"/>
    <w:link w:val="37"/>
    <w:semiHidden/>
    <w:qFormat/>
    <w:locked/>
    <w:uiPriority w:val="0"/>
    <w:rPr>
      <w:rFonts w:ascii="Times New Roman" w:hAnsi="Times New Roman" w:eastAsia="宋体"/>
      <w:b/>
      <w:kern w:val="2"/>
      <w:sz w:val="24"/>
    </w:rPr>
  </w:style>
  <w:style w:type="paragraph" w:customStyle="1" w:styleId="66">
    <w:name w:val="正文首行缩进 21"/>
    <w:basedOn w:val="15"/>
    <w:next w:val="1"/>
    <w:qFormat/>
    <w:uiPriority w:val="99"/>
    <w:pPr>
      <w:tabs>
        <w:tab w:val="left" w:pos="420"/>
        <w:tab w:val="left" w:pos="870"/>
        <w:tab w:val="left" w:pos="3150"/>
      </w:tabs>
      <w:autoSpaceDE w:val="0"/>
      <w:autoSpaceDN w:val="0"/>
      <w:spacing w:beforeLines="25" w:line="336" w:lineRule="auto"/>
      <w:ind w:firstLine="527"/>
      <w:textAlignment w:val="baseline"/>
    </w:pPr>
    <w:rPr>
      <w:rFonts w:hAnsi="Calibri"/>
    </w:rPr>
  </w:style>
  <w:style w:type="paragraph" w:customStyle="1" w:styleId="67">
    <w:name w:val="正文 首行缩进:  2 字符"/>
    <w:qFormat/>
    <w:uiPriority w:val="0"/>
    <w:pPr>
      <w:widowControl w:val="0"/>
      <w:spacing w:beforeLines="50" w:line="360" w:lineRule="auto"/>
      <w:ind w:firstLine="420" w:firstLineChars="200"/>
      <w:jc w:val="both"/>
    </w:pPr>
    <w:rPr>
      <w:rFonts w:ascii="宋体" w:hAnsi="宋体" w:eastAsia="宋体" w:cs="Times New Roman"/>
      <w:color w:val="000000"/>
      <w:kern w:val="2"/>
      <w:sz w:val="21"/>
      <w:szCs w:val="24"/>
      <w:lang w:val="en-US" w:eastAsia="zh-CN" w:bidi="ar-SA"/>
    </w:rPr>
  </w:style>
  <w:style w:type="character" w:customStyle="1" w:styleId="68">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69">
    <w:name w:val="font11"/>
    <w:qFormat/>
    <w:uiPriority w:val="0"/>
    <w:rPr>
      <w:rFonts w:hint="default" w:ascii="Tahoma" w:hAnsi="Tahoma" w:eastAsia="Tahoma" w:cs="Tahoma"/>
      <w:color w:val="000000"/>
      <w:sz w:val="22"/>
      <w:szCs w:val="22"/>
      <w:u w:val="none"/>
    </w:rPr>
  </w:style>
  <w:style w:type="character" w:customStyle="1" w:styleId="70">
    <w:name w:val="dan7-1 Char Char Char Char"/>
    <w:link w:val="71"/>
    <w:qFormat/>
    <w:uiPriority w:val="0"/>
    <w:rPr>
      <w:kern w:val="2"/>
      <w:sz w:val="24"/>
      <w:szCs w:val="24"/>
      <w:lang w:bidi="ar-SA"/>
    </w:rPr>
  </w:style>
  <w:style w:type="paragraph" w:customStyle="1" w:styleId="71">
    <w:name w:val="dan7-1"/>
    <w:basedOn w:val="1"/>
    <w:link w:val="70"/>
    <w:qFormat/>
    <w:uiPriority w:val="0"/>
    <w:pPr>
      <w:spacing w:before="40" w:after="40" w:line="360" w:lineRule="auto"/>
      <w:ind w:firstLine="200" w:firstLineChars="200"/>
    </w:pPr>
    <w:rPr>
      <w:sz w:val="24"/>
    </w:rPr>
  </w:style>
  <w:style w:type="character" w:customStyle="1" w:styleId="72">
    <w:name w:val="font01"/>
    <w:qFormat/>
    <w:uiPriority w:val="0"/>
    <w:rPr>
      <w:rFonts w:hint="default" w:ascii="Times New Roman" w:hAnsi="Times New Roman" w:cs="Times New Roman"/>
      <w:color w:val="000000"/>
      <w:sz w:val="21"/>
      <w:szCs w:val="21"/>
      <w:u w:val="none"/>
      <w:vertAlign w:val="subscript"/>
    </w:rPr>
  </w:style>
  <w:style w:type="character" w:customStyle="1" w:styleId="73">
    <w:name w:val="fontstyle11"/>
    <w:qFormat/>
    <w:uiPriority w:val="0"/>
    <w:rPr>
      <w:rFonts w:hint="default" w:ascii="Times New Roman" w:hAnsi="Times New Roman" w:cs="Times New Roman"/>
      <w:b/>
      <w:color w:val="000000"/>
      <w:sz w:val="22"/>
      <w:szCs w:val="22"/>
    </w:rPr>
  </w:style>
  <w:style w:type="character" w:customStyle="1" w:styleId="74">
    <w:name w:val="正文文本 字符1"/>
    <w:semiHidden/>
    <w:qFormat/>
    <w:uiPriority w:val="0"/>
    <w:rPr>
      <w:rFonts w:ascii="Times New Roman" w:hAnsi="Times New Roman" w:eastAsia="宋体"/>
      <w:sz w:val="24"/>
    </w:rPr>
  </w:style>
  <w:style w:type="character" w:customStyle="1" w:styleId="75">
    <w:name w:val="表格 Char"/>
    <w:link w:val="76"/>
    <w:qFormat/>
    <w:locked/>
    <w:uiPriority w:val="0"/>
    <w:rPr>
      <w:rFonts w:ascii="宋体"/>
      <w:sz w:val="21"/>
    </w:rPr>
  </w:style>
  <w:style w:type="paragraph" w:customStyle="1" w:styleId="76">
    <w:name w:val="表格"/>
    <w:basedOn w:val="77"/>
    <w:next w:val="1"/>
    <w:link w:val="75"/>
    <w:qFormat/>
    <w:uiPriority w:val="0"/>
    <w:pPr>
      <w:adjustRightInd w:val="0"/>
      <w:snapToGrid w:val="0"/>
      <w:spacing w:beforeLines="10" w:afterLines="10" w:line="259" w:lineRule="auto"/>
      <w:jc w:val="center"/>
    </w:pPr>
    <w:rPr>
      <w:rFonts w:ascii="宋体"/>
      <w:kern w:val="0"/>
      <w:szCs w:val="20"/>
    </w:rPr>
  </w:style>
  <w:style w:type="paragraph" w:customStyle="1" w:styleId="77">
    <w:name w:val="表格式"/>
    <w:basedOn w:val="30"/>
    <w:qFormat/>
    <w:uiPriority w:val="0"/>
    <w:pPr>
      <w:spacing w:line="400" w:lineRule="exact"/>
    </w:pPr>
    <w:rPr>
      <w:rFonts w:ascii="宋体" w:eastAsia="宋体"/>
      <w:sz w:val="21"/>
    </w:rPr>
  </w:style>
  <w:style w:type="character" w:customStyle="1" w:styleId="78">
    <w:name w:val="fontstyle01"/>
    <w:qFormat/>
    <w:uiPriority w:val="0"/>
    <w:rPr>
      <w:rFonts w:hint="eastAsia" w:ascii="宋体" w:hAnsi="宋体" w:eastAsia="宋体"/>
      <w:color w:val="000000"/>
      <w:sz w:val="24"/>
      <w:szCs w:val="24"/>
    </w:rPr>
  </w:style>
  <w:style w:type="character" w:customStyle="1" w:styleId="79">
    <w:name w:val="君邦正文 Char1"/>
    <w:link w:val="80"/>
    <w:qFormat/>
    <w:uiPriority w:val="0"/>
    <w:rPr>
      <w:bCs/>
      <w:snapToGrid w:val="0"/>
      <w:sz w:val="24"/>
      <w:lang w:val="en-US" w:eastAsia="zh-CN" w:bidi="ar-SA"/>
    </w:rPr>
  </w:style>
  <w:style w:type="paragraph" w:customStyle="1" w:styleId="80">
    <w:name w:val="君邦正文"/>
    <w:link w:val="79"/>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character" w:customStyle="1" w:styleId="81">
    <w:name w:val="font21"/>
    <w:basedOn w:val="41"/>
    <w:qFormat/>
    <w:uiPriority w:val="0"/>
    <w:rPr>
      <w:rFonts w:hint="default" w:ascii="Times New Roman" w:hAnsi="Times New Roman" w:cs="Times New Roman"/>
      <w:color w:val="000000"/>
      <w:sz w:val="21"/>
      <w:szCs w:val="21"/>
      <w:u w:val="none"/>
    </w:rPr>
  </w:style>
  <w:style w:type="character" w:customStyle="1" w:styleId="82">
    <w:name w:val="日期 字符"/>
    <w:semiHidden/>
    <w:qFormat/>
    <w:uiPriority w:val="0"/>
    <w:rPr>
      <w:rFonts w:ascii="Times New Roman" w:hAnsi="Times New Roman" w:eastAsia="宋体"/>
      <w:sz w:val="24"/>
    </w:rPr>
  </w:style>
  <w:style w:type="character" w:customStyle="1" w:styleId="83">
    <w:name w:val="fontstyle21"/>
    <w:qFormat/>
    <w:uiPriority w:val="0"/>
    <w:rPr>
      <w:rFonts w:ascii="TimesNewRomanPSMT" w:hAnsi="TimesNewRomanPSMT" w:eastAsia="TimesNewRomanPSMT" w:cs="TimesNewRomanPSMT"/>
      <w:color w:val="000000"/>
      <w:sz w:val="22"/>
      <w:szCs w:val="22"/>
    </w:rPr>
  </w:style>
  <w:style w:type="character" w:customStyle="1" w:styleId="84">
    <w:name w:val="批注文字 字符1"/>
    <w:semiHidden/>
    <w:qFormat/>
    <w:uiPriority w:val="0"/>
    <w:rPr>
      <w:rFonts w:ascii="Times New Roman" w:hAnsi="Times New Roman" w:eastAsia="宋体"/>
      <w:sz w:val="24"/>
    </w:rPr>
  </w:style>
  <w:style w:type="character" w:customStyle="1" w:styleId="85">
    <w:name w:val="普通文字 Char1"/>
    <w:qFormat/>
    <w:uiPriority w:val="0"/>
    <w:rPr>
      <w:rFonts w:ascii="宋体" w:hAnsi="Courier New" w:eastAsia="宋体" w:cs="Courier New"/>
      <w:kern w:val="2"/>
      <w:sz w:val="21"/>
      <w:szCs w:val="21"/>
      <w:lang w:val="en-US" w:eastAsia="zh-CN" w:bidi="ar-SA"/>
    </w:rPr>
  </w:style>
  <w:style w:type="character" w:customStyle="1" w:styleId="86">
    <w:name w:val="页脚 字符"/>
    <w:basedOn w:val="41"/>
    <w:qFormat/>
    <w:uiPriority w:val="99"/>
  </w:style>
  <w:style w:type="character" w:customStyle="1" w:styleId="87">
    <w:name w:val="正文（首行缩进两字） Char3"/>
    <w:qFormat/>
    <w:uiPriority w:val="0"/>
    <w:rPr>
      <w:rFonts w:eastAsia="宋体"/>
      <w:kern w:val="2"/>
      <w:sz w:val="28"/>
      <w:szCs w:val="24"/>
      <w:lang w:val="en-US" w:eastAsia="zh-CN" w:bidi="ar-SA"/>
    </w:rPr>
  </w:style>
  <w:style w:type="paragraph" w:customStyle="1" w:styleId="88">
    <w:name w:val="！正文"/>
    <w:basedOn w:val="1"/>
    <w:qFormat/>
    <w:uiPriority w:val="0"/>
    <w:pPr>
      <w:spacing w:line="360" w:lineRule="auto"/>
      <w:ind w:firstLine="200" w:firstLineChars="200"/>
    </w:pPr>
    <w:rPr>
      <w:sz w:val="24"/>
      <w:szCs w:val="22"/>
    </w:rPr>
  </w:style>
  <w:style w:type="paragraph" w:customStyle="1" w:styleId="89">
    <w:name w:val="表格内容--中祥"/>
    <w:basedOn w:val="1"/>
    <w:qFormat/>
    <w:uiPriority w:val="0"/>
    <w:pPr>
      <w:jc w:val="center"/>
    </w:pPr>
    <w:rPr>
      <w:kern w:val="0"/>
      <w:szCs w:val="21"/>
    </w:rPr>
  </w:style>
  <w:style w:type="paragraph" w:customStyle="1" w:styleId="90">
    <w:name w:val="样式2"/>
    <w:basedOn w:val="20"/>
    <w:next w:val="5"/>
    <w:qFormat/>
    <w:uiPriority w:val="0"/>
    <w:pPr>
      <w:adjustRightInd w:val="0"/>
      <w:ind w:left="170"/>
      <w:jc w:val="left"/>
      <w:textAlignment w:val="baseline"/>
    </w:pPr>
    <w:rPr>
      <w:b/>
      <w:kern w:val="0"/>
      <w:sz w:val="24"/>
      <w:szCs w:val="20"/>
    </w:rPr>
  </w:style>
  <w:style w:type="paragraph" w:customStyle="1" w:styleId="91">
    <w:name w:val="表标题"/>
    <w:basedOn w:val="1"/>
    <w:qFormat/>
    <w:uiPriority w:val="0"/>
    <w:pPr>
      <w:spacing w:line="360" w:lineRule="auto"/>
      <w:jc w:val="center"/>
    </w:pPr>
    <w:rPr>
      <w:b/>
      <w:bCs/>
      <w:szCs w:val="22"/>
    </w:rPr>
  </w:style>
  <w:style w:type="paragraph" w:customStyle="1" w:styleId="92">
    <w:name w:val="_Style 61"/>
    <w:basedOn w:val="1"/>
    <w:next w:val="1"/>
    <w:qFormat/>
    <w:uiPriority w:val="0"/>
    <w:pPr>
      <w:pBdr>
        <w:bottom w:val="single" w:color="auto" w:sz="6" w:space="1"/>
      </w:pBdr>
      <w:jc w:val="center"/>
    </w:pPr>
    <w:rPr>
      <w:rFonts w:ascii="Arial"/>
      <w:vanish/>
      <w:sz w:val="16"/>
    </w:rPr>
  </w:style>
  <w:style w:type="paragraph" w:customStyle="1" w:styleId="93">
    <w:name w:val="本文正文"/>
    <w:basedOn w:val="1"/>
    <w:qFormat/>
    <w:uiPriority w:val="0"/>
    <w:pPr>
      <w:autoSpaceDE w:val="0"/>
      <w:autoSpaceDN w:val="0"/>
      <w:adjustRightInd w:val="0"/>
      <w:spacing w:line="300" w:lineRule="auto"/>
      <w:ind w:firstLine="560" w:firstLineChars="200"/>
      <w:textAlignment w:val="baseline"/>
    </w:pPr>
    <w:rPr>
      <w:sz w:val="28"/>
      <w:szCs w:val="20"/>
    </w:rPr>
  </w:style>
  <w:style w:type="paragraph" w:customStyle="1" w:styleId="9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9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默认段落字体 Para Char Char Char Char Char Char Char Char Char Char Char Char Char"/>
    <w:basedOn w:val="1"/>
    <w:qFormat/>
    <w:uiPriority w:val="0"/>
  </w:style>
  <w:style w:type="paragraph" w:customStyle="1" w:styleId="97">
    <w:name w:val="表格标题"/>
    <w:basedOn w:val="10"/>
    <w:next w:val="98"/>
    <w:qFormat/>
    <w:uiPriority w:val="0"/>
    <w:pPr>
      <w:jc w:val="center"/>
    </w:pPr>
    <w:rPr>
      <w:b/>
    </w:rPr>
  </w:style>
  <w:style w:type="paragraph" w:customStyle="1" w:styleId="98">
    <w:name w:val="表格内容"/>
    <w:basedOn w:val="97"/>
    <w:next w:val="1"/>
    <w:link w:val="258"/>
    <w:qFormat/>
    <w:uiPriority w:val="0"/>
    <w:pPr>
      <w:spacing w:line="240" w:lineRule="atLeast"/>
    </w:pPr>
    <w:rPr>
      <w:szCs w:val="20"/>
    </w:rPr>
  </w:style>
  <w:style w:type="paragraph" w:customStyle="1" w:styleId="99">
    <w:name w:val="zhang正文"/>
    <w:basedOn w:val="15"/>
    <w:qFormat/>
    <w:uiPriority w:val="0"/>
    <w:pPr>
      <w:autoSpaceDE w:val="0"/>
      <w:autoSpaceDN w:val="0"/>
      <w:adjustRightInd w:val="0"/>
      <w:snapToGrid w:val="0"/>
      <w:spacing w:after="0" w:line="500" w:lineRule="exact"/>
      <w:ind w:left="0" w:leftChars="0" w:firstLine="539"/>
      <w:textAlignment w:val="baseline"/>
    </w:pPr>
    <w:rPr>
      <w:rFonts w:eastAsia="楷体_GB2312"/>
    </w:rPr>
  </w:style>
  <w:style w:type="paragraph" w:customStyle="1" w:styleId="100">
    <w:name w:val="样式 报告书正文 + 小三 加粗 首行缩进:  0 厘米 行距: 固定值 25 磅"/>
    <w:basedOn w:val="1"/>
    <w:qFormat/>
    <w:uiPriority w:val="0"/>
    <w:pPr>
      <w:adjustRightInd w:val="0"/>
      <w:snapToGrid w:val="0"/>
      <w:spacing w:line="500" w:lineRule="exact"/>
      <w:jc w:val="left"/>
      <w:textAlignment w:val="baseline"/>
    </w:pPr>
    <w:rPr>
      <w:rFonts w:cs="宋体"/>
      <w:b/>
      <w:bCs/>
      <w:kern w:val="0"/>
      <w:sz w:val="28"/>
      <w:szCs w:val="20"/>
    </w:rPr>
  </w:style>
  <w:style w:type="paragraph" w:customStyle="1" w:styleId="101">
    <w:name w:val="三级标题"/>
    <w:basedOn w:val="1"/>
    <w:qFormat/>
    <w:uiPriority w:val="0"/>
    <w:pPr>
      <w:spacing w:before="300" w:line="460" w:lineRule="exact"/>
      <w:outlineLvl w:val="2"/>
    </w:pPr>
    <w:rPr>
      <w:b/>
      <w:sz w:val="24"/>
      <w:szCs w:val="20"/>
    </w:rPr>
  </w:style>
  <w:style w:type="paragraph" w:styleId="102">
    <w:name w:val="List Paragraph"/>
    <w:basedOn w:val="1"/>
    <w:qFormat/>
    <w:uiPriority w:val="1"/>
    <w:pPr>
      <w:ind w:firstLine="420" w:firstLineChars="200"/>
    </w:pPr>
  </w:style>
  <w:style w:type="paragraph" w:customStyle="1" w:styleId="103">
    <w:name w:val="列出段落1"/>
    <w:basedOn w:val="1"/>
    <w:qFormat/>
    <w:uiPriority w:val="34"/>
    <w:pPr>
      <w:ind w:firstLine="420" w:firstLineChars="200"/>
    </w:pPr>
    <w:rPr>
      <w:rFonts w:ascii="Calibri" w:hAnsi="Calibri"/>
    </w:rPr>
  </w:style>
  <w:style w:type="paragraph" w:customStyle="1" w:styleId="104">
    <w:name w:val="表格正文"/>
    <w:basedOn w:val="1"/>
    <w:link w:val="212"/>
    <w:qFormat/>
    <w:uiPriority w:val="0"/>
    <w:pPr>
      <w:widowControl/>
      <w:tabs>
        <w:tab w:val="left" w:pos="995"/>
      </w:tabs>
      <w:jc w:val="center"/>
    </w:pPr>
    <w:rPr>
      <w:kern w:val="0"/>
      <w:sz w:val="18"/>
      <w:szCs w:val="20"/>
    </w:rPr>
  </w:style>
  <w:style w:type="paragraph" w:customStyle="1" w:styleId="105">
    <w:name w:val="正文(首行缩进)"/>
    <w:basedOn w:val="1"/>
    <w:link w:val="199"/>
    <w:qFormat/>
    <w:uiPriority w:val="0"/>
    <w:pPr>
      <w:adjustRightInd w:val="0"/>
      <w:snapToGrid w:val="0"/>
      <w:spacing w:line="360" w:lineRule="auto"/>
      <w:ind w:firstLine="200" w:firstLineChars="200"/>
    </w:pPr>
    <w:rPr>
      <w:snapToGrid w:val="0"/>
      <w:sz w:val="24"/>
    </w:rPr>
  </w:style>
  <w:style w:type="paragraph" w:customStyle="1" w:styleId="106">
    <w:name w:val="样式3"/>
    <w:basedOn w:val="90"/>
    <w:next w:val="107"/>
    <w:qFormat/>
    <w:uiPriority w:val="0"/>
    <w:pPr>
      <w:adjustRightInd/>
      <w:spacing w:line="500" w:lineRule="exact"/>
      <w:ind w:left="0" w:firstLine="200" w:firstLineChars="200"/>
      <w:jc w:val="both"/>
      <w:textAlignment w:val="auto"/>
      <w:outlineLvl w:val="1"/>
    </w:pPr>
    <w:rPr>
      <w:kern w:val="2"/>
    </w:rPr>
  </w:style>
  <w:style w:type="paragraph" w:customStyle="1" w:styleId="107">
    <w:name w:val="目录 53"/>
    <w:next w:val="1"/>
    <w:qFormat/>
    <w:uiPriority w:val="0"/>
    <w:pPr>
      <w:widowControl w:val="0"/>
      <w:ind w:left="840"/>
      <w:jc w:val="both"/>
    </w:pPr>
    <w:rPr>
      <w:rFonts w:ascii="Times New Roman" w:hAnsi="Times New Roman" w:eastAsia="宋体" w:cs="宋体"/>
      <w:color w:val="000000"/>
      <w:kern w:val="2"/>
      <w:sz w:val="21"/>
      <w:szCs w:val="24"/>
      <w:lang w:val="en-US" w:eastAsia="zh-CN" w:bidi="ar-SA"/>
    </w:rPr>
  </w:style>
  <w:style w:type="paragraph" w:customStyle="1" w:styleId="108">
    <w:name w:val="正式文本"/>
    <w:basedOn w:val="1"/>
    <w:qFormat/>
    <w:uiPriority w:val="0"/>
    <w:pPr>
      <w:adjustRightInd w:val="0"/>
      <w:snapToGrid w:val="0"/>
      <w:spacing w:line="360" w:lineRule="auto"/>
      <w:ind w:firstLine="420" w:firstLineChars="200"/>
      <w:jc w:val="left"/>
    </w:pPr>
    <w:rPr>
      <w:bCs/>
      <w:szCs w:val="21"/>
    </w:rPr>
  </w:style>
  <w:style w:type="paragraph" w:customStyle="1" w:styleId="109">
    <w:name w:val="表中文字"/>
    <w:qFormat/>
    <w:uiPriority w:val="0"/>
    <w:pPr>
      <w:widowControl w:val="0"/>
      <w:tabs>
        <w:tab w:val="left" w:pos="3286"/>
        <w:tab w:val="left" w:pos="8362"/>
      </w:tabs>
      <w:snapToGrid w:val="0"/>
      <w:spacing w:line="340" w:lineRule="exact"/>
      <w:jc w:val="center"/>
    </w:pPr>
    <w:rPr>
      <w:rFonts w:ascii="Arial" w:hAnsi="Arial" w:eastAsia="楷体_GB2312" w:cs="Times New Roman"/>
      <w:kern w:val="2"/>
      <w:sz w:val="21"/>
      <w:szCs w:val="21"/>
      <w:shd w:val="clear" w:color="auto" w:fill="FFFFFF"/>
      <w:lang w:val="en-US" w:eastAsia="zh-CN" w:bidi="ar-SA"/>
    </w:rPr>
  </w:style>
  <w:style w:type="paragraph" w:customStyle="1" w:styleId="110">
    <w:name w:val="1"/>
    <w:basedOn w:val="1"/>
    <w:next w:val="21"/>
    <w:qFormat/>
    <w:uiPriority w:val="0"/>
    <w:rPr>
      <w:rFonts w:ascii="宋体" w:hAnsi="Courier New" w:cs="Courier New"/>
      <w:szCs w:val="21"/>
    </w:rPr>
  </w:style>
  <w:style w:type="paragraph" w:customStyle="1" w:styleId="111">
    <w:name w:val="表格5"/>
    <w:basedOn w:val="1"/>
    <w:qFormat/>
    <w:uiPriority w:val="0"/>
    <w:pPr>
      <w:spacing w:line="360" w:lineRule="auto"/>
      <w:jc w:val="center"/>
    </w:pPr>
    <w:rPr>
      <w:kern w:val="0"/>
    </w:rPr>
  </w:style>
  <w:style w:type="paragraph" w:customStyle="1" w:styleId="112">
    <w:name w:val="Table Paragraph"/>
    <w:basedOn w:val="1"/>
    <w:qFormat/>
    <w:uiPriority w:val="1"/>
    <w:pPr>
      <w:autoSpaceDE w:val="0"/>
      <w:autoSpaceDN w:val="0"/>
      <w:adjustRightInd w:val="0"/>
      <w:jc w:val="left"/>
    </w:pPr>
    <w:rPr>
      <w:kern w:val="0"/>
      <w:sz w:val="24"/>
    </w:rPr>
  </w:style>
  <w:style w:type="paragraph" w:customStyle="1" w:styleId="113">
    <w:name w:val="二级无标题条"/>
    <w:basedOn w:val="1"/>
    <w:qFormat/>
    <w:uiPriority w:val="0"/>
  </w:style>
  <w:style w:type="paragraph" w:customStyle="1" w:styleId="114">
    <w:name w:val="表蕊居中"/>
    <w:qFormat/>
    <w:uiPriority w:val="0"/>
    <w:pPr>
      <w:spacing w:line="320" w:lineRule="exact"/>
      <w:jc w:val="center"/>
    </w:pPr>
    <w:rPr>
      <w:rFonts w:ascii="Times New Roman" w:hAnsi="Times New Roman" w:eastAsia="宋体" w:cs="Times New Roman"/>
      <w:spacing w:val="8"/>
      <w:sz w:val="21"/>
      <w:szCs w:val="28"/>
      <w:lang w:val="en-US" w:eastAsia="zh-CN" w:bidi="ar-SA"/>
    </w:rPr>
  </w:style>
  <w:style w:type="paragraph" w:customStyle="1" w:styleId="115">
    <w:name w:val="表标题2"/>
    <w:basedOn w:val="1"/>
    <w:qFormat/>
    <w:uiPriority w:val="0"/>
    <w:pPr>
      <w:jc w:val="center"/>
    </w:pPr>
    <w:rPr>
      <w:bCs/>
    </w:rPr>
  </w:style>
  <w:style w:type="paragraph" w:customStyle="1" w:styleId="116">
    <w:name w:val="表头"/>
    <w:basedOn w:val="9"/>
    <w:next w:val="1"/>
    <w:link w:val="168"/>
    <w:qFormat/>
    <w:uiPriority w:val="0"/>
    <w:pPr>
      <w:tabs>
        <w:tab w:val="left" w:pos="1485"/>
        <w:tab w:val="center" w:pos="4113"/>
      </w:tabs>
      <w:spacing w:line="480" w:lineRule="exact"/>
      <w:ind w:firstLine="0" w:firstLineChars="0"/>
      <w:jc w:val="center"/>
    </w:pPr>
    <w:rPr>
      <w:rFonts w:ascii="黑体" w:eastAsia="黑体"/>
      <w:spacing w:val="6"/>
      <w:position w:val="10"/>
      <w:szCs w:val="20"/>
    </w:rPr>
  </w:style>
  <w:style w:type="paragraph" w:customStyle="1" w:styleId="117">
    <w:name w:val="表格标题--中祥"/>
    <w:basedOn w:val="1"/>
    <w:qFormat/>
    <w:uiPriority w:val="0"/>
    <w:pPr>
      <w:spacing w:line="320" w:lineRule="exact"/>
      <w:ind w:firstLine="542" w:firstLineChars="200"/>
      <w:jc w:val="center"/>
    </w:pPr>
    <w:rPr>
      <w:b/>
      <w:color w:val="000000"/>
      <w:sz w:val="24"/>
      <w:szCs w:val="22"/>
      <w:lang w:val="zh-CN"/>
    </w:rPr>
  </w:style>
  <w:style w:type="paragraph" w:customStyle="1" w:styleId="118">
    <w:name w:val="居中正文"/>
    <w:basedOn w:val="38"/>
    <w:qFormat/>
    <w:uiPriority w:val="0"/>
    <w:pPr>
      <w:adjustRightInd w:val="0"/>
      <w:spacing w:before="120" w:after="0" w:line="360" w:lineRule="auto"/>
      <w:ind w:firstLine="0" w:firstLineChars="0"/>
      <w:jc w:val="center"/>
      <w:textAlignment w:val="baseline"/>
    </w:pPr>
    <w:rPr>
      <w:rFonts w:ascii="宋体"/>
      <w:kern w:val="28"/>
      <w:sz w:val="24"/>
    </w:rPr>
  </w:style>
  <w:style w:type="paragraph" w:customStyle="1" w:styleId="119">
    <w:name w:val="表格填充1"/>
    <w:basedOn w:val="1"/>
    <w:qFormat/>
    <w:uiPriority w:val="0"/>
    <w:pPr>
      <w:adjustRightInd w:val="0"/>
      <w:snapToGrid w:val="0"/>
      <w:spacing w:line="400" w:lineRule="exact"/>
      <w:jc w:val="center"/>
    </w:pPr>
    <w:rPr>
      <w:snapToGrid w:val="0"/>
      <w:szCs w:val="18"/>
    </w:rPr>
  </w:style>
  <w:style w:type="paragraph" w:customStyle="1" w:styleId="120">
    <w:name w:val="p0"/>
    <w:basedOn w:val="1"/>
    <w:qFormat/>
    <w:uiPriority w:val="0"/>
    <w:pPr>
      <w:widowControl/>
      <w:jc w:val="left"/>
    </w:pPr>
    <w:rPr>
      <w:rFonts w:ascii="宋体" w:hAnsi="宋体"/>
      <w:kern w:val="0"/>
      <w:sz w:val="24"/>
      <w:szCs w:val="20"/>
    </w:rPr>
  </w:style>
  <w:style w:type="paragraph" w:customStyle="1" w:styleId="121">
    <w:name w:val="UserStyle_0"/>
    <w:qFormat/>
    <w:uiPriority w:val="0"/>
    <w:pPr>
      <w:spacing w:line="320" w:lineRule="exact"/>
      <w:jc w:val="center"/>
      <w:textAlignment w:val="baseline"/>
    </w:pPr>
    <w:rPr>
      <w:rFonts w:ascii="Times New Roman" w:hAnsi="Times New Roman" w:eastAsia="宋体" w:cs="Times New Roman"/>
      <w:spacing w:val="8"/>
      <w:sz w:val="21"/>
      <w:szCs w:val="28"/>
      <w:lang w:val="en-US" w:eastAsia="zh-CN" w:bidi="ar-SA"/>
    </w:rPr>
  </w:style>
  <w:style w:type="paragraph" w:customStyle="1" w:styleId="12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表格内容自定"/>
    <w:basedOn w:val="1"/>
    <w:qFormat/>
    <w:uiPriority w:val="0"/>
    <w:pPr>
      <w:spacing w:line="280" w:lineRule="exact"/>
      <w:jc w:val="center"/>
    </w:pPr>
    <w:rPr>
      <w:rFonts w:ascii="宋体" w:hAnsi="宋体" w:cs="宋体"/>
      <w:sz w:val="18"/>
      <w:szCs w:val="21"/>
    </w:rPr>
  </w:style>
  <w:style w:type="paragraph" w:customStyle="1" w:styleId="124">
    <w:name w:val="环评-表格内容"/>
    <w:basedOn w:val="1"/>
    <w:next w:val="1"/>
    <w:qFormat/>
    <w:uiPriority w:val="0"/>
    <w:pPr>
      <w:jc w:val="center"/>
    </w:pPr>
  </w:style>
  <w:style w:type="paragraph" w:customStyle="1" w:styleId="125">
    <w:name w:val="样式12"/>
    <w:qFormat/>
    <w:uiPriority w:val="0"/>
    <w:pPr>
      <w:widowControl w:val="0"/>
      <w:jc w:val="center"/>
    </w:pPr>
    <w:rPr>
      <w:rFonts w:ascii="Times New Roman" w:hAnsi="Times New Roman" w:eastAsia="宋体" w:cs="Times New Roman"/>
      <w:kern w:val="2"/>
      <w:sz w:val="21"/>
      <w:szCs w:val="21"/>
      <w:lang w:val="en-US" w:eastAsia="zh-CN" w:bidi="ar-SA"/>
    </w:rPr>
  </w:style>
  <w:style w:type="character" w:customStyle="1" w:styleId="126">
    <w:name w:val="font51"/>
    <w:basedOn w:val="41"/>
    <w:qFormat/>
    <w:uiPriority w:val="0"/>
    <w:rPr>
      <w:rFonts w:hint="default" w:ascii="Times New Roman" w:hAnsi="Times New Roman" w:cs="Times New Roman"/>
      <w:color w:val="000000"/>
      <w:sz w:val="21"/>
      <w:szCs w:val="21"/>
      <w:u w:val="none"/>
    </w:rPr>
  </w:style>
  <w:style w:type="character" w:customStyle="1" w:styleId="127">
    <w:name w:val="font41"/>
    <w:basedOn w:val="41"/>
    <w:qFormat/>
    <w:uiPriority w:val="0"/>
    <w:rPr>
      <w:rFonts w:hint="default" w:ascii="Times New Roman" w:hAnsi="Times New Roman" w:cs="Times New Roman"/>
      <w:color w:val="000000"/>
      <w:sz w:val="21"/>
      <w:szCs w:val="21"/>
      <w:u w:val="none"/>
    </w:rPr>
  </w:style>
  <w:style w:type="paragraph" w:customStyle="1" w:styleId="128">
    <w:name w:val="样式13"/>
    <w:basedOn w:val="1"/>
    <w:qFormat/>
    <w:uiPriority w:val="0"/>
    <w:pPr>
      <w:spacing w:line="360" w:lineRule="auto"/>
      <w:ind w:firstLine="480" w:firstLineChars="200"/>
    </w:pPr>
    <w:rPr>
      <w:color w:val="000000"/>
      <w:sz w:val="24"/>
    </w:rPr>
  </w:style>
  <w:style w:type="character" w:customStyle="1" w:styleId="129">
    <w:name w:val="font31"/>
    <w:basedOn w:val="41"/>
    <w:qFormat/>
    <w:uiPriority w:val="0"/>
    <w:rPr>
      <w:rFonts w:hint="eastAsia" w:ascii="宋体" w:hAnsi="宋体" w:eastAsia="宋体" w:cs="宋体"/>
      <w:color w:val="000000"/>
      <w:sz w:val="21"/>
      <w:szCs w:val="21"/>
      <w:u w:val="none"/>
    </w:rPr>
  </w:style>
  <w:style w:type="paragraph" w:customStyle="1" w:styleId="130">
    <w:name w:val="正文-ls"/>
    <w:basedOn w:val="1"/>
    <w:qFormat/>
    <w:uiPriority w:val="0"/>
    <w:pPr>
      <w:spacing w:line="360" w:lineRule="auto"/>
      <w:ind w:firstLine="200" w:firstLineChars="200"/>
    </w:pPr>
    <w:rPr>
      <w:rFonts w:hAnsi="宋体" w:cs="宋体"/>
      <w:sz w:val="24"/>
    </w:rPr>
  </w:style>
  <w:style w:type="character" w:customStyle="1" w:styleId="131">
    <w:name w:val="font61"/>
    <w:basedOn w:val="41"/>
    <w:qFormat/>
    <w:uiPriority w:val="0"/>
    <w:rPr>
      <w:rFonts w:ascii="宋体" w:hAnsi="宋体" w:eastAsia="宋体" w:cs="宋体"/>
      <w:color w:val="000000"/>
      <w:sz w:val="21"/>
      <w:szCs w:val="21"/>
      <w:u w:val="none"/>
    </w:rPr>
  </w:style>
  <w:style w:type="character" w:customStyle="1" w:styleId="132">
    <w:name w:val="font81"/>
    <w:basedOn w:val="41"/>
    <w:qFormat/>
    <w:uiPriority w:val="0"/>
    <w:rPr>
      <w:rFonts w:hint="eastAsia" w:ascii="宋体" w:hAnsi="宋体" w:eastAsia="宋体" w:cs="宋体"/>
      <w:color w:val="000000"/>
      <w:sz w:val="21"/>
      <w:szCs w:val="21"/>
      <w:u w:val="none"/>
    </w:rPr>
  </w:style>
  <w:style w:type="paragraph" w:customStyle="1" w:styleId="133">
    <w:name w:val="表格内部-LYJ"/>
    <w:qFormat/>
    <w:uiPriority w:val="0"/>
    <w:pPr>
      <w:widowControl w:val="0"/>
      <w:jc w:val="center"/>
    </w:pPr>
    <w:rPr>
      <w:rFonts w:ascii="Times New Roman" w:hAnsi="Times New Roman" w:eastAsia="宋体" w:cs="Times New Roman"/>
      <w:kern w:val="24"/>
      <w:sz w:val="21"/>
      <w:szCs w:val="18"/>
      <w:lang w:val="en-US" w:eastAsia="zh-CN" w:bidi="ar-SA"/>
    </w:rPr>
  </w:style>
  <w:style w:type="paragraph" w:customStyle="1" w:styleId="13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35">
    <w:name w:val="题注 字符"/>
    <w:link w:val="10"/>
    <w:qFormat/>
    <w:uiPriority w:val="0"/>
    <w:rPr>
      <w:rFonts w:ascii="Arial" w:hAnsi="Arial" w:eastAsia="黑体" w:cs="Arial"/>
      <w:kern w:val="2"/>
    </w:rPr>
  </w:style>
  <w:style w:type="character" w:customStyle="1" w:styleId="136">
    <w:name w:val="标题 2 字符"/>
    <w:basedOn w:val="41"/>
    <w:semiHidden/>
    <w:qFormat/>
    <w:uiPriority w:val="0"/>
    <w:rPr>
      <w:rFonts w:asciiTheme="majorHAnsi" w:hAnsiTheme="majorHAnsi" w:eastAsiaTheme="majorEastAsia" w:cstheme="majorBidi"/>
      <w:b/>
      <w:bCs/>
      <w:kern w:val="2"/>
      <w:sz w:val="32"/>
      <w:szCs w:val="32"/>
    </w:rPr>
  </w:style>
  <w:style w:type="paragraph" w:customStyle="1" w:styleId="137">
    <w:name w:val="_Style 126"/>
    <w:basedOn w:val="1"/>
    <w:next w:val="1"/>
    <w:link w:val="275"/>
    <w:qFormat/>
    <w:uiPriority w:val="0"/>
    <w:rPr>
      <w:kern w:val="0"/>
      <w:szCs w:val="20"/>
    </w:rPr>
  </w:style>
  <w:style w:type="character" w:customStyle="1" w:styleId="138">
    <w:name w:val="正文文本缩进 Char"/>
    <w:semiHidden/>
    <w:qFormat/>
    <w:locked/>
    <w:uiPriority w:val="0"/>
    <w:rPr>
      <w:rFonts w:ascii="Times New Roman" w:hAnsi="Times New Roman" w:eastAsia="宋体"/>
      <w:sz w:val="24"/>
    </w:rPr>
  </w:style>
  <w:style w:type="character" w:customStyle="1" w:styleId="139">
    <w:name w:val="正文缩进 Char"/>
    <w:qFormat/>
    <w:uiPriority w:val="0"/>
    <w:rPr>
      <w:rFonts w:eastAsia="宋体"/>
      <w:kern w:val="2"/>
      <w:sz w:val="21"/>
      <w:szCs w:val="24"/>
      <w:lang w:val="en-US" w:eastAsia="zh-CN" w:bidi="ar-SA"/>
    </w:rPr>
  </w:style>
  <w:style w:type="character" w:customStyle="1" w:styleId="140">
    <w:name w:val="批注文字 Char"/>
    <w:qFormat/>
    <w:locked/>
    <w:uiPriority w:val="0"/>
    <w:rPr>
      <w:rFonts w:ascii="Times New Roman" w:hAnsi="Times New Roman" w:eastAsia="宋体"/>
      <w:sz w:val="24"/>
    </w:rPr>
  </w:style>
  <w:style w:type="character" w:customStyle="1" w:styleId="141">
    <w:name w:val="正文文本 Char"/>
    <w:qFormat/>
    <w:locked/>
    <w:uiPriority w:val="0"/>
    <w:rPr>
      <w:sz w:val="18"/>
    </w:rPr>
  </w:style>
  <w:style w:type="character" w:customStyle="1" w:styleId="142">
    <w:name w:val="纯文本 Char"/>
    <w:qFormat/>
    <w:uiPriority w:val="0"/>
    <w:rPr>
      <w:rFonts w:ascii="宋体" w:hAnsi="Courier New" w:eastAsia="宋体" w:cs="Courier New"/>
      <w:kern w:val="2"/>
      <w:sz w:val="21"/>
      <w:szCs w:val="21"/>
      <w:lang w:val="en-US" w:eastAsia="zh-CN" w:bidi="ar-SA"/>
    </w:rPr>
  </w:style>
  <w:style w:type="character" w:customStyle="1" w:styleId="143">
    <w:name w:val="日期 Char"/>
    <w:qFormat/>
    <w:locked/>
    <w:uiPriority w:val="0"/>
    <w:rPr>
      <w:rFonts w:ascii="Times New Roman" w:hAnsi="Times New Roman" w:eastAsia="宋体"/>
      <w:sz w:val="24"/>
    </w:rPr>
  </w:style>
  <w:style w:type="character" w:customStyle="1" w:styleId="144">
    <w:name w:val="批注框文本 Char"/>
    <w:semiHidden/>
    <w:qFormat/>
    <w:locked/>
    <w:uiPriority w:val="0"/>
    <w:rPr>
      <w:rFonts w:ascii="Times New Roman" w:hAnsi="Times New Roman" w:eastAsia="宋体"/>
      <w:sz w:val="18"/>
    </w:rPr>
  </w:style>
  <w:style w:type="character" w:customStyle="1" w:styleId="145">
    <w:name w:val="页脚 Char"/>
    <w:qFormat/>
    <w:locked/>
    <w:uiPriority w:val="99"/>
    <w:rPr>
      <w:sz w:val="18"/>
    </w:rPr>
  </w:style>
  <w:style w:type="character" w:customStyle="1" w:styleId="146">
    <w:name w:val="页眉 Char"/>
    <w:qFormat/>
    <w:locked/>
    <w:uiPriority w:val="0"/>
    <w:rPr>
      <w:sz w:val="18"/>
    </w:rPr>
  </w:style>
  <w:style w:type="character" w:customStyle="1" w:styleId="147">
    <w:name w:val="普通(网站) Char"/>
    <w:qFormat/>
    <w:locked/>
    <w:uiPriority w:val="0"/>
    <w:rPr>
      <w:rFonts w:ascii="宋体" w:hAnsi="宋体" w:eastAsia="宋体"/>
      <w:sz w:val="24"/>
    </w:rPr>
  </w:style>
  <w:style w:type="character" w:customStyle="1" w:styleId="148">
    <w:name w:val="批注主题 Char"/>
    <w:semiHidden/>
    <w:qFormat/>
    <w:locked/>
    <w:uiPriority w:val="0"/>
    <w:rPr>
      <w:rFonts w:ascii="Times New Roman" w:hAnsi="Times New Roman" w:eastAsia="宋体"/>
      <w:b/>
      <w:kern w:val="2"/>
      <w:sz w:val="24"/>
    </w:rPr>
  </w:style>
  <w:style w:type="paragraph" w:customStyle="1" w:styleId="149">
    <w:name w:val="报告 两端对齐 首行缩进:  2 字符"/>
    <w:qFormat/>
    <w:uiPriority w:val="0"/>
    <w:pPr>
      <w:spacing w:line="360" w:lineRule="auto"/>
      <w:ind w:firstLine="200" w:firstLineChars="200"/>
      <w:jc w:val="both"/>
    </w:pPr>
    <w:rPr>
      <w:rFonts w:ascii="宋体" w:hAnsi="Times New Roman" w:eastAsia="宋体" w:cs="宋体"/>
      <w:kern w:val="2"/>
      <w:sz w:val="24"/>
      <w:szCs w:val="24"/>
      <w:lang w:val="en-US" w:eastAsia="zh-CN" w:bidi="ar-SA"/>
    </w:rPr>
  </w:style>
  <w:style w:type="table" w:customStyle="1" w:styleId="150">
    <w:name w:val="Table Normal"/>
    <w:unhideWhenUsed/>
    <w:qFormat/>
    <w:uiPriority w:val="0"/>
    <w:tblPr>
      <w:tblCellMar>
        <w:top w:w="0" w:type="dxa"/>
        <w:left w:w="0" w:type="dxa"/>
        <w:bottom w:w="0" w:type="dxa"/>
        <w:right w:w="0" w:type="dxa"/>
      </w:tblCellMar>
    </w:tblPr>
  </w:style>
  <w:style w:type="table" w:customStyle="1" w:styleId="151">
    <w:name w:val="样式1"/>
    <w:basedOn w:val="39"/>
    <w:qFormat/>
    <w:uiPriority w:val="99"/>
    <w:rPr>
      <w:sz w:val="21"/>
      <w:szCs w:val="21"/>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tblStylePr w:type="firstRow">
      <w:pPr>
        <w:wordWrap/>
        <w:spacing w:before="0" w:beforeLines="0" w:beforeAutospacing="0" w:after="0" w:afterLines="0" w:afterAutospacing="0" w:line="240" w:lineRule="auto"/>
        <w:ind w:firstLine="0" w:firstLineChars="0"/>
      </w:pPr>
      <w:rPr>
        <w:b/>
      </w:rPr>
      <w:tcPr>
        <w:tcBorders>
          <w:top w:val="single" w:color="auto" w:sz="12" w:space="0"/>
          <w:left w:val="double" w:color="auto" w:sz="4" w:space="0"/>
          <w:bottom w:val="nil"/>
          <w:right w:val="nil"/>
          <w:insideH w:val="nil"/>
          <w:insideV w:val="single" w:sz="4" w:space="0"/>
          <w:tl2br w:val="nil"/>
          <w:tr2bl w:val="nil"/>
        </w:tcBorders>
      </w:tcPr>
    </w:tblStylePr>
  </w:style>
  <w:style w:type="paragraph" w:customStyle="1" w:styleId="152">
    <w:name w:val="表格文字"/>
    <w:basedOn w:val="1"/>
    <w:link w:val="202"/>
    <w:qFormat/>
    <w:uiPriority w:val="0"/>
    <w:pPr>
      <w:spacing w:line="320" w:lineRule="exact"/>
      <w:jc w:val="center"/>
    </w:pPr>
    <w:rPr>
      <w:rFonts w:ascii="宋体"/>
    </w:rPr>
  </w:style>
  <w:style w:type="character" w:customStyle="1" w:styleId="153">
    <w:name w:val="font91"/>
    <w:qFormat/>
    <w:uiPriority w:val="0"/>
    <w:rPr>
      <w:rFonts w:hint="eastAsia" w:ascii="宋体" w:hAnsi="宋体" w:eastAsia="宋体" w:cs="宋体"/>
      <w:color w:val="000000"/>
      <w:sz w:val="21"/>
      <w:szCs w:val="21"/>
      <w:u w:val="none"/>
    </w:rPr>
  </w:style>
  <w:style w:type="character" w:customStyle="1" w:styleId="154">
    <w:name w:val="font101"/>
    <w:qFormat/>
    <w:uiPriority w:val="0"/>
    <w:rPr>
      <w:rFonts w:hint="eastAsia" w:ascii="宋体" w:hAnsi="宋体" w:eastAsia="宋体" w:cs="宋体"/>
      <w:b/>
      <w:bCs/>
      <w:color w:val="000000"/>
      <w:sz w:val="21"/>
      <w:szCs w:val="21"/>
      <w:u w:val="none"/>
    </w:rPr>
  </w:style>
  <w:style w:type="paragraph" w:customStyle="1" w:styleId="155">
    <w:name w:val="Char Char Char Char Char Char Char"/>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56">
    <w:name w:val="正文 + 仿宋_GB2312"/>
    <w:basedOn w:val="1"/>
    <w:qFormat/>
    <w:uiPriority w:val="99"/>
    <w:pPr>
      <w:ind w:firstLine="480" w:firstLineChars="200"/>
    </w:pPr>
    <w:rPr>
      <w:rFonts w:ascii="仿宋_GB2312" w:hAnsi="Calibri" w:eastAsia="仿宋_GB2312"/>
      <w:sz w:val="24"/>
    </w:rPr>
  </w:style>
  <w:style w:type="paragraph" w:customStyle="1" w:styleId="157">
    <w:name w:val="_Style 2"/>
    <w:basedOn w:val="1"/>
    <w:next w:val="1"/>
    <w:qFormat/>
    <w:uiPriority w:val="34"/>
    <w:pPr>
      <w:ind w:firstLine="420" w:firstLineChars="200"/>
    </w:pPr>
  </w:style>
  <w:style w:type="paragraph" w:customStyle="1" w:styleId="158">
    <w:name w:val="默认段落字体 Para Char"/>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59">
    <w:name w:val="3 Char Char Char Char"/>
    <w:basedOn w:val="1"/>
    <w:next w:val="1"/>
    <w:qFormat/>
    <w:uiPriority w:val="0"/>
    <w:pPr>
      <w:spacing w:line="360" w:lineRule="auto"/>
      <w:ind w:firstLine="200" w:firstLineChars="200"/>
    </w:pPr>
    <w:rPr>
      <w:rFonts w:ascii="宋体" w:hAnsi="宋体" w:eastAsia="汉鼎简书宋" w:cs="宋体"/>
      <w:sz w:val="24"/>
    </w:rPr>
  </w:style>
  <w:style w:type="paragraph" w:customStyle="1" w:styleId="160">
    <w:name w:val="正文2"/>
    <w:qFormat/>
    <w:uiPriority w:val="0"/>
    <w:pPr>
      <w:jc w:val="both"/>
    </w:pPr>
    <w:rPr>
      <w:rFonts w:ascii="Calibri" w:hAnsi="Calibri" w:eastAsia="宋体" w:cs="宋体"/>
      <w:kern w:val="2"/>
      <w:sz w:val="21"/>
      <w:szCs w:val="21"/>
      <w:lang w:val="en-US" w:eastAsia="zh-CN" w:bidi="ar-SA"/>
    </w:rPr>
  </w:style>
  <w:style w:type="paragraph" w:customStyle="1" w:styleId="161">
    <w:name w:val="zm"/>
    <w:basedOn w:val="1"/>
    <w:qFormat/>
    <w:uiPriority w:val="0"/>
    <w:pPr>
      <w:spacing w:line="480" w:lineRule="exact"/>
      <w:ind w:firstLine="480" w:firstLineChars="200"/>
    </w:pPr>
    <w:rPr>
      <w:rFonts w:cs="宋体"/>
      <w:sz w:val="24"/>
    </w:rPr>
  </w:style>
  <w:style w:type="character" w:customStyle="1" w:styleId="162">
    <w:name w:val="标题 2 字符1"/>
    <w:link w:val="3"/>
    <w:qFormat/>
    <w:uiPriority w:val="0"/>
    <w:rPr>
      <w:rFonts w:ascii="Cambria" w:hAnsi="Cambria"/>
      <w:b/>
      <w:bCs/>
      <w:kern w:val="2"/>
      <w:sz w:val="32"/>
      <w:szCs w:val="32"/>
    </w:rPr>
  </w:style>
  <w:style w:type="paragraph" w:customStyle="1" w:styleId="163">
    <w:name w:val="+正文"/>
    <w:basedOn w:val="1"/>
    <w:link w:val="164"/>
    <w:qFormat/>
    <w:uiPriority w:val="0"/>
    <w:pPr>
      <w:spacing w:line="360" w:lineRule="auto"/>
      <w:ind w:firstLine="200" w:firstLineChars="200"/>
      <w:jc w:val="left"/>
    </w:pPr>
    <w:rPr>
      <w:sz w:val="24"/>
      <w:szCs w:val="28"/>
    </w:rPr>
  </w:style>
  <w:style w:type="character" w:customStyle="1" w:styleId="164">
    <w:name w:val="+正文 Char"/>
    <w:link w:val="163"/>
    <w:qFormat/>
    <w:uiPriority w:val="0"/>
    <w:rPr>
      <w:kern w:val="2"/>
      <w:sz w:val="24"/>
      <w:szCs w:val="28"/>
    </w:rPr>
  </w:style>
  <w:style w:type="paragraph" w:customStyle="1" w:styleId="165">
    <w:name w:val="正文修改"/>
    <w:basedOn w:val="1"/>
    <w:qFormat/>
    <w:uiPriority w:val="0"/>
    <w:pPr>
      <w:spacing w:line="360" w:lineRule="auto"/>
      <w:ind w:firstLine="480" w:firstLineChars="200"/>
    </w:pPr>
    <w:rPr>
      <w:rFonts w:cs="宋体"/>
      <w:kern w:val="0"/>
      <w:sz w:val="24"/>
      <w:szCs w:val="20"/>
    </w:rPr>
  </w:style>
  <w:style w:type="paragraph" w:customStyle="1" w:styleId="166">
    <w:name w:val="1-正文"/>
    <w:basedOn w:val="1"/>
    <w:qFormat/>
    <w:uiPriority w:val="0"/>
    <w:pPr>
      <w:widowControl/>
      <w:spacing w:after="60" w:line="360" w:lineRule="auto"/>
      <w:ind w:firstLine="200" w:firstLineChars="200"/>
    </w:pPr>
    <w:rPr>
      <w:rFonts w:ascii="Calibri" w:hAnsi="Calibri" w:cs="Arial"/>
      <w:sz w:val="24"/>
      <w:szCs w:val="22"/>
    </w:rPr>
  </w:style>
  <w:style w:type="paragraph" w:customStyle="1" w:styleId="167">
    <w:name w:val="1表格"/>
    <w:basedOn w:val="1"/>
    <w:qFormat/>
    <w:uiPriority w:val="0"/>
    <w:pPr>
      <w:snapToGrid w:val="0"/>
      <w:spacing w:line="160" w:lineRule="atLeast"/>
      <w:jc w:val="center"/>
    </w:pPr>
    <w:rPr>
      <w:rFonts w:eastAsia="仿宋_GB2312"/>
      <w:szCs w:val="20"/>
    </w:rPr>
  </w:style>
  <w:style w:type="character" w:customStyle="1" w:styleId="168">
    <w:name w:val="表头 Char"/>
    <w:link w:val="116"/>
    <w:qFormat/>
    <w:uiPriority w:val="0"/>
    <w:rPr>
      <w:rFonts w:ascii="黑体" w:eastAsia="黑体"/>
      <w:spacing w:val="6"/>
      <w:kern w:val="2"/>
      <w:position w:val="10"/>
      <w:sz w:val="21"/>
    </w:rPr>
  </w:style>
  <w:style w:type="paragraph" w:customStyle="1" w:styleId="169">
    <w:name w:val="Body text|1"/>
    <w:basedOn w:val="1"/>
    <w:qFormat/>
    <w:uiPriority w:val="0"/>
    <w:pPr>
      <w:spacing w:after="40" w:line="415" w:lineRule="auto"/>
      <w:ind w:firstLine="40"/>
      <w:jc w:val="left"/>
    </w:pPr>
    <w:rPr>
      <w:rFonts w:ascii="宋体" w:hAnsi="宋体" w:eastAsia="Times New Roman" w:cs="宋体"/>
      <w:b/>
      <w:kern w:val="0"/>
      <w:sz w:val="18"/>
      <w:szCs w:val="18"/>
      <w:lang w:val="zh-CN" w:eastAsia="en-US" w:bidi="zh-CN"/>
    </w:rPr>
  </w:style>
  <w:style w:type="paragraph" w:customStyle="1" w:styleId="170">
    <w:name w:val="123正文"/>
    <w:basedOn w:val="1"/>
    <w:qFormat/>
    <w:uiPriority w:val="0"/>
    <w:pPr>
      <w:snapToGrid w:val="0"/>
      <w:spacing w:line="360" w:lineRule="auto"/>
      <w:ind w:firstLine="480" w:firstLineChars="200"/>
    </w:pPr>
    <w:rPr>
      <w:color w:val="0000FF"/>
      <w:kern w:val="0"/>
      <w:sz w:val="24"/>
      <w:lang w:val="zh-CN"/>
    </w:rPr>
  </w:style>
  <w:style w:type="character" w:customStyle="1" w:styleId="171">
    <w:name w:val="标题 3 字符"/>
    <w:link w:val="4"/>
    <w:qFormat/>
    <w:uiPriority w:val="0"/>
    <w:rPr>
      <w:b/>
      <w:bCs/>
      <w:kern w:val="2"/>
      <w:sz w:val="32"/>
      <w:szCs w:val="32"/>
    </w:rPr>
  </w:style>
  <w:style w:type="paragraph" w:customStyle="1" w:styleId="172">
    <w:name w:val="xl36"/>
    <w:basedOn w:val="1"/>
    <w:qFormat/>
    <w:uiPriority w:val="0"/>
    <w:pPr>
      <w:widowControl/>
      <w:spacing w:before="100" w:beforeAutospacing="1" w:after="100" w:afterAutospacing="1"/>
      <w:jc w:val="center"/>
    </w:pPr>
    <w:rPr>
      <w:rFonts w:ascii="楷体_GB2312" w:hAnsi="Arial Unicode MS" w:eastAsia="楷体_GB2312"/>
      <w:b/>
      <w:bCs/>
      <w:kern w:val="0"/>
      <w:sz w:val="28"/>
      <w:szCs w:val="28"/>
    </w:rPr>
  </w:style>
  <w:style w:type="character" w:customStyle="1" w:styleId="173">
    <w:name w:val="Char Char3"/>
    <w:qFormat/>
    <w:uiPriority w:val="0"/>
    <w:rPr>
      <w:kern w:val="2"/>
      <w:sz w:val="28"/>
      <w:szCs w:val="24"/>
    </w:rPr>
  </w:style>
  <w:style w:type="character" w:customStyle="1" w:styleId="174">
    <w:name w:val="11正文格式 Char"/>
    <w:link w:val="175"/>
    <w:qFormat/>
    <w:uiPriority w:val="0"/>
    <w:rPr>
      <w:color w:val="C00000"/>
      <w:sz w:val="24"/>
      <w:szCs w:val="24"/>
    </w:rPr>
  </w:style>
  <w:style w:type="paragraph" w:customStyle="1" w:styleId="175">
    <w:name w:val="11正文格式"/>
    <w:basedOn w:val="1"/>
    <w:link w:val="174"/>
    <w:qFormat/>
    <w:uiPriority w:val="0"/>
    <w:pPr>
      <w:adjustRightInd w:val="0"/>
      <w:snapToGrid w:val="0"/>
      <w:spacing w:line="360" w:lineRule="auto"/>
      <w:ind w:firstLine="200" w:firstLineChars="200"/>
    </w:pPr>
    <w:rPr>
      <w:color w:val="C00000"/>
      <w:kern w:val="0"/>
      <w:sz w:val="24"/>
    </w:rPr>
  </w:style>
  <w:style w:type="character" w:customStyle="1" w:styleId="176">
    <w:name w:val="标题 3 Char Char Char Char Char2"/>
    <w:qFormat/>
    <w:uiPriority w:val="0"/>
    <w:rPr>
      <w:rFonts w:ascii="Times New Roman" w:hAnsi="Times New Roman" w:eastAsia="宋体" w:cs="Times New Roman"/>
      <w:b/>
      <w:bCs/>
      <w:sz w:val="32"/>
      <w:szCs w:val="32"/>
    </w:rPr>
  </w:style>
  <w:style w:type="character" w:customStyle="1" w:styleId="177">
    <w:name w:val="图表标注 Char"/>
    <w:link w:val="178"/>
    <w:qFormat/>
    <w:locked/>
    <w:uiPriority w:val="0"/>
    <w:rPr>
      <w:rFonts w:ascii="黑体" w:hAnsi="黑体" w:eastAsia="黑体"/>
    </w:rPr>
  </w:style>
  <w:style w:type="paragraph" w:customStyle="1" w:styleId="178">
    <w:name w:val="图表标注"/>
    <w:basedOn w:val="1"/>
    <w:link w:val="177"/>
    <w:qFormat/>
    <w:uiPriority w:val="0"/>
    <w:pPr>
      <w:spacing w:line="480" w:lineRule="exact"/>
      <w:jc w:val="center"/>
    </w:pPr>
    <w:rPr>
      <w:rFonts w:ascii="黑体" w:hAnsi="黑体" w:eastAsia="黑体"/>
      <w:kern w:val="0"/>
      <w:sz w:val="20"/>
      <w:szCs w:val="20"/>
    </w:rPr>
  </w:style>
  <w:style w:type="character" w:customStyle="1" w:styleId="179">
    <w:name w:val="正文（首行缩进两字） Char Char9"/>
    <w:qFormat/>
    <w:uiPriority w:val="0"/>
    <w:rPr>
      <w:rFonts w:eastAsia="宋体"/>
      <w:spacing w:val="20"/>
      <w:kern w:val="2"/>
      <w:sz w:val="24"/>
      <w:lang w:val="en-US" w:eastAsia="zh-CN" w:bidi="ar-SA"/>
    </w:rPr>
  </w:style>
  <w:style w:type="character" w:customStyle="1" w:styleId="180">
    <w:name w:val="表内文字 Char Char"/>
    <w:link w:val="181"/>
    <w:qFormat/>
    <w:uiPriority w:val="0"/>
    <w:rPr>
      <w:kern w:val="2"/>
      <w:sz w:val="24"/>
    </w:rPr>
  </w:style>
  <w:style w:type="paragraph" w:customStyle="1" w:styleId="181">
    <w:name w:val="表内文字"/>
    <w:basedOn w:val="1"/>
    <w:link w:val="180"/>
    <w:qFormat/>
    <w:uiPriority w:val="0"/>
    <w:pPr>
      <w:spacing w:line="600" w:lineRule="exact"/>
      <w:jc w:val="center"/>
    </w:pPr>
    <w:rPr>
      <w:sz w:val="24"/>
      <w:szCs w:val="20"/>
    </w:rPr>
  </w:style>
  <w:style w:type="character" w:customStyle="1" w:styleId="182">
    <w:name w:val="apple-style-span"/>
    <w:basedOn w:val="41"/>
    <w:qFormat/>
    <w:uiPriority w:val="0"/>
  </w:style>
  <w:style w:type="character" w:customStyle="1" w:styleId="183">
    <w:name w:val="正文缩进 Char2"/>
    <w:qFormat/>
    <w:uiPriority w:val="0"/>
    <w:rPr>
      <w:rFonts w:eastAsia="宋体"/>
      <w:spacing w:val="20"/>
      <w:kern w:val="2"/>
      <w:sz w:val="24"/>
      <w:lang w:val="en-US" w:eastAsia="zh-CN" w:bidi="ar-SA"/>
    </w:rPr>
  </w:style>
  <w:style w:type="character" w:customStyle="1" w:styleId="184">
    <w:name w:val="批注文字 Char1"/>
    <w:qFormat/>
    <w:uiPriority w:val="0"/>
    <w:rPr>
      <w:rFonts w:eastAsia="宋体"/>
      <w:kern w:val="2"/>
      <w:sz w:val="28"/>
      <w:szCs w:val="24"/>
      <w:lang w:val="en-US" w:eastAsia="zh-CN" w:bidi="ar-SA"/>
    </w:rPr>
  </w:style>
  <w:style w:type="character" w:customStyle="1" w:styleId="185">
    <w:name w:val="Char Char Char"/>
    <w:qFormat/>
    <w:uiPriority w:val="0"/>
    <w:rPr>
      <w:rFonts w:eastAsia="宋体"/>
      <w:kern w:val="2"/>
      <w:sz w:val="28"/>
      <w:szCs w:val="24"/>
      <w:lang w:val="en-US" w:eastAsia="zh-CN" w:bidi="ar-SA"/>
    </w:rPr>
  </w:style>
  <w:style w:type="character" w:customStyle="1" w:styleId="186">
    <w:name w:val="特点 Char1"/>
    <w:qFormat/>
    <w:uiPriority w:val="0"/>
    <w:rPr>
      <w:rFonts w:eastAsia="宋体"/>
      <w:spacing w:val="20"/>
      <w:kern w:val="2"/>
      <w:sz w:val="24"/>
      <w:lang w:val="en-US" w:eastAsia="zh-CN" w:bidi="ar-SA"/>
    </w:rPr>
  </w:style>
  <w:style w:type="character" w:customStyle="1" w:styleId="187">
    <w:name w:val="ourfont11"/>
    <w:qFormat/>
    <w:uiPriority w:val="0"/>
    <w:rPr>
      <w:sz w:val="20"/>
      <w:szCs w:val="20"/>
    </w:rPr>
  </w:style>
  <w:style w:type="character" w:customStyle="1" w:styleId="188">
    <w:name w:val="Char Char2"/>
    <w:qFormat/>
    <w:locked/>
    <w:uiPriority w:val="0"/>
    <w:rPr>
      <w:rFonts w:eastAsia="宋体"/>
      <w:kern w:val="2"/>
      <w:sz w:val="28"/>
      <w:szCs w:val="24"/>
      <w:lang w:val="en-US" w:eastAsia="zh-CN" w:bidi="ar-SA"/>
    </w:rPr>
  </w:style>
  <w:style w:type="character" w:customStyle="1" w:styleId="189">
    <w:name w:val="标题 3 Char Char Char"/>
    <w:qFormat/>
    <w:uiPriority w:val="0"/>
    <w:rPr>
      <w:rFonts w:eastAsia="宋体"/>
      <w:b/>
      <w:bCs/>
      <w:kern w:val="2"/>
      <w:sz w:val="30"/>
      <w:szCs w:val="32"/>
      <w:lang w:val="en-US" w:eastAsia="zh-CN" w:bidi="ar-SA"/>
    </w:rPr>
  </w:style>
  <w:style w:type="character" w:customStyle="1" w:styleId="190">
    <w:name w:val="111正文格式111 Char"/>
    <w:link w:val="191"/>
    <w:qFormat/>
    <w:uiPriority w:val="0"/>
    <w:rPr>
      <w:bCs/>
      <w:kern w:val="2"/>
      <w:sz w:val="24"/>
      <w:szCs w:val="24"/>
    </w:rPr>
  </w:style>
  <w:style w:type="paragraph" w:customStyle="1" w:styleId="191">
    <w:name w:val="111正文格式111"/>
    <w:basedOn w:val="1"/>
    <w:link w:val="190"/>
    <w:qFormat/>
    <w:uiPriority w:val="0"/>
    <w:pPr>
      <w:adjustRightInd w:val="0"/>
      <w:snapToGrid w:val="0"/>
      <w:spacing w:line="360" w:lineRule="auto"/>
      <w:ind w:firstLine="200" w:firstLineChars="200"/>
    </w:pPr>
    <w:rPr>
      <w:bCs/>
      <w:sz w:val="24"/>
    </w:rPr>
  </w:style>
  <w:style w:type="character" w:customStyle="1" w:styleId="192">
    <w:name w:val="5文章(治) Char"/>
    <w:link w:val="193"/>
    <w:qFormat/>
    <w:uiPriority w:val="0"/>
    <w:rPr>
      <w:color w:val="000000"/>
      <w:sz w:val="24"/>
    </w:rPr>
  </w:style>
  <w:style w:type="paragraph" w:customStyle="1" w:styleId="193">
    <w:name w:val="5文章(治)"/>
    <w:basedOn w:val="1"/>
    <w:link w:val="192"/>
    <w:qFormat/>
    <w:uiPriority w:val="0"/>
    <w:pPr>
      <w:spacing w:line="360" w:lineRule="auto"/>
      <w:ind w:firstLine="560" w:firstLineChars="200"/>
    </w:pPr>
    <w:rPr>
      <w:color w:val="000000"/>
      <w:kern w:val="0"/>
      <w:sz w:val="24"/>
      <w:szCs w:val="20"/>
    </w:rPr>
  </w:style>
  <w:style w:type="character" w:customStyle="1" w:styleId="194">
    <w:name w:val="A正文 Char"/>
    <w:link w:val="48"/>
    <w:qFormat/>
    <w:uiPriority w:val="0"/>
    <w:rPr>
      <w:kern w:val="2"/>
      <w:sz w:val="21"/>
      <w:szCs w:val="24"/>
    </w:rPr>
  </w:style>
  <w:style w:type="character" w:customStyle="1" w:styleId="195">
    <w:name w:val="表格居中 Char"/>
    <w:link w:val="196"/>
    <w:qFormat/>
    <w:uiPriority w:val="0"/>
    <w:rPr>
      <w:sz w:val="24"/>
      <w:szCs w:val="24"/>
    </w:rPr>
  </w:style>
  <w:style w:type="paragraph" w:customStyle="1" w:styleId="196">
    <w:name w:val="表格居中"/>
    <w:link w:val="195"/>
    <w:qFormat/>
    <w:uiPriority w:val="0"/>
    <w:pPr>
      <w:spacing w:line="440" w:lineRule="exact"/>
      <w:jc w:val="center"/>
    </w:pPr>
    <w:rPr>
      <w:rFonts w:ascii="Times New Roman" w:hAnsi="Times New Roman" w:eastAsia="宋体" w:cs="Times New Roman"/>
      <w:sz w:val="24"/>
      <w:szCs w:val="24"/>
      <w:lang w:val="en-US" w:eastAsia="zh-CN" w:bidi="ar-SA"/>
    </w:rPr>
  </w:style>
  <w:style w:type="character" w:customStyle="1" w:styleId="197">
    <w:name w:val="表 Char"/>
    <w:link w:val="198"/>
    <w:qFormat/>
    <w:uiPriority w:val="0"/>
    <w:rPr>
      <w:spacing w:val="2"/>
      <w:kern w:val="2"/>
      <w:sz w:val="21"/>
    </w:rPr>
  </w:style>
  <w:style w:type="paragraph" w:customStyle="1" w:styleId="198">
    <w:name w:val="表"/>
    <w:basedOn w:val="1"/>
    <w:link w:val="197"/>
    <w:qFormat/>
    <w:uiPriority w:val="0"/>
    <w:pPr>
      <w:snapToGrid w:val="0"/>
      <w:jc w:val="center"/>
    </w:pPr>
    <w:rPr>
      <w:spacing w:val="2"/>
      <w:szCs w:val="20"/>
    </w:rPr>
  </w:style>
  <w:style w:type="character" w:customStyle="1" w:styleId="199">
    <w:name w:val="正文(首行缩进) Char Char"/>
    <w:link w:val="105"/>
    <w:qFormat/>
    <w:uiPriority w:val="0"/>
    <w:rPr>
      <w:snapToGrid w:val="0"/>
      <w:kern w:val="2"/>
      <w:sz w:val="24"/>
      <w:szCs w:val="24"/>
    </w:rPr>
  </w:style>
  <w:style w:type="character" w:customStyle="1" w:styleId="200">
    <w:name w:val="t_tag"/>
    <w:basedOn w:val="41"/>
    <w:qFormat/>
    <w:uiPriority w:val="0"/>
  </w:style>
  <w:style w:type="character" w:customStyle="1" w:styleId="201">
    <w:name w:val="Char Char4"/>
    <w:qFormat/>
    <w:locked/>
    <w:uiPriority w:val="0"/>
    <w:rPr>
      <w:rFonts w:ascii="宋体" w:hAnsi="Courier New" w:eastAsia="宋体"/>
      <w:kern w:val="2"/>
      <w:sz w:val="21"/>
      <w:szCs w:val="21"/>
      <w:lang w:val="en-US" w:eastAsia="zh-CN" w:bidi="ar-SA"/>
    </w:rPr>
  </w:style>
  <w:style w:type="character" w:customStyle="1" w:styleId="202">
    <w:name w:val="表格文字 Char"/>
    <w:link w:val="152"/>
    <w:qFormat/>
    <w:locked/>
    <w:uiPriority w:val="0"/>
    <w:rPr>
      <w:rFonts w:ascii="宋体"/>
      <w:kern w:val="2"/>
      <w:sz w:val="21"/>
      <w:szCs w:val="24"/>
    </w:rPr>
  </w:style>
  <w:style w:type="character" w:customStyle="1" w:styleId="203">
    <w:name w:val="Char Char12"/>
    <w:qFormat/>
    <w:uiPriority w:val="0"/>
    <w:rPr>
      <w:rFonts w:hint="eastAsia" w:ascii="宋体" w:hAnsi="宋体" w:eastAsia="宋体" w:cs="宋体"/>
      <w:kern w:val="2"/>
      <w:sz w:val="28"/>
      <w:szCs w:val="21"/>
      <w:lang w:val="en-US" w:eastAsia="zh-CN" w:bidi="ar"/>
    </w:rPr>
  </w:style>
  <w:style w:type="character" w:customStyle="1" w:styleId="204">
    <w:name w:val="11表头 Char"/>
    <w:link w:val="205"/>
    <w:qFormat/>
    <w:uiPriority w:val="0"/>
    <w:rPr>
      <w:rFonts w:eastAsia="黑体"/>
      <w:color w:val="C00000"/>
      <w:kern w:val="2"/>
      <w:sz w:val="24"/>
      <w:szCs w:val="24"/>
    </w:rPr>
  </w:style>
  <w:style w:type="paragraph" w:customStyle="1" w:styleId="205">
    <w:name w:val="11表头"/>
    <w:basedOn w:val="1"/>
    <w:link w:val="204"/>
    <w:qFormat/>
    <w:uiPriority w:val="0"/>
    <w:pPr>
      <w:snapToGrid w:val="0"/>
      <w:jc w:val="center"/>
    </w:pPr>
    <w:rPr>
      <w:rFonts w:eastAsia="黑体"/>
      <w:color w:val="C00000"/>
      <w:sz w:val="24"/>
    </w:rPr>
  </w:style>
  <w:style w:type="character" w:customStyle="1" w:styleId="206">
    <w:name w:val="Char Char6"/>
    <w:qFormat/>
    <w:uiPriority w:val="0"/>
    <w:rPr>
      <w:rFonts w:eastAsia="宋体"/>
      <w:b/>
      <w:bCs/>
      <w:kern w:val="2"/>
      <w:sz w:val="32"/>
      <w:szCs w:val="32"/>
      <w:lang w:val="en-US" w:eastAsia="zh-CN" w:bidi="ar-SA"/>
    </w:rPr>
  </w:style>
  <w:style w:type="character" w:customStyle="1" w:styleId="207">
    <w:name w:val="Char Char"/>
    <w:qFormat/>
    <w:uiPriority w:val="0"/>
    <w:rPr>
      <w:rFonts w:eastAsia="宋体"/>
      <w:kern w:val="2"/>
      <w:sz w:val="18"/>
      <w:szCs w:val="18"/>
      <w:lang w:val="en-US" w:eastAsia="zh-CN" w:bidi="ar-SA"/>
    </w:rPr>
  </w:style>
  <w:style w:type="character" w:customStyle="1" w:styleId="208">
    <w:name w:val="报告 Char"/>
    <w:link w:val="209"/>
    <w:qFormat/>
    <w:uiPriority w:val="0"/>
    <w:rPr>
      <w:rFonts w:ascii="TimesNewRoman" w:hAnsi="TimesNewRoman"/>
      <w:sz w:val="24"/>
    </w:rPr>
  </w:style>
  <w:style w:type="paragraph" w:customStyle="1" w:styleId="209">
    <w:name w:val="报告"/>
    <w:basedOn w:val="1"/>
    <w:link w:val="208"/>
    <w:qFormat/>
    <w:uiPriority w:val="0"/>
    <w:pPr>
      <w:adjustRightInd w:val="0"/>
      <w:spacing w:line="360" w:lineRule="auto"/>
      <w:ind w:firstLine="505"/>
      <w:textAlignment w:val="center"/>
    </w:pPr>
    <w:rPr>
      <w:rFonts w:ascii="TimesNewRoman" w:hAnsi="TimesNewRoman"/>
      <w:kern w:val="0"/>
      <w:sz w:val="24"/>
      <w:szCs w:val="20"/>
    </w:rPr>
  </w:style>
  <w:style w:type="character" w:customStyle="1" w:styleId="210">
    <w:name w:val="Char Char5"/>
    <w:qFormat/>
    <w:uiPriority w:val="0"/>
    <w:rPr>
      <w:rFonts w:ascii="宋体" w:hAnsi="宋体" w:eastAsia="宋体" w:cs="宋体"/>
      <w:sz w:val="24"/>
      <w:szCs w:val="24"/>
      <w:lang w:val="en-US" w:eastAsia="zh-CN" w:bidi="ar-SA"/>
    </w:rPr>
  </w:style>
  <w:style w:type="character" w:customStyle="1" w:styleId="211">
    <w:name w:val="标题 3 Char Char Char Char Char"/>
    <w:qFormat/>
    <w:uiPriority w:val="0"/>
    <w:rPr>
      <w:rFonts w:eastAsia="宋体"/>
      <w:b/>
      <w:bCs/>
      <w:kern w:val="2"/>
      <w:sz w:val="32"/>
      <w:szCs w:val="32"/>
      <w:lang w:val="en-US" w:eastAsia="zh-CN" w:bidi="ar-SA"/>
    </w:rPr>
  </w:style>
  <w:style w:type="character" w:customStyle="1" w:styleId="212">
    <w:name w:val="表格正文 Char"/>
    <w:link w:val="104"/>
    <w:qFormat/>
    <w:uiPriority w:val="0"/>
    <w:rPr>
      <w:sz w:val="18"/>
    </w:rPr>
  </w:style>
  <w:style w:type="character" w:customStyle="1" w:styleId="213">
    <w:name w:val="1正文段落 Char"/>
    <w:qFormat/>
    <w:locked/>
    <w:uiPriority w:val="0"/>
    <w:rPr>
      <w:rFonts w:ascii="宋体" w:hAnsi="宋体" w:eastAsia="宋体"/>
      <w:snapToGrid w:val="0"/>
      <w:sz w:val="24"/>
      <w:lang w:val="en-US" w:eastAsia="zh-CN" w:bidi="ar-SA"/>
    </w:rPr>
  </w:style>
  <w:style w:type="character" w:customStyle="1" w:styleId="214">
    <w:name w:val="A标准格式 Char Char"/>
    <w:link w:val="215"/>
    <w:qFormat/>
    <w:uiPriority w:val="0"/>
    <w:rPr>
      <w:kern w:val="2"/>
      <w:sz w:val="24"/>
      <w:szCs w:val="24"/>
    </w:rPr>
  </w:style>
  <w:style w:type="paragraph" w:customStyle="1" w:styleId="215">
    <w:name w:val="A标准格式"/>
    <w:basedOn w:val="1"/>
    <w:link w:val="214"/>
    <w:qFormat/>
    <w:uiPriority w:val="0"/>
    <w:pPr>
      <w:spacing w:line="440" w:lineRule="exact"/>
      <w:ind w:firstLine="480" w:firstLineChars="200"/>
    </w:pPr>
    <w:rPr>
      <w:sz w:val="24"/>
    </w:rPr>
  </w:style>
  <w:style w:type="character" w:customStyle="1" w:styleId="216">
    <w:name w:val="表头 Char Char"/>
    <w:qFormat/>
    <w:uiPriority w:val="0"/>
    <w:rPr>
      <w:rFonts w:hAnsi="宋体" w:eastAsia="宋体"/>
      <w:b/>
      <w:color w:val="000000"/>
      <w:kern w:val="2"/>
      <w:position w:val="2"/>
      <w:sz w:val="24"/>
      <w:szCs w:val="24"/>
      <w:lang w:val="en-US" w:eastAsia="zh-CN" w:bidi="ar-SA"/>
    </w:rPr>
  </w:style>
  <w:style w:type="character" w:customStyle="1" w:styleId="217">
    <w:name w:val="正文（首行缩进两字） Char Char Char Char Char Char Char Char"/>
    <w:qFormat/>
    <w:uiPriority w:val="0"/>
    <w:rPr>
      <w:rFonts w:eastAsia="华文中宋"/>
      <w:w w:val="90"/>
      <w:sz w:val="28"/>
      <w:lang w:val="en-US" w:eastAsia="zh-CN" w:bidi="ar-SA"/>
    </w:rPr>
  </w:style>
  <w:style w:type="character" w:customStyle="1" w:styleId="218">
    <w:name w:val="Char Char21"/>
    <w:qFormat/>
    <w:uiPriority w:val="0"/>
    <w:rPr>
      <w:rFonts w:eastAsia="宋体"/>
      <w:kern w:val="2"/>
      <w:sz w:val="18"/>
      <w:szCs w:val="18"/>
      <w:lang w:val="en-US" w:eastAsia="zh-CN" w:bidi="ar-SA"/>
    </w:rPr>
  </w:style>
  <w:style w:type="character" w:customStyle="1" w:styleId="219">
    <w:name w:val="表格 Char Char"/>
    <w:qFormat/>
    <w:uiPriority w:val="0"/>
    <w:rPr>
      <w:rFonts w:eastAsia="宋体"/>
      <w:kern w:val="2"/>
      <w:sz w:val="24"/>
      <w:lang w:val="en-US" w:eastAsia="zh-CN" w:bidi="ar-SA"/>
    </w:rPr>
  </w:style>
  <w:style w:type="character" w:customStyle="1" w:styleId="220">
    <w:name w:val="书籍标题1"/>
    <w:qFormat/>
    <w:uiPriority w:val="0"/>
    <w:rPr>
      <w:b/>
    </w:rPr>
  </w:style>
  <w:style w:type="character" w:customStyle="1" w:styleId="221">
    <w:name w:val="正文（首行缩进） Char Char Char"/>
    <w:link w:val="222"/>
    <w:qFormat/>
    <w:locked/>
    <w:uiPriority w:val="0"/>
    <w:rPr>
      <w:sz w:val="24"/>
    </w:rPr>
  </w:style>
  <w:style w:type="paragraph" w:customStyle="1" w:styleId="222">
    <w:name w:val="正文（首行缩进） Char"/>
    <w:basedOn w:val="1"/>
    <w:link w:val="221"/>
    <w:qFormat/>
    <w:uiPriority w:val="0"/>
    <w:pPr>
      <w:widowControl/>
      <w:overflowPunct w:val="0"/>
      <w:topLinePunct/>
      <w:autoSpaceDE w:val="0"/>
      <w:autoSpaceDN w:val="0"/>
      <w:adjustRightInd w:val="0"/>
      <w:snapToGrid w:val="0"/>
      <w:spacing w:line="360" w:lineRule="auto"/>
      <w:ind w:firstLine="480" w:firstLineChars="200"/>
    </w:pPr>
    <w:rPr>
      <w:kern w:val="0"/>
      <w:sz w:val="24"/>
      <w:szCs w:val="20"/>
    </w:rPr>
  </w:style>
  <w:style w:type="character" w:customStyle="1" w:styleId="223">
    <w:name w:val="Char Char41"/>
    <w:qFormat/>
    <w:uiPriority w:val="0"/>
    <w:rPr>
      <w:rFonts w:eastAsia="宋体"/>
      <w:kern w:val="2"/>
      <w:sz w:val="28"/>
      <w:szCs w:val="24"/>
      <w:lang w:val="en-US" w:eastAsia="zh-CN" w:bidi="ar-SA"/>
    </w:rPr>
  </w:style>
  <w:style w:type="character" w:customStyle="1" w:styleId="224">
    <w:name w:val="普通 (Web) Char1"/>
    <w:qFormat/>
    <w:locked/>
    <w:uiPriority w:val="0"/>
    <w:rPr>
      <w:rFonts w:ascii="宋体" w:hAnsi="宋体" w:eastAsia="宋体" w:cs="宋体"/>
      <w:sz w:val="24"/>
      <w:szCs w:val="24"/>
      <w:lang w:val="en-US" w:eastAsia="zh-CN" w:bidi="ar-SA"/>
    </w:rPr>
  </w:style>
  <w:style w:type="character" w:customStyle="1" w:styleId="225">
    <w:name w:val="apple-converted-space"/>
    <w:basedOn w:val="41"/>
    <w:qFormat/>
    <w:uiPriority w:val="0"/>
  </w:style>
  <w:style w:type="character" w:customStyle="1" w:styleId="226">
    <w:name w:val="正文缩进 Char1"/>
    <w:qFormat/>
    <w:uiPriority w:val="0"/>
    <w:rPr>
      <w:rFonts w:eastAsia="宋体"/>
      <w:spacing w:val="20"/>
      <w:sz w:val="24"/>
    </w:rPr>
  </w:style>
  <w:style w:type="character" w:customStyle="1" w:styleId="227">
    <w:name w:val="text06"/>
    <w:basedOn w:val="41"/>
    <w:qFormat/>
    <w:uiPriority w:val="0"/>
  </w:style>
  <w:style w:type="character" w:customStyle="1" w:styleId="228">
    <w:name w:val="111表格 Char"/>
    <w:link w:val="229"/>
    <w:qFormat/>
    <w:uiPriority w:val="0"/>
    <w:rPr>
      <w:color w:val="C00000"/>
      <w:kern w:val="2"/>
      <w:sz w:val="21"/>
      <w:szCs w:val="21"/>
    </w:rPr>
  </w:style>
  <w:style w:type="paragraph" w:customStyle="1" w:styleId="229">
    <w:name w:val="111表格"/>
    <w:basedOn w:val="1"/>
    <w:link w:val="228"/>
    <w:qFormat/>
    <w:uiPriority w:val="0"/>
    <w:pPr>
      <w:jc w:val="center"/>
    </w:pPr>
    <w:rPr>
      <w:color w:val="C00000"/>
      <w:szCs w:val="21"/>
    </w:rPr>
  </w:style>
  <w:style w:type="character" w:customStyle="1" w:styleId="230">
    <w:name w:val="正文文本缩进 2 字符"/>
    <w:link w:val="16"/>
    <w:qFormat/>
    <w:uiPriority w:val="0"/>
    <w:rPr>
      <w:kern w:val="2"/>
      <w:sz w:val="21"/>
      <w:szCs w:val="24"/>
    </w:rPr>
  </w:style>
  <w:style w:type="character" w:customStyle="1" w:styleId="231">
    <w:name w:val="注释标题 字符"/>
    <w:basedOn w:val="41"/>
    <w:qFormat/>
    <w:uiPriority w:val="0"/>
    <w:rPr>
      <w:kern w:val="2"/>
      <w:sz w:val="21"/>
      <w:szCs w:val="24"/>
    </w:rPr>
  </w:style>
  <w:style w:type="character" w:customStyle="1" w:styleId="232">
    <w:name w:val="注释标题 字符1"/>
    <w:link w:val="8"/>
    <w:qFormat/>
    <w:uiPriority w:val="0"/>
    <w:rPr>
      <w:kern w:val="2"/>
      <w:sz w:val="28"/>
    </w:rPr>
  </w:style>
  <w:style w:type="character" w:customStyle="1" w:styleId="233">
    <w:name w:val="文档结构图 Char"/>
    <w:qFormat/>
    <w:uiPriority w:val="0"/>
    <w:rPr>
      <w:rFonts w:ascii="宋体"/>
      <w:kern w:val="2"/>
      <w:sz w:val="18"/>
      <w:szCs w:val="18"/>
    </w:rPr>
  </w:style>
  <w:style w:type="character" w:customStyle="1" w:styleId="234">
    <w:name w:val="题注 Char"/>
    <w:qFormat/>
    <w:uiPriority w:val="0"/>
    <w:rPr>
      <w:rFonts w:ascii="Arial" w:hAnsi="Arial" w:eastAsia="黑体" w:cs="Arial"/>
      <w:kern w:val="2"/>
    </w:rPr>
  </w:style>
  <w:style w:type="character" w:customStyle="1" w:styleId="235">
    <w:name w:val="正文文本首行缩进 2 字符"/>
    <w:link w:val="17"/>
    <w:qFormat/>
    <w:uiPriority w:val="0"/>
    <w:rPr>
      <w:kern w:val="2"/>
      <w:sz w:val="21"/>
      <w:szCs w:val="24"/>
    </w:rPr>
  </w:style>
  <w:style w:type="paragraph" w:customStyle="1" w:styleId="236">
    <w:name w:val="新正文"/>
    <w:basedOn w:val="1"/>
    <w:qFormat/>
    <w:uiPriority w:val="0"/>
    <w:pPr>
      <w:spacing w:line="480" w:lineRule="exact"/>
      <w:ind w:firstLine="567"/>
    </w:pPr>
    <w:rPr>
      <w:rFonts w:ascii="仿宋_GB2312" w:eastAsia="仿宋_GB2312"/>
      <w:bCs/>
      <w:kern w:val="0"/>
      <w:sz w:val="28"/>
      <w:szCs w:val="20"/>
    </w:rPr>
  </w:style>
  <w:style w:type="paragraph" w:customStyle="1" w:styleId="237">
    <w:name w:val="表格 32"/>
    <w:basedOn w:val="1"/>
    <w:qFormat/>
    <w:uiPriority w:val="0"/>
    <w:pPr>
      <w:autoSpaceDE w:val="0"/>
      <w:autoSpaceDN w:val="0"/>
      <w:adjustRightInd w:val="0"/>
      <w:spacing w:line="240" w:lineRule="atLeast"/>
      <w:jc w:val="center"/>
    </w:pPr>
    <w:rPr>
      <w:kern w:val="0"/>
      <w:sz w:val="24"/>
    </w:rPr>
  </w:style>
  <w:style w:type="paragraph" w:customStyle="1" w:styleId="238">
    <w:name w:val="样式 列表 2 + 华文仿宋 居中"/>
    <w:basedOn w:val="18"/>
    <w:qFormat/>
    <w:uiPriority w:val="0"/>
    <w:pPr>
      <w:spacing w:line="240" w:lineRule="exact"/>
      <w:ind w:left="0" w:leftChars="0" w:firstLine="0" w:firstLineChars="0"/>
      <w:jc w:val="center"/>
    </w:pPr>
    <w:rPr>
      <w:sz w:val="21"/>
      <w:szCs w:val="21"/>
    </w:rPr>
  </w:style>
  <w:style w:type="paragraph" w:customStyle="1" w:styleId="239">
    <w:name w:val="列表段落1"/>
    <w:basedOn w:val="1"/>
    <w:qFormat/>
    <w:uiPriority w:val="0"/>
    <w:pPr>
      <w:autoSpaceDE w:val="0"/>
      <w:autoSpaceDN w:val="0"/>
      <w:ind w:left="1383" w:hanging="841"/>
      <w:jc w:val="left"/>
    </w:pPr>
    <w:rPr>
      <w:rFonts w:ascii="宋体" w:hAnsi="宋体" w:cs="宋体"/>
      <w:kern w:val="0"/>
      <w:sz w:val="22"/>
      <w:szCs w:val="22"/>
    </w:rPr>
  </w:style>
  <w:style w:type="paragraph" w:customStyle="1" w:styleId="240">
    <w:name w:val="2 Char"/>
    <w:basedOn w:val="1"/>
    <w:qFormat/>
    <w:uiPriority w:val="0"/>
    <w:pPr>
      <w:spacing w:line="360" w:lineRule="auto"/>
      <w:ind w:firstLine="200" w:firstLineChars="200"/>
    </w:pPr>
    <w:rPr>
      <w:rFonts w:ascii="宋体" w:hAnsi="宋体" w:cs="宋体"/>
      <w:sz w:val="24"/>
    </w:rPr>
  </w:style>
  <w:style w:type="paragraph" w:customStyle="1" w:styleId="241">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242">
    <w:name w:val="字元 字元"/>
    <w:basedOn w:val="1"/>
    <w:qFormat/>
    <w:uiPriority w:val="0"/>
  </w:style>
  <w:style w:type="paragraph" w:customStyle="1" w:styleId="243">
    <w:name w:val="zxz5"/>
    <w:next w:val="1"/>
    <w:qFormat/>
    <w:uiPriority w:val="0"/>
    <w:pPr>
      <w:tabs>
        <w:tab w:val="left" w:pos="0"/>
      </w:tabs>
      <w:jc w:val="center"/>
    </w:pPr>
    <w:rPr>
      <w:rFonts w:ascii="Times New Roman" w:hAnsi="Times New Roman" w:eastAsia="宋体" w:cs="Times New Roman"/>
      <w:lang w:val="en-US" w:eastAsia="zh-CN" w:bidi="ar-SA"/>
    </w:rPr>
  </w:style>
  <w:style w:type="paragraph" w:customStyle="1" w:styleId="24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45">
    <w:name w:val="默认段落字体 Para Char Char Char Char"/>
    <w:basedOn w:val="1"/>
    <w:qFormat/>
    <w:uiPriority w:val="0"/>
    <w:pPr>
      <w:widowControl/>
      <w:jc w:val="left"/>
    </w:pPr>
    <w:rPr>
      <w:rFonts w:cs="宋体"/>
      <w:kern w:val="0"/>
    </w:rPr>
  </w:style>
  <w:style w:type="paragraph" w:customStyle="1" w:styleId="246">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247">
    <w:name w:val="标题 31"/>
    <w:basedOn w:val="1"/>
    <w:next w:val="1"/>
    <w:qFormat/>
    <w:uiPriority w:val="0"/>
    <w:pPr>
      <w:keepNext/>
      <w:keepLines/>
      <w:tabs>
        <w:tab w:val="left" w:pos="1620"/>
      </w:tabs>
      <w:spacing w:before="156" w:beforeLines="50" w:line="460" w:lineRule="exact"/>
      <w:ind w:firstLine="573"/>
      <w:outlineLvl w:val="2"/>
    </w:pPr>
    <w:rPr>
      <w:rFonts w:ascii="ºÚÌå" w:hAnsi="宋体" w:cs="ºÚÌå"/>
      <w:b/>
      <w:bCs/>
      <w:spacing w:val="-8"/>
      <w:kern w:val="0"/>
      <w:sz w:val="30"/>
    </w:rPr>
  </w:style>
  <w:style w:type="paragraph" w:customStyle="1" w:styleId="248">
    <w:name w:val="正文21"/>
    <w:qFormat/>
    <w:uiPriority w:val="0"/>
    <w:rPr>
      <w:rFonts w:ascii="Times New Roman" w:hAnsi="Times New Roman" w:eastAsia="宋体" w:cs="宋体"/>
      <w:sz w:val="28"/>
      <w:lang w:val="en-US" w:eastAsia="zh-CN" w:bidi="ar-SA"/>
    </w:rPr>
  </w:style>
  <w:style w:type="paragraph" w:customStyle="1" w:styleId="249">
    <w:name w:val="Char Char Char Char1"/>
    <w:basedOn w:val="1"/>
    <w:qFormat/>
    <w:uiPriority w:val="0"/>
    <w:rPr>
      <w:sz w:val="24"/>
    </w:rPr>
  </w:style>
  <w:style w:type="paragraph" w:customStyle="1" w:styleId="250">
    <w:name w:val="表内容"/>
    <w:basedOn w:val="1"/>
    <w:next w:val="1"/>
    <w:qFormat/>
    <w:uiPriority w:val="0"/>
    <w:pPr>
      <w:spacing w:line="320" w:lineRule="exact"/>
      <w:jc w:val="center"/>
    </w:pPr>
    <w:rPr>
      <w:szCs w:val="20"/>
    </w:rPr>
  </w:style>
  <w:style w:type="paragraph" w:customStyle="1" w:styleId="251">
    <w:name w:val="Char1"/>
    <w:basedOn w:val="1"/>
    <w:qFormat/>
    <w:uiPriority w:val="0"/>
    <w:rPr>
      <w:rFonts w:ascii="宋体" w:hAnsi="宋体" w:eastAsia="Times New Roman" w:cs="宋体"/>
      <w:bCs/>
      <w:sz w:val="18"/>
      <w:szCs w:val="18"/>
    </w:rPr>
  </w:style>
  <w:style w:type="paragraph" w:customStyle="1" w:styleId="252">
    <w:name w:val="正文 03"/>
    <w:basedOn w:val="1"/>
    <w:qFormat/>
    <w:uiPriority w:val="0"/>
    <w:pPr>
      <w:autoSpaceDE w:val="0"/>
      <w:autoSpaceDN w:val="0"/>
      <w:adjustRightInd w:val="0"/>
      <w:textAlignment w:val="baseline"/>
    </w:pPr>
    <w:rPr>
      <w:rFonts w:eastAsia="楷体_GB2312"/>
      <w:kern w:val="0"/>
      <w:sz w:val="24"/>
      <w:szCs w:val="20"/>
    </w:rPr>
  </w:style>
  <w:style w:type="paragraph" w:customStyle="1" w:styleId="253">
    <w:name w:val="表格文字2"/>
    <w:basedOn w:val="21"/>
    <w:qFormat/>
    <w:uiPriority w:val="0"/>
    <w:pPr>
      <w:adjustRightInd w:val="0"/>
      <w:spacing w:before="60"/>
      <w:jc w:val="center"/>
      <w:textAlignment w:val="baseline"/>
    </w:pPr>
    <w:rPr>
      <w:rFonts w:hAnsi="Times New Roman" w:cs="Times New Roman"/>
      <w:kern w:val="0"/>
      <w:sz w:val="24"/>
      <w:szCs w:val="20"/>
    </w:rPr>
  </w:style>
  <w:style w:type="paragraph" w:customStyle="1" w:styleId="254">
    <w:name w:val="Char Char1 Char"/>
    <w:basedOn w:val="1"/>
    <w:qFormat/>
    <w:uiPriority w:val="0"/>
    <w:pPr>
      <w:adjustRightInd w:val="0"/>
      <w:spacing w:line="360" w:lineRule="auto"/>
    </w:pPr>
    <w:rPr>
      <w:kern w:val="0"/>
      <w:sz w:val="24"/>
      <w:szCs w:val="20"/>
    </w:rPr>
  </w:style>
  <w:style w:type="paragraph" w:customStyle="1" w:styleId="255">
    <w:name w:val="1正文"/>
    <w:basedOn w:val="1"/>
    <w:qFormat/>
    <w:uiPriority w:val="0"/>
    <w:pPr>
      <w:widowControl/>
      <w:spacing w:line="360" w:lineRule="auto"/>
      <w:ind w:firstLine="200" w:firstLineChars="200"/>
    </w:pPr>
    <w:rPr>
      <w:kern w:val="0"/>
      <w:sz w:val="24"/>
      <w:szCs w:val="20"/>
      <w:lang w:val="en-GB"/>
    </w:rPr>
  </w:style>
  <w:style w:type="paragraph" w:customStyle="1" w:styleId="256">
    <w:name w:val="标题 21"/>
    <w:basedOn w:val="1"/>
    <w:qFormat/>
    <w:uiPriority w:val="0"/>
    <w:pPr>
      <w:spacing w:before="26"/>
      <w:ind w:left="721"/>
      <w:jc w:val="left"/>
      <w:outlineLvl w:val="2"/>
    </w:pPr>
    <w:rPr>
      <w:rFonts w:ascii="宋体" w:hAnsi="宋体"/>
      <w:b/>
      <w:bCs/>
      <w:kern w:val="0"/>
      <w:sz w:val="24"/>
      <w:lang w:eastAsia="en-US"/>
    </w:rPr>
  </w:style>
  <w:style w:type="paragraph" w:customStyle="1" w:styleId="257">
    <w:name w:val="我的表格"/>
    <w:qFormat/>
    <w:uiPriority w:val="0"/>
    <w:pPr>
      <w:adjustRightInd w:val="0"/>
      <w:snapToGrid w:val="0"/>
      <w:spacing w:line="300" w:lineRule="exact"/>
      <w:jc w:val="center"/>
    </w:pPr>
    <w:rPr>
      <w:rFonts w:ascii="Times New Roman" w:hAnsi="Times New Roman" w:eastAsia="宋体" w:cs="Times New Roman"/>
      <w:spacing w:val="4"/>
      <w:sz w:val="21"/>
      <w:szCs w:val="24"/>
      <w:lang w:val="en-US" w:eastAsia="zh-CN" w:bidi="ar-SA"/>
    </w:rPr>
  </w:style>
  <w:style w:type="character" w:customStyle="1" w:styleId="258">
    <w:name w:val="表格内容 Char1"/>
    <w:link w:val="98"/>
    <w:qFormat/>
    <w:uiPriority w:val="0"/>
    <w:rPr>
      <w:b/>
      <w:kern w:val="2"/>
      <w:sz w:val="21"/>
    </w:rPr>
  </w:style>
  <w:style w:type="paragraph" w:customStyle="1" w:styleId="259">
    <w:name w:val="Char Char Char Char Char Char Char Char Char Char Char Char Char Char Char Char Char Char Char Char Char Char Char Char Char"/>
    <w:basedOn w:val="1"/>
    <w:qFormat/>
    <w:uiPriority w:val="0"/>
  </w:style>
  <w:style w:type="paragraph" w:customStyle="1" w:styleId="260">
    <w:name w:val="xl34"/>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261">
    <w:name w:val="WPS Plain"/>
    <w:qFormat/>
    <w:uiPriority w:val="0"/>
    <w:rPr>
      <w:rFonts w:ascii="Times New Roman" w:hAnsi="Times New Roman" w:eastAsia="宋体" w:cs="Times New Roman"/>
      <w:sz w:val="24"/>
      <w:szCs w:val="24"/>
      <w:lang w:val="en-US" w:eastAsia="zh-CN" w:bidi="ar-SA"/>
    </w:rPr>
  </w:style>
  <w:style w:type="paragraph" w:customStyle="1" w:styleId="262">
    <w:name w:val="æ­￡æ–‡ç¼©è¿›"/>
    <w:basedOn w:val="1"/>
    <w:unhideWhenUsed/>
    <w:qFormat/>
    <w:uiPriority w:val="0"/>
    <w:pPr>
      <w:spacing w:line="440" w:lineRule="exact"/>
      <w:ind w:firstLine="420"/>
    </w:pPr>
    <w:rPr>
      <w:rFonts w:hint="eastAsia"/>
      <w:sz w:val="24"/>
    </w:rPr>
  </w:style>
  <w:style w:type="character" w:customStyle="1" w:styleId="263">
    <w:name w:val="样式1 Char Char"/>
    <w:qFormat/>
    <w:uiPriority w:val="0"/>
    <w:rPr>
      <w:rFonts w:ascii="宋体" w:eastAsia="宋体"/>
      <w:kern w:val="2"/>
      <w:sz w:val="21"/>
      <w:lang w:val="en-US" w:eastAsia="zh-CN" w:bidi="ar-SA"/>
    </w:rPr>
  </w:style>
  <w:style w:type="paragraph" w:customStyle="1" w:styleId="264">
    <w:name w:val="正文首行缩进＋湿地"/>
    <w:basedOn w:val="1"/>
    <w:qFormat/>
    <w:uiPriority w:val="0"/>
    <w:pPr>
      <w:spacing w:line="440" w:lineRule="exact"/>
      <w:ind w:firstLine="540" w:firstLineChars="225"/>
    </w:pPr>
    <w:rPr>
      <w:rFonts w:ascii="仿宋_GB2312" w:hAnsi="宋体" w:eastAsia="仿宋_GB2312"/>
      <w:kern w:val="0"/>
      <w:sz w:val="28"/>
      <w:szCs w:val="20"/>
    </w:rPr>
  </w:style>
  <w:style w:type="paragraph" w:customStyle="1" w:styleId="265">
    <w:name w:val="纯文本2"/>
    <w:basedOn w:val="1"/>
    <w:qFormat/>
    <w:uiPriority w:val="0"/>
    <w:rPr>
      <w:rFonts w:hint="eastAsia" w:ascii="宋体" w:hAnsi="Courier New"/>
    </w:rPr>
  </w:style>
  <w:style w:type="paragraph" w:customStyle="1" w:styleId="266">
    <w:name w:val="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67">
    <w:name w:val="表文字"/>
    <w:basedOn w:val="1"/>
    <w:qFormat/>
    <w:uiPriority w:val="0"/>
    <w:pPr>
      <w:overflowPunct w:val="0"/>
      <w:autoSpaceDE w:val="0"/>
      <w:autoSpaceDN w:val="0"/>
      <w:adjustRightInd w:val="0"/>
      <w:spacing w:line="240" w:lineRule="atLeast"/>
      <w:jc w:val="center"/>
      <w:textAlignment w:val="baseline"/>
    </w:pPr>
    <w:rPr>
      <w:kern w:val="0"/>
      <w:sz w:val="24"/>
      <w:szCs w:val="20"/>
    </w:rPr>
  </w:style>
  <w:style w:type="paragraph" w:customStyle="1" w:styleId="268">
    <w:name w:val="样式35"/>
    <w:basedOn w:val="1"/>
    <w:qFormat/>
    <w:uiPriority w:val="0"/>
    <w:pPr>
      <w:adjustRightInd w:val="0"/>
      <w:spacing w:line="312" w:lineRule="auto"/>
      <w:ind w:firstLine="567"/>
    </w:pPr>
    <w:rPr>
      <w:rFonts w:ascii="宋体"/>
      <w:kern w:val="0"/>
      <w:sz w:val="28"/>
      <w:szCs w:val="20"/>
    </w:rPr>
  </w:style>
  <w:style w:type="paragraph" w:customStyle="1" w:styleId="269">
    <w:name w:val="CM11"/>
    <w:basedOn w:val="49"/>
    <w:next w:val="49"/>
    <w:unhideWhenUsed/>
    <w:qFormat/>
    <w:uiPriority w:val="0"/>
    <w:pPr>
      <w:spacing w:line="460" w:lineRule="atLeast"/>
      <w:jc w:val="left"/>
    </w:pPr>
    <w:rPr>
      <w:rFonts w:hint="eastAsia" w:ascii="黑体" w:hAnsi="Times New Roman" w:eastAsia="黑体" w:cs="Times New Roman"/>
      <w:kern w:val="0"/>
      <w:sz w:val="20"/>
      <w:szCs w:val="20"/>
    </w:rPr>
  </w:style>
  <w:style w:type="paragraph" w:customStyle="1" w:styleId="270">
    <w:name w:val="表体"/>
    <w:link w:val="271"/>
    <w:qFormat/>
    <w:uiPriority w:val="0"/>
    <w:pPr>
      <w:jc w:val="center"/>
    </w:pPr>
    <w:rPr>
      <w:rFonts w:ascii="宋体" w:hAnsi="Times New Roman" w:eastAsia="宋体" w:cs="Times New Roman"/>
      <w:color w:val="000080"/>
      <w:kern w:val="2"/>
      <w:sz w:val="21"/>
      <w:szCs w:val="24"/>
      <w:lang w:val="en-US" w:eastAsia="zh-CN" w:bidi="ar-SA"/>
    </w:rPr>
  </w:style>
  <w:style w:type="character" w:customStyle="1" w:styleId="271">
    <w:name w:val="表体 Char"/>
    <w:link w:val="270"/>
    <w:qFormat/>
    <w:uiPriority w:val="0"/>
    <w:rPr>
      <w:rFonts w:ascii="宋体"/>
      <w:color w:val="000080"/>
      <w:kern w:val="2"/>
      <w:sz w:val="21"/>
      <w:szCs w:val="24"/>
    </w:rPr>
  </w:style>
  <w:style w:type="character" w:customStyle="1" w:styleId="272">
    <w:name w:val="正文（海红） Char"/>
    <w:link w:val="273"/>
    <w:qFormat/>
    <w:uiPriority w:val="0"/>
    <w:rPr>
      <w:kern w:val="2"/>
      <w:sz w:val="24"/>
      <w:szCs w:val="24"/>
    </w:rPr>
  </w:style>
  <w:style w:type="paragraph" w:customStyle="1" w:styleId="273">
    <w:name w:val="正文（海红）"/>
    <w:basedOn w:val="1"/>
    <w:link w:val="272"/>
    <w:qFormat/>
    <w:uiPriority w:val="0"/>
    <w:pPr>
      <w:spacing w:line="500" w:lineRule="exact"/>
      <w:ind w:firstLine="200" w:firstLineChars="200"/>
    </w:pPr>
    <w:rPr>
      <w:sz w:val="24"/>
    </w:rPr>
  </w:style>
  <w:style w:type="paragraph" w:customStyle="1" w:styleId="274">
    <w:name w:val="reader-word-layer reader-word-s6-7"/>
    <w:basedOn w:val="1"/>
    <w:qFormat/>
    <w:uiPriority w:val="0"/>
    <w:pPr>
      <w:widowControl/>
      <w:spacing w:before="100" w:beforeAutospacing="1" w:after="100" w:afterAutospacing="1"/>
      <w:jc w:val="left"/>
    </w:pPr>
    <w:rPr>
      <w:rFonts w:ascii="宋体" w:hAnsi="宋体" w:cs="宋体"/>
      <w:kern w:val="0"/>
      <w:sz w:val="24"/>
    </w:rPr>
  </w:style>
  <w:style w:type="character" w:customStyle="1" w:styleId="275">
    <w:name w:val="正文首行缩进 Char"/>
    <w:link w:val="137"/>
    <w:qFormat/>
    <w:locked/>
    <w:uiPriority w:val="0"/>
    <w:rPr>
      <w:sz w:val="21"/>
    </w:rPr>
  </w:style>
  <w:style w:type="character" w:customStyle="1" w:styleId="276">
    <w:name w:val="description"/>
    <w:basedOn w:val="41"/>
    <w:qFormat/>
    <w:uiPriority w:val="0"/>
  </w:style>
  <w:style w:type="paragraph" w:customStyle="1" w:styleId="277">
    <w:name w:val="报告正文"/>
    <w:basedOn w:val="1"/>
    <w:qFormat/>
    <w:uiPriority w:val="0"/>
    <w:pPr>
      <w:spacing w:line="360" w:lineRule="auto"/>
      <w:ind w:firstLine="200" w:firstLineChars="200"/>
      <w:jc w:val="left"/>
    </w:pPr>
    <w:rPr>
      <w:sz w:val="24"/>
    </w:rPr>
  </w:style>
  <w:style w:type="paragraph" w:customStyle="1" w:styleId="278">
    <w:name w:val="表格内文字"/>
    <w:basedOn w:val="1"/>
    <w:qFormat/>
    <w:uiPriority w:val="0"/>
    <w:pPr>
      <w:adjustRightInd w:val="0"/>
      <w:snapToGrid w:val="0"/>
      <w:jc w:val="center"/>
    </w:pPr>
    <w:rPr>
      <w:rFonts w:eastAsia="仿宋_GB2312"/>
      <w:sz w:val="24"/>
    </w:rPr>
  </w:style>
  <w:style w:type="character" w:customStyle="1" w:styleId="279">
    <w:name w:val="15"/>
    <w:qFormat/>
    <w:uiPriority w:val="0"/>
    <w:rPr>
      <w:rFonts w:hint="default" w:ascii="Tahoma" w:hAnsi="Tahoma" w:cs="Tahoma"/>
      <w:sz w:val="21"/>
      <w:szCs w:val="21"/>
    </w:rPr>
  </w:style>
  <w:style w:type="character" w:customStyle="1" w:styleId="280">
    <w:name w:val="预案正文 Char"/>
    <w:link w:val="281"/>
    <w:qFormat/>
    <w:uiPriority w:val="0"/>
    <w:rPr>
      <w:sz w:val="24"/>
    </w:rPr>
  </w:style>
  <w:style w:type="paragraph" w:customStyle="1" w:styleId="281">
    <w:name w:val="预案正文"/>
    <w:basedOn w:val="1"/>
    <w:link w:val="280"/>
    <w:qFormat/>
    <w:uiPriority w:val="0"/>
    <w:pPr>
      <w:spacing w:line="360" w:lineRule="auto"/>
      <w:ind w:firstLine="200" w:firstLineChars="200"/>
    </w:pPr>
    <w:rPr>
      <w:kern w:val="0"/>
      <w:sz w:val="24"/>
      <w:szCs w:val="20"/>
    </w:rPr>
  </w:style>
  <w:style w:type="paragraph" w:customStyle="1" w:styleId="282">
    <w:name w:val="正文01"/>
    <w:basedOn w:val="1"/>
    <w:qFormat/>
    <w:uiPriority w:val="0"/>
    <w:pPr>
      <w:spacing w:before="60" w:line="460" w:lineRule="exact"/>
      <w:ind w:firstLine="200" w:firstLineChars="200"/>
    </w:pPr>
    <w:rPr>
      <w:sz w:val="24"/>
      <w:szCs w:val="20"/>
    </w:rPr>
  </w:style>
  <w:style w:type="paragraph" w:customStyle="1" w:styleId="283">
    <w:name w:val="默认段落字体 Para Char Char Char Char Char Char Char Char Char Char Char Char Char1 Char"/>
    <w:basedOn w:val="11"/>
    <w:qFormat/>
    <w:uiPriority w:val="0"/>
    <w:pPr>
      <w:shd w:val="clear" w:color="auto" w:fill="000080"/>
    </w:pPr>
    <w:rPr>
      <w:rFonts w:ascii="Tahoma" w:hAnsi="Tahoma"/>
      <w:sz w:val="24"/>
      <w:szCs w:val="24"/>
    </w:rPr>
  </w:style>
  <w:style w:type="paragraph" w:customStyle="1" w:styleId="284">
    <w:name w:val="报告表正文"/>
    <w:basedOn w:val="1"/>
    <w:qFormat/>
    <w:uiPriority w:val="0"/>
    <w:pPr>
      <w:adjustRightInd w:val="0"/>
      <w:spacing w:line="312" w:lineRule="auto"/>
      <w:ind w:left="113" w:right="113" w:firstLine="482"/>
      <w:jc w:val="left"/>
    </w:pPr>
    <w:rPr>
      <w:kern w:val="0"/>
      <w:sz w:val="24"/>
      <w:szCs w:val="20"/>
    </w:rPr>
  </w:style>
  <w:style w:type="paragraph" w:customStyle="1" w:styleId="285">
    <w:name w:val="标号正文"/>
    <w:basedOn w:val="1"/>
    <w:next w:val="1"/>
    <w:qFormat/>
    <w:uiPriority w:val="0"/>
    <w:pPr>
      <w:tabs>
        <w:tab w:val="left" w:pos="1540"/>
      </w:tabs>
      <w:overflowPunct w:val="0"/>
      <w:snapToGrid w:val="0"/>
      <w:spacing w:line="360" w:lineRule="auto"/>
      <w:ind w:firstLine="1040"/>
      <w:jc w:val="left"/>
    </w:pPr>
    <w:rPr>
      <w:rFonts w:ascii="Arial" w:hAnsi="Arial" w:cs="黑体"/>
      <w:sz w:val="24"/>
      <w:szCs w:val="20"/>
    </w:rPr>
  </w:style>
  <w:style w:type="paragraph" w:customStyle="1" w:styleId="286">
    <w:name w:val="Char Char Char Char Char Char Char Char Char Char1 Char Char Char Char Char"/>
    <w:basedOn w:val="1"/>
    <w:next w:val="1"/>
    <w:qFormat/>
    <w:uiPriority w:val="0"/>
    <w:pPr>
      <w:keepNext/>
      <w:keepLines/>
      <w:widowControl/>
      <w:adjustRightInd w:val="0"/>
      <w:spacing w:before="40" w:after="40" w:line="360" w:lineRule="auto"/>
      <w:ind w:firstLine="200" w:firstLineChars="200"/>
      <w:textAlignment w:val="baseline"/>
    </w:pPr>
    <w:rPr>
      <w:rFonts w:cs="宋体"/>
      <w:kern w:val="0"/>
      <w:sz w:val="24"/>
      <w:szCs w:val="28"/>
    </w:rPr>
  </w:style>
  <w:style w:type="character" w:customStyle="1" w:styleId="287">
    <w:name w:val="标题 3 Char Char Char Char Char3"/>
    <w:qFormat/>
    <w:uiPriority w:val="0"/>
    <w:rPr>
      <w:rFonts w:eastAsia="宋体"/>
      <w:b/>
      <w:bCs/>
      <w:kern w:val="2"/>
      <w:sz w:val="32"/>
      <w:szCs w:val="32"/>
      <w:lang w:val="en-US" w:eastAsia="zh-CN" w:bidi="ar-SA"/>
    </w:rPr>
  </w:style>
  <w:style w:type="paragraph" w:customStyle="1" w:styleId="288">
    <w:name w:val="Char2"/>
    <w:basedOn w:val="1"/>
    <w:semiHidden/>
    <w:qFormat/>
    <w:uiPriority w:val="0"/>
    <w:pPr>
      <w:ind w:firstLine="200" w:firstLineChars="200"/>
    </w:pPr>
    <w:rPr>
      <w:rFonts w:ascii="宋体" w:hAnsi="宋体" w:cs="宋体"/>
    </w:rPr>
  </w:style>
  <w:style w:type="character" w:customStyle="1" w:styleId="289">
    <w:name w:val="正文(首行缩进) Char"/>
    <w:qFormat/>
    <w:uiPriority w:val="0"/>
    <w:rPr>
      <w:snapToGrid w:val="0"/>
      <w:sz w:val="24"/>
      <w:szCs w:val="24"/>
    </w:rPr>
  </w:style>
  <w:style w:type="character" w:customStyle="1" w:styleId="290">
    <w:name w:val="样式1 Char"/>
    <w:qFormat/>
    <w:uiPriority w:val="0"/>
    <w:rPr>
      <w:color w:val="000000"/>
      <w:kern w:val="2"/>
      <w:sz w:val="24"/>
      <w:szCs w:val="24"/>
    </w:rPr>
  </w:style>
  <w:style w:type="character" w:customStyle="1" w:styleId="291">
    <w:name w:val="文本 Char"/>
    <w:link w:val="50"/>
    <w:qFormat/>
    <w:uiPriority w:val="0"/>
    <w:rPr>
      <w:kern w:val="2"/>
      <w:sz w:val="24"/>
      <w:szCs w:val="24"/>
    </w:rPr>
  </w:style>
  <w:style w:type="character" w:customStyle="1" w:styleId="292">
    <w:name w:val="正文文本 + Trebuchet MS"/>
    <w:unhideWhenUsed/>
    <w:qFormat/>
    <w:uiPriority w:val="0"/>
    <w:rPr>
      <w:rFonts w:hint="default" w:ascii="Trebuchet MS" w:hAnsi="Trebuchet MS" w:eastAsia="Trebuchet MS"/>
      <w:spacing w:val="10"/>
      <w:sz w:val="19"/>
      <w:lang w:val="en-US" w:eastAsia="en-US" w:bidi="ar-SA"/>
    </w:rPr>
  </w:style>
  <w:style w:type="character" w:customStyle="1" w:styleId="293">
    <w:name w:val="正文缩进1 Char"/>
    <w:qFormat/>
    <w:uiPriority w:val="0"/>
    <w:rPr>
      <w:rFonts w:eastAsia="宋体"/>
      <w:kern w:val="2"/>
      <w:sz w:val="21"/>
      <w:lang w:val="en-US" w:eastAsia="zh-CN" w:bidi="ar-SA"/>
    </w:rPr>
  </w:style>
  <w:style w:type="character" w:customStyle="1" w:styleId="294">
    <w:name w:val="可研正文 Char"/>
    <w:qFormat/>
    <w:uiPriority w:val="0"/>
    <w:rPr>
      <w:rFonts w:ascii="宋体" w:hAnsi="宋体" w:cs="宋体"/>
      <w:kern w:val="2"/>
      <w:sz w:val="28"/>
      <w:szCs w:val="28"/>
    </w:rPr>
  </w:style>
  <w:style w:type="character" w:customStyle="1" w:styleId="295">
    <w:name w:val="样式2 Char Char Char"/>
    <w:qFormat/>
    <w:uiPriority w:val="0"/>
    <w:rPr>
      <w:rFonts w:eastAsia="宋体"/>
      <w:kern w:val="2"/>
      <w:sz w:val="24"/>
      <w:szCs w:val="24"/>
      <w:lang w:val="en-US" w:eastAsia="zh-CN" w:bidi="ar-SA"/>
    </w:rPr>
  </w:style>
  <w:style w:type="character" w:customStyle="1" w:styleId="296">
    <w:name w:val="正文文本 + 间距 5 pt"/>
    <w:unhideWhenUsed/>
    <w:qFormat/>
    <w:uiPriority w:val="0"/>
    <w:rPr>
      <w:rFonts w:hint="eastAsia" w:ascii="宋体" w:hAnsi="宋体" w:eastAsia="宋体"/>
      <w:spacing w:val="100"/>
      <w:sz w:val="22"/>
      <w:lang w:bidi="ar-SA"/>
    </w:rPr>
  </w:style>
  <w:style w:type="character" w:customStyle="1" w:styleId="297">
    <w:name w:val="newscontent1"/>
    <w:qFormat/>
    <w:uiPriority w:val="0"/>
    <w:rPr>
      <w:color w:val="000000"/>
      <w:spacing w:val="15"/>
      <w:sz w:val="21"/>
      <w:szCs w:val="21"/>
      <w:u w:val="none"/>
    </w:rPr>
  </w:style>
  <w:style w:type="character" w:customStyle="1" w:styleId="298">
    <w:name w:val="正文文本_"/>
    <w:link w:val="299"/>
    <w:unhideWhenUsed/>
    <w:qFormat/>
    <w:uiPriority w:val="0"/>
    <w:rPr>
      <w:rFonts w:ascii="宋体" w:hAnsi="宋体"/>
      <w:spacing w:val="20"/>
      <w:sz w:val="22"/>
      <w:shd w:val="clear" w:color="auto" w:fill="FFFFFF"/>
    </w:rPr>
  </w:style>
  <w:style w:type="paragraph" w:customStyle="1" w:styleId="299">
    <w:name w:val="正文文本1"/>
    <w:basedOn w:val="1"/>
    <w:link w:val="298"/>
    <w:unhideWhenUsed/>
    <w:qFormat/>
    <w:uiPriority w:val="0"/>
    <w:pPr>
      <w:shd w:val="clear" w:color="auto" w:fill="FFFFFF"/>
      <w:spacing w:line="488" w:lineRule="exact"/>
      <w:ind w:firstLine="560"/>
      <w:jc w:val="distribute"/>
    </w:pPr>
    <w:rPr>
      <w:rFonts w:ascii="宋体" w:hAnsi="宋体"/>
      <w:spacing w:val="20"/>
      <w:kern w:val="0"/>
      <w:sz w:val="22"/>
      <w:szCs w:val="20"/>
    </w:rPr>
  </w:style>
  <w:style w:type="character" w:customStyle="1" w:styleId="300">
    <w:name w:val="正文－1.5行距－段后6磅 Char"/>
    <w:link w:val="301"/>
    <w:qFormat/>
    <w:uiPriority w:val="0"/>
    <w:rPr>
      <w:rFonts w:ascii="Calibri" w:hAnsi="Calibri"/>
      <w:kern w:val="2"/>
      <w:sz w:val="24"/>
      <w:szCs w:val="21"/>
    </w:rPr>
  </w:style>
  <w:style w:type="paragraph" w:customStyle="1" w:styleId="301">
    <w:name w:val="正文－1.5行距－段后6磅"/>
    <w:basedOn w:val="1"/>
    <w:link w:val="300"/>
    <w:qFormat/>
    <w:uiPriority w:val="0"/>
    <w:pPr>
      <w:spacing w:after="120" w:line="360" w:lineRule="auto"/>
      <w:ind w:firstLine="200" w:firstLineChars="200"/>
    </w:pPr>
    <w:rPr>
      <w:rFonts w:ascii="Calibri" w:hAnsi="Calibri"/>
      <w:sz w:val="24"/>
      <w:szCs w:val="21"/>
    </w:rPr>
  </w:style>
  <w:style w:type="character" w:customStyle="1" w:styleId="302">
    <w:name w:val="HTML 预设格式 字符"/>
    <w:link w:val="34"/>
    <w:qFormat/>
    <w:uiPriority w:val="0"/>
    <w:rPr>
      <w:rFonts w:ascii="Arial" w:hAnsi="Arial" w:eastAsia="Times New Roman"/>
      <w:sz w:val="21"/>
      <w:szCs w:val="21"/>
    </w:rPr>
  </w:style>
  <w:style w:type="character" w:customStyle="1" w:styleId="303">
    <w:name w:val="HTML 预设格式 Char1"/>
    <w:qFormat/>
    <w:uiPriority w:val="0"/>
    <w:rPr>
      <w:rFonts w:ascii="Courier New" w:hAnsi="Courier New" w:cs="Courier New"/>
      <w:kern w:val="2"/>
    </w:rPr>
  </w:style>
  <w:style w:type="character" w:customStyle="1" w:styleId="304">
    <w:name w:val="样式2 Char Char"/>
    <w:link w:val="305"/>
    <w:qFormat/>
    <w:uiPriority w:val="0"/>
    <w:rPr>
      <w:kern w:val="2"/>
      <w:sz w:val="24"/>
      <w:szCs w:val="24"/>
    </w:rPr>
  </w:style>
  <w:style w:type="paragraph" w:customStyle="1" w:styleId="305">
    <w:name w:val="样式2 Char"/>
    <w:basedOn w:val="1"/>
    <w:link w:val="304"/>
    <w:qFormat/>
    <w:uiPriority w:val="0"/>
    <w:pPr>
      <w:spacing w:line="360" w:lineRule="auto"/>
      <w:ind w:firstLine="480"/>
    </w:pPr>
    <w:rPr>
      <w:sz w:val="24"/>
    </w:rPr>
  </w:style>
  <w:style w:type="character" w:customStyle="1" w:styleId="306">
    <w:name w:val="表格 Char1"/>
    <w:qFormat/>
    <w:uiPriority w:val="0"/>
    <w:rPr>
      <w:rFonts w:eastAsia="宋体"/>
      <w:kern w:val="2"/>
      <w:sz w:val="24"/>
      <w:szCs w:val="24"/>
      <w:lang w:val="en-US" w:eastAsia="zh-CN" w:bidi="ar-SA"/>
    </w:rPr>
  </w:style>
  <w:style w:type="character" w:customStyle="1" w:styleId="307">
    <w:name w:val="煤矸石 Char"/>
    <w:link w:val="308"/>
    <w:qFormat/>
    <w:locked/>
    <w:uiPriority w:val="0"/>
    <w:rPr>
      <w:rFonts w:ascii="仿宋_GB2312" w:eastAsia="仿宋_GB2312"/>
      <w:color w:val="000000"/>
      <w:kern w:val="2"/>
      <w:sz w:val="24"/>
    </w:rPr>
  </w:style>
  <w:style w:type="paragraph" w:customStyle="1" w:styleId="308">
    <w:name w:val="煤矸石"/>
    <w:basedOn w:val="9"/>
    <w:link w:val="307"/>
    <w:qFormat/>
    <w:uiPriority w:val="0"/>
    <w:pPr>
      <w:spacing w:line="520" w:lineRule="exact"/>
      <w:ind w:firstLine="480"/>
    </w:pPr>
    <w:rPr>
      <w:rFonts w:ascii="仿宋_GB2312" w:eastAsia="仿宋_GB2312"/>
      <w:color w:val="000000"/>
      <w:sz w:val="24"/>
      <w:szCs w:val="20"/>
    </w:rPr>
  </w:style>
  <w:style w:type="character" w:customStyle="1" w:styleId="309">
    <w:name w:val="正文2 Char"/>
    <w:qFormat/>
    <w:uiPriority w:val="0"/>
    <w:rPr>
      <w:rFonts w:eastAsia="宋体"/>
      <w:kern w:val="2"/>
      <w:sz w:val="21"/>
      <w:lang w:val="en-US" w:eastAsia="zh-CN" w:bidi="ar-SA"/>
    </w:rPr>
  </w:style>
  <w:style w:type="character" w:customStyle="1" w:styleId="310">
    <w:name w:val="正文文本 (2)_"/>
    <w:link w:val="311"/>
    <w:unhideWhenUsed/>
    <w:qFormat/>
    <w:uiPriority w:val="0"/>
    <w:rPr>
      <w:rFonts w:ascii="Trebuchet MS" w:hAnsi="Trebuchet MS" w:eastAsia="Trebuchet MS"/>
      <w:spacing w:val="20"/>
      <w:sz w:val="19"/>
      <w:shd w:val="clear" w:color="auto" w:fill="FFFFFF"/>
      <w:lang w:eastAsia="en-US"/>
    </w:rPr>
  </w:style>
  <w:style w:type="paragraph" w:customStyle="1" w:styleId="311">
    <w:name w:val="正文文本 (2)"/>
    <w:basedOn w:val="1"/>
    <w:link w:val="310"/>
    <w:unhideWhenUsed/>
    <w:qFormat/>
    <w:uiPriority w:val="0"/>
    <w:pPr>
      <w:shd w:val="clear" w:color="auto" w:fill="FFFFFF"/>
      <w:spacing w:line="488" w:lineRule="exact"/>
      <w:ind w:firstLine="540"/>
    </w:pPr>
    <w:rPr>
      <w:rFonts w:ascii="Trebuchet MS" w:hAnsi="Trebuchet MS" w:eastAsia="Trebuchet MS"/>
      <w:spacing w:val="20"/>
      <w:kern w:val="0"/>
      <w:sz w:val="19"/>
      <w:szCs w:val="20"/>
      <w:lang w:eastAsia="en-US"/>
    </w:rPr>
  </w:style>
  <w:style w:type="character" w:customStyle="1" w:styleId="312">
    <w:name w:val="可研正文 Char Char"/>
    <w:link w:val="313"/>
    <w:qFormat/>
    <w:uiPriority w:val="0"/>
    <w:rPr>
      <w:rFonts w:ascii="宋体" w:hAnsi="宋体"/>
      <w:kern w:val="2"/>
      <w:sz w:val="28"/>
    </w:rPr>
  </w:style>
  <w:style w:type="paragraph" w:customStyle="1" w:styleId="313">
    <w:name w:val="可研正文"/>
    <w:basedOn w:val="1"/>
    <w:link w:val="312"/>
    <w:qFormat/>
    <w:uiPriority w:val="0"/>
    <w:pPr>
      <w:spacing w:line="500" w:lineRule="exact"/>
      <w:ind w:firstLine="560" w:firstLineChars="200"/>
    </w:pPr>
    <w:rPr>
      <w:rFonts w:ascii="宋体" w:hAnsi="宋体"/>
      <w:sz w:val="28"/>
      <w:szCs w:val="20"/>
    </w:rPr>
  </w:style>
  <w:style w:type="character" w:customStyle="1" w:styleId="314">
    <w:name w:val="lemmatitleh1"/>
    <w:qFormat/>
    <w:uiPriority w:val="0"/>
    <w:rPr>
      <w:rFonts w:ascii="宋体" w:hAnsi="宋体" w:eastAsia="汉鼎简书宋" w:cs="宋体"/>
      <w:sz w:val="24"/>
    </w:rPr>
  </w:style>
  <w:style w:type="character" w:customStyle="1" w:styleId="315">
    <w:name w:val="正文文本 (2) + 间距 1 pt"/>
    <w:unhideWhenUsed/>
    <w:qFormat/>
    <w:uiPriority w:val="0"/>
    <w:rPr>
      <w:rFonts w:hint="default" w:ascii="Trebuchet MS" w:hAnsi="Trebuchet MS" w:eastAsia="Trebuchet MS"/>
      <w:spacing w:val="30"/>
      <w:sz w:val="19"/>
      <w:lang w:val="en-US" w:eastAsia="en-US" w:bidi="ar-SA"/>
    </w:rPr>
  </w:style>
  <w:style w:type="character" w:customStyle="1" w:styleId="316">
    <w:name w:val="正文文本 (2) + SimSun"/>
    <w:unhideWhenUsed/>
    <w:qFormat/>
    <w:uiPriority w:val="0"/>
    <w:rPr>
      <w:rFonts w:hint="eastAsia" w:ascii="宋体" w:hAnsi="宋体" w:eastAsia="宋体"/>
      <w:spacing w:val="20"/>
      <w:sz w:val="22"/>
      <w:lang w:val="en-US" w:eastAsia="en-US" w:bidi="ar-SA"/>
    </w:rPr>
  </w:style>
  <w:style w:type="character" w:customStyle="1" w:styleId="317">
    <w:name w:val="style111"/>
    <w:qFormat/>
    <w:uiPriority w:val="0"/>
    <w:rPr>
      <w:sz w:val="21"/>
      <w:szCs w:val="21"/>
    </w:rPr>
  </w:style>
  <w:style w:type="paragraph" w:customStyle="1" w:styleId="318">
    <w:name w:val="Body Text Indent 31"/>
    <w:basedOn w:val="1"/>
    <w:qFormat/>
    <w:uiPriority w:val="0"/>
    <w:pPr>
      <w:adjustRightInd w:val="0"/>
      <w:spacing w:line="480" w:lineRule="atLeast"/>
      <w:ind w:firstLine="644"/>
      <w:textAlignment w:val="baseline"/>
    </w:pPr>
    <w:rPr>
      <w:rFonts w:eastAsia="仿宋_GB2312"/>
      <w:sz w:val="32"/>
      <w:szCs w:val="20"/>
    </w:rPr>
  </w:style>
  <w:style w:type="paragraph" w:customStyle="1" w:styleId="319">
    <w:name w:val="biao"/>
    <w:basedOn w:val="1"/>
    <w:qFormat/>
    <w:uiPriority w:val="0"/>
    <w:pPr>
      <w:keepNext/>
      <w:widowControl/>
      <w:overflowPunct w:val="0"/>
      <w:autoSpaceDE w:val="0"/>
      <w:autoSpaceDN w:val="0"/>
      <w:adjustRightInd w:val="0"/>
      <w:spacing w:before="120"/>
      <w:jc w:val="center"/>
      <w:textAlignment w:val="baseline"/>
    </w:pPr>
    <w:rPr>
      <w:rFonts w:ascii="楷体" w:eastAsia="楷体"/>
      <w:b/>
      <w:spacing w:val="-20"/>
      <w:kern w:val="28"/>
      <w:sz w:val="24"/>
      <w:szCs w:val="20"/>
    </w:rPr>
  </w:style>
  <w:style w:type="paragraph" w:customStyle="1" w:styleId="320">
    <w:name w:val="p17"/>
    <w:basedOn w:val="1"/>
    <w:qFormat/>
    <w:uiPriority w:val="0"/>
    <w:pPr>
      <w:widowControl/>
      <w:jc w:val="center"/>
    </w:pPr>
    <w:rPr>
      <w:kern w:val="0"/>
      <w:szCs w:val="21"/>
    </w:rPr>
  </w:style>
  <w:style w:type="paragraph" w:customStyle="1" w:styleId="321">
    <w:name w:val="p15"/>
    <w:basedOn w:val="1"/>
    <w:qFormat/>
    <w:uiPriority w:val="0"/>
    <w:pPr>
      <w:widowControl/>
      <w:jc w:val="left"/>
    </w:pPr>
    <w:rPr>
      <w:kern w:val="0"/>
      <w:sz w:val="20"/>
      <w:szCs w:val="20"/>
    </w:rPr>
  </w:style>
  <w:style w:type="paragraph" w:customStyle="1" w:styleId="322">
    <w:name w:val="二级标题"/>
    <w:basedOn w:val="1"/>
    <w:qFormat/>
    <w:uiPriority w:val="0"/>
    <w:pPr>
      <w:adjustRightInd w:val="0"/>
      <w:spacing w:before="120" w:after="120" w:line="400" w:lineRule="atLeast"/>
      <w:textAlignment w:val="baseline"/>
    </w:pPr>
    <w:rPr>
      <w:rFonts w:eastAsia="黑体"/>
      <w:kern w:val="0"/>
      <w:sz w:val="28"/>
      <w:szCs w:val="20"/>
    </w:rPr>
  </w:style>
  <w:style w:type="paragraph" w:customStyle="1" w:styleId="323">
    <w:name w:val="xl26"/>
    <w:basedOn w:val="1"/>
    <w:qFormat/>
    <w:uiPriority w:val="0"/>
    <w:pPr>
      <w:widowControl/>
      <w:spacing w:before="100" w:after="100"/>
      <w:jc w:val="center"/>
    </w:pPr>
    <w:rPr>
      <w:rFonts w:ascii="宋体"/>
      <w:kern w:val="0"/>
      <w:sz w:val="24"/>
      <w:szCs w:val="20"/>
    </w:rPr>
  </w:style>
  <w:style w:type="paragraph" w:customStyle="1" w:styleId="324">
    <w:name w:val="Heading4"/>
    <w:basedOn w:val="1"/>
    <w:next w:val="1"/>
    <w:qFormat/>
    <w:uiPriority w:val="0"/>
    <w:pPr>
      <w:widowControl/>
      <w:suppressLineNumbers/>
      <w:tabs>
        <w:tab w:val="left" w:pos="0"/>
        <w:tab w:val="left" w:pos="864"/>
      </w:tabs>
      <w:spacing w:before="280" w:after="290" w:line="376" w:lineRule="atLeast"/>
      <w:textAlignment w:val="baseline"/>
    </w:pPr>
    <w:rPr>
      <w:rFonts w:ascii="Arial" w:hAnsi="Arial" w:eastAsia="黑体"/>
      <w:b/>
      <w:spacing w:val="34"/>
      <w:szCs w:val="20"/>
    </w:rPr>
  </w:style>
  <w:style w:type="paragraph" w:customStyle="1" w:styleId="325">
    <w:name w:val="流程图"/>
    <w:basedOn w:val="1"/>
    <w:qFormat/>
    <w:uiPriority w:val="0"/>
    <w:pPr>
      <w:tabs>
        <w:tab w:val="left" w:pos="0"/>
      </w:tabs>
      <w:autoSpaceDE w:val="0"/>
      <w:autoSpaceDN w:val="0"/>
      <w:adjustRightInd w:val="0"/>
      <w:spacing w:line="240" w:lineRule="atLeast"/>
      <w:jc w:val="center"/>
      <w:textAlignment w:val="bottom"/>
    </w:pPr>
    <w:rPr>
      <w:rFonts w:ascii="宋体"/>
      <w:szCs w:val="20"/>
    </w:rPr>
  </w:style>
  <w:style w:type="paragraph" w:customStyle="1" w:styleId="326">
    <w:name w:val="1 Char"/>
    <w:basedOn w:val="1"/>
    <w:qFormat/>
    <w:uiPriority w:val="0"/>
    <w:rPr>
      <w:rFonts w:ascii="宋体" w:hAnsi="宋体"/>
      <w:sz w:val="24"/>
      <w:szCs w:val="20"/>
    </w:rPr>
  </w:style>
  <w:style w:type="paragraph" w:customStyle="1" w:styleId="327">
    <w:name w:val="2"/>
    <w:basedOn w:val="1"/>
    <w:qFormat/>
    <w:uiPriority w:val="0"/>
    <w:rPr>
      <w:sz w:val="24"/>
    </w:rPr>
  </w:style>
  <w:style w:type="paragraph" w:customStyle="1" w:styleId="328">
    <w:name w:val="pt10"/>
    <w:basedOn w:val="1"/>
    <w:qFormat/>
    <w:uiPriority w:val="0"/>
    <w:pPr>
      <w:widowControl/>
      <w:spacing w:line="300" w:lineRule="atLeast"/>
      <w:jc w:val="left"/>
    </w:pPr>
    <w:rPr>
      <w:rFonts w:ascii="宋体" w:hAnsi="宋体" w:cs="宋体"/>
      <w:color w:val="000000"/>
      <w:kern w:val="0"/>
      <w:szCs w:val="21"/>
    </w:rPr>
  </w:style>
  <w:style w:type="paragraph" w:customStyle="1" w:styleId="329">
    <w:name w:val="1 Char Char Char Char"/>
    <w:basedOn w:val="1"/>
    <w:qFormat/>
    <w:uiPriority w:val="0"/>
    <w:rPr>
      <w:szCs w:val="20"/>
    </w:rPr>
  </w:style>
  <w:style w:type="paragraph" w:customStyle="1" w:styleId="330">
    <w:name w:val="CC Char Char Char"/>
    <w:basedOn w:val="16"/>
    <w:next w:val="16"/>
    <w:qFormat/>
    <w:uiPriority w:val="0"/>
    <w:pPr>
      <w:widowControl/>
      <w:ind w:left="630" w:leftChars="100" w:right="100" w:rightChars="100" w:firstLine="200" w:firstLineChars="200"/>
    </w:pPr>
    <w:rPr>
      <w:rFonts w:ascii="宋体"/>
      <w:kern w:val="0"/>
      <w:sz w:val="28"/>
      <w:szCs w:val="28"/>
    </w:rPr>
  </w:style>
  <w:style w:type="paragraph" w:customStyle="1" w:styleId="331">
    <w:name w:val="公式"/>
    <w:basedOn w:val="1"/>
    <w:next w:val="1"/>
    <w:qFormat/>
    <w:uiPriority w:val="0"/>
    <w:pPr>
      <w:spacing w:before="120" w:after="120"/>
      <w:jc w:val="center"/>
    </w:pPr>
    <w:rPr>
      <w:rFonts w:eastAsia="华文仿宋"/>
      <w:snapToGrid w:val="0"/>
      <w:kern w:val="0"/>
      <w:sz w:val="28"/>
      <w:szCs w:val="18"/>
    </w:rPr>
  </w:style>
  <w:style w:type="paragraph" w:customStyle="1" w:styleId="332">
    <w:name w:val="表头lcc"/>
    <w:basedOn w:val="1"/>
    <w:qFormat/>
    <w:uiPriority w:val="0"/>
    <w:pPr>
      <w:adjustRightInd w:val="0"/>
      <w:jc w:val="center"/>
      <w:textAlignment w:val="baseline"/>
    </w:pPr>
    <w:rPr>
      <w:rFonts w:ascii="Calibri" w:hAnsi="Calibri"/>
      <w:b/>
      <w:kern w:val="0"/>
      <w:szCs w:val="22"/>
    </w:rPr>
  </w:style>
  <w:style w:type="paragraph" w:customStyle="1" w:styleId="333">
    <w:name w:val="Char11"/>
    <w:basedOn w:val="1"/>
    <w:qFormat/>
    <w:uiPriority w:val="0"/>
  </w:style>
  <w:style w:type="paragraph" w:customStyle="1" w:styleId="334">
    <w:name w:val="Char Char1 Char1"/>
    <w:basedOn w:val="1"/>
    <w:qFormat/>
    <w:uiPriority w:val="0"/>
    <w:rPr>
      <w:sz w:val="24"/>
    </w:rPr>
  </w:style>
  <w:style w:type="paragraph" w:customStyle="1" w:styleId="335">
    <w:name w:val="Char Char1 Char Char Char Char Char Char Char Char Char Char Char Char Char Char Char Char Char Char Char Char1 Char"/>
    <w:basedOn w:val="1"/>
    <w:qFormat/>
    <w:uiPriority w:val="0"/>
    <w:pPr>
      <w:spacing w:line="360" w:lineRule="auto"/>
      <w:ind w:firstLine="200" w:firstLineChars="200"/>
    </w:pPr>
    <w:rPr>
      <w:szCs w:val="20"/>
    </w:rPr>
  </w:style>
  <w:style w:type="paragraph" w:customStyle="1" w:styleId="336">
    <w:name w:val="封面标准文稿编辑信息"/>
    <w:qFormat/>
    <w:uiPriority w:val="0"/>
    <w:pPr>
      <w:spacing w:before="180" w:line="180" w:lineRule="atLeast"/>
      <w:jc w:val="center"/>
    </w:pPr>
    <w:rPr>
      <w:rFonts w:hint="eastAsia" w:ascii="宋体" w:hAnsi="Times New Roman" w:eastAsia="宋体" w:cs="Times New Roman"/>
      <w:sz w:val="21"/>
      <w:lang w:val="en-US" w:eastAsia="zh-CN" w:bidi="ar-SA"/>
    </w:rPr>
  </w:style>
  <w:style w:type="paragraph" w:customStyle="1" w:styleId="337">
    <w:name w:val="表中大字"/>
    <w:basedOn w:val="1"/>
    <w:qFormat/>
    <w:uiPriority w:val="0"/>
    <w:pPr>
      <w:spacing w:line="440" w:lineRule="exact"/>
      <w:jc w:val="center"/>
      <w:textAlignment w:val="center"/>
    </w:pPr>
    <w:rPr>
      <w:sz w:val="28"/>
      <w:szCs w:val="28"/>
    </w:rPr>
  </w:style>
  <w:style w:type="paragraph" w:customStyle="1" w:styleId="338">
    <w:name w:val="Char Char Char Char Char Char Char Char Char Char"/>
    <w:basedOn w:val="1"/>
    <w:qFormat/>
    <w:uiPriority w:val="0"/>
    <w:rPr>
      <w:szCs w:val="20"/>
    </w:rPr>
  </w:style>
  <w:style w:type="paragraph" w:customStyle="1" w:styleId="339">
    <w:name w:val="Char Char Char Char Char Char Char Char Char Char1"/>
    <w:basedOn w:val="1"/>
    <w:qFormat/>
    <w:uiPriority w:val="0"/>
    <w:rPr>
      <w:sz w:val="24"/>
    </w:rPr>
  </w:style>
  <w:style w:type="paragraph" w:customStyle="1" w:styleId="340">
    <w:name w:val="表序号"/>
    <w:basedOn w:val="2"/>
    <w:next w:val="21"/>
    <w:qFormat/>
    <w:uiPriority w:val="0"/>
    <w:pPr>
      <w:keepLines/>
      <w:tabs>
        <w:tab w:val="left" w:pos="360"/>
        <w:tab w:val="left" w:pos="3880"/>
      </w:tabs>
      <w:overflowPunct/>
      <w:snapToGrid/>
      <w:spacing w:before="0" w:after="0" w:line="360" w:lineRule="auto"/>
      <w:ind w:left="3880" w:hanging="480"/>
      <w:jc w:val="center"/>
    </w:pPr>
    <w:rPr>
      <w:rFonts w:ascii="仿宋_GB2312" w:hAnsi="Arial Black" w:eastAsia="仿宋_GB2312"/>
      <w:bCs w:val="0"/>
      <w:color w:val="auto"/>
      <w:sz w:val="28"/>
      <w:szCs w:val="20"/>
    </w:rPr>
  </w:style>
  <w:style w:type="paragraph" w:customStyle="1" w:styleId="341">
    <w:name w:val="报告书表格"/>
    <w:basedOn w:val="1"/>
    <w:qFormat/>
    <w:uiPriority w:val="0"/>
    <w:pPr>
      <w:adjustRightInd w:val="0"/>
      <w:spacing w:before="60" w:after="60" w:line="240" w:lineRule="atLeast"/>
      <w:jc w:val="center"/>
    </w:pPr>
    <w:rPr>
      <w:kern w:val="0"/>
      <w:szCs w:val="20"/>
    </w:rPr>
  </w:style>
  <w:style w:type="paragraph" w:customStyle="1" w:styleId="342">
    <w:name w:val="Char Char Char Char Char Char Char1"/>
    <w:basedOn w:val="1"/>
    <w:qFormat/>
    <w:uiPriority w:val="0"/>
    <w:rPr>
      <w:sz w:val="24"/>
    </w:rPr>
  </w:style>
  <w:style w:type="paragraph" w:customStyle="1" w:styleId="343">
    <w:name w:val="Char Char Char Char"/>
    <w:basedOn w:val="1"/>
    <w:qFormat/>
    <w:uiPriority w:val="0"/>
    <w:rPr>
      <w:szCs w:val="20"/>
    </w:rPr>
  </w:style>
  <w:style w:type="paragraph" w:customStyle="1" w:styleId="344">
    <w:name w:val="默认段落字体 Para Char Char Char1 Char Char Char1 Char"/>
    <w:basedOn w:val="1"/>
    <w:qFormat/>
    <w:uiPriority w:val="0"/>
    <w:rPr>
      <w:rFonts w:ascii="Calibri" w:hAnsi="Calibri"/>
      <w:sz w:val="24"/>
    </w:rPr>
  </w:style>
  <w:style w:type="paragraph" w:customStyle="1" w:styleId="345">
    <w:name w:val="正文A"/>
    <w:basedOn w:val="1"/>
    <w:qFormat/>
    <w:uiPriority w:val="0"/>
    <w:pPr>
      <w:spacing w:line="520" w:lineRule="exact"/>
      <w:ind w:firstLine="480" w:firstLineChars="200"/>
    </w:pPr>
    <w:rPr>
      <w:rFonts w:ascii="宋体" w:hAnsi="宋体" w:cs="宋体"/>
      <w:sz w:val="24"/>
    </w:rPr>
  </w:style>
  <w:style w:type="paragraph" w:customStyle="1" w:styleId="346">
    <w:name w:val="样式正文2"/>
    <w:basedOn w:val="1"/>
    <w:qFormat/>
    <w:uiPriority w:val="0"/>
    <w:pPr>
      <w:spacing w:line="360" w:lineRule="auto"/>
      <w:ind w:firstLine="480" w:firstLineChars="200"/>
    </w:pPr>
    <w:rPr>
      <w:rFonts w:cs="宋体"/>
      <w:kern w:val="0"/>
      <w:sz w:val="24"/>
      <w:szCs w:val="20"/>
    </w:rPr>
  </w:style>
  <w:style w:type="paragraph" w:customStyle="1" w:styleId="347">
    <w:name w:val="表1111"/>
    <w:basedOn w:val="1"/>
    <w:qFormat/>
    <w:uiPriority w:val="0"/>
    <w:pPr>
      <w:autoSpaceDE w:val="0"/>
      <w:autoSpaceDN w:val="0"/>
      <w:adjustRightInd w:val="0"/>
      <w:snapToGrid w:val="0"/>
      <w:spacing w:line="440" w:lineRule="exact"/>
      <w:jc w:val="center"/>
    </w:pPr>
    <w:rPr>
      <w:spacing w:val="5"/>
      <w:szCs w:val="21"/>
    </w:rPr>
  </w:style>
  <w:style w:type="paragraph" w:customStyle="1" w:styleId="348">
    <w:name w:val="环正文"/>
    <w:basedOn w:val="1"/>
    <w:qFormat/>
    <w:uiPriority w:val="0"/>
    <w:pPr>
      <w:widowControl/>
      <w:tabs>
        <w:tab w:val="left" w:pos="5094"/>
      </w:tabs>
      <w:adjustRightInd w:val="0"/>
      <w:spacing w:line="360" w:lineRule="auto"/>
      <w:ind w:firstLine="480" w:firstLineChars="200"/>
      <w:jc w:val="left"/>
      <w:textAlignment w:val="baseline"/>
    </w:pPr>
    <w:rPr>
      <w:rFonts w:eastAsia="仿宋_GB2312"/>
      <w:bCs/>
      <w:kern w:val="24"/>
      <w:sz w:val="24"/>
    </w:rPr>
  </w:style>
  <w:style w:type="paragraph" w:customStyle="1" w:styleId="349">
    <w:name w:val="亳州样式 正文"/>
    <w:basedOn w:val="9"/>
    <w:qFormat/>
    <w:uiPriority w:val="0"/>
    <w:pPr>
      <w:spacing w:line="360" w:lineRule="auto"/>
      <w:ind w:firstLine="425" w:firstLineChars="177"/>
    </w:pPr>
    <w:rPr>
      <w:kern w:val="0"/>
    </w:rPr>
  </w:style>
  <w:style w:type="paragraph" w:customStyle="1" w:styleId="350">
    <w:name w:val="Normal+2"/>
    <w:basedOn w:val="1"/>
    <w:next w:val="1"/>
    <w:qFormat/>
    <w:uiPriority w:val="0"/>
    <w:pPr>
      <w:autoSpaceDE w:val="0"/>
      <w:autoSpaceDN w:val="0"/>
      <w:adjustRightInd w:val="0"/>
      <w:jc w:val="left"/>
    </w:pPr>
    <w:rPr>
      <w:spacing w:val="-2"/>
      <w:kern w:val="0"/>
      <w:sz w:val="24"/>
      <w:szCs w:val="20"/>
    </w:rPr>
  </w:style>
  <w:style w:type="paragraph" w:customStyle="1" w:styleId="351">
    <w:name w:val="正文-1"/>
    <w:basedOn w:val="1"/>
    <w:qFormat/>
    <w:uiPriority w:val="0"/>
    <w:pPr>
      <w:spacing w:line="360" w:lineRule="auto"/>
      <w:ind w:firstLine="540" w:firstLineChars="225"/>
    </w:pPr>
    <w:rPr>
      <w:rFonts w:ascii="宋体" w:hAnsi="宋体"/>
      <w:sz w:val="24"/>
    </w:rPr>
  </w:style>
  <w:style w:type="character" w:customStyle="1" w:styleId="352">
    <w:name w:val="16"/>
    <w:qFormat/>
    <w:uiPriority w:val="0"/>
    <w:rPr>
      <w:rFonts w:hint="eastAsia" w:ascii="宋体" w:hAnsi="宋体" w:eastAsia="汉鼎简书宋"/>
      <w:b/>
      <w:bCs/>
      <w:sz w:val="24"/>
      <w:szCs w:val="24"/>
    </w:rPr>
  </w:style>
  <w:style w:type="paragraph" w:customStyle="1" w:styleId="353">
    <w:name w:val="Char Char Char3 Char"/>
    <w:basedOn w:val="1"/>
    <w:qFormat/>
    <w:uiPriority w:val="0"/>
    <w:rPr>
      <w:szCs w:val="20"/>
    </w:rPr>
  </w:style>
  <w:style w:type="paragraph" w:customStyle="1" w:styleId="354">
    <w:name w:val="l_text"/>
    <w:basedOn w:val="1"/>
    <w:qFormat/>
    <w:uiPriority w:val="0"/>
    <w:pPr>
      <w:widowControl/>
      <w:overflowPunct w:val="0"/>
      <w:autoSpaceDE w:val="0"/>
      <w:autoSpaceDN w:val="0"/>
      <w:adjustRightInd w:val="0"/>
      <w:spacing w:before="60" w:after="60" w:line="480" w:lineRule="exact"/>
      <w:ind w:firstLine="567"/>
      <w:textAlignment w:val="baseline"/>
    </w:pPr>
    <w:rPr>
      <w:kern w:val="0"/>
      <w:sz w:val="28"/>
      <w:szCs w:val="28"/>
    </w:rPr>
  </w:style>
  <w:style w:type="paragraph" w:customStyle="1" w:styleId="355">
    <w:name w:val="样式 正文首行缩进 2 + 左侧:  2 字符 首行缩进:  2 字符"/>
    <w:basedOn w:val="17"/>
    <w:qFormat/>
    <w:uiPriority w:val="0"/>
    <w:pPr>
      <w:spacing w:before="100" w:beforeAutospacing="1"/>
      <w:ind w:left="200" w:firstLine="200"/>
    </w:pPr>
    <w:rPr>
      <w:rFonts w:cs="宋体"/>
      <w:szCs w:val="21"/>
    </w:rPr>
  </w:style>
  <w:style w:type="character" w:customStyle="1" w:styleId="356">
    <w:name w:val="样式 五号"/>
    <w:qFormat/>
    <w:uiPriority w:val="0"/>
    <w:rPr>
      <w:rFonts w:ascii="宋体" w:hAnsi="宋体" w:eastAsia="宋体"/>
      <w:kern w:val="2"/>
      <w:sz w:val="24"/>
      <w:szCs w:val="24"/>
      <w:lang w:val="en-US" w:eastAsia="zh-CN" w:bidi="ar-SA"/>
    </w:rPr>
  </w:style>
  <w:style w:type="paragraph" w:customStyle="1" w:styleId="357">
    <w:name w:val="正文31"/>
    <w:basedOn w:val="1"/>
    <w:link w:val="359"/>
    <w:qFormat/>
    <w:uiPriority w:val="0"/>
    <w:pPr>
      <w:adjustRightInd w:val="0"/>
      <w:spacing w:line="360" w:lineRule="auto"/>
      <w:ind w:firstLine="624"/>
      <w:textAlignment w:val="baseline"/>
    </w:pPr>
    <w:rPr>
      <w:kern w:val="0"/>
      <w:sz w:val="30"/>
      <w:szCs w:val="20"/>
      <w:lang w:val="zh-CN" w:eastAsia="zh-CN"/>
    </w:rPr>
  </w:style>
  <w:style w:type="character" w:customStyle="1" w:styleId="358">
    <w:name w:val="环表头 Char"/>
    <w:qFormat/>
    <w:uiPriority w:val="0"/>
    <w:rPr>
      <w:rFonts w:ascii="黑体" w:hAnsi="宋体" w:eastAsia="黑体"/>
      <w:sz w:val="24"/>
      <w:lang w:val="en-US" w:eastAsia="zh-CN" w:bidi="ar-SA"/>
    </w:rPr>
  </w:style>
  <w:style w:type="character" w:customStyle="1" w:styleId="359">
    <w:name w:val="正文3 Char1"/>
    <w:link w:val="357"/>
    <w:qFormat/>
    <w:uiPriority w:val="0"/>
    <w:rPr>
      <w:sz w:val="30"/>
      <w:lang w:val="zh-CN" w:eastAsia="zh-CN"/>
    </w:rPr>
  </w:style>
  <w:style w:type="character" w:customStyle="1" w:styleId="360">
    <w:name w:val="Default Char"/>
    <w:link w:val="49"/>
    <w:qFormat/>
    <w:locked/>
    <w:uiPriority w:val="0"/>
    <w:rPr>
      <w:rFonts w:ascii="宋体" w:hAnsi="Courier New" w:cs="宋体"/>
      <w:color w:val="000000"/>
      <w:kern w:val="2"/>
      <w:sz w:val="24"/>
      <w:szCs w:val="24"/>
    </w:rPr>
  </w:style>
  <w:style w:type="paragraph" w:customStyle="1" w:styleId="361">
    <w:name w:val="五号表格"/>
    <w:qFormat/>
    <w:uiPriority w:val="0"/>
    <w:pPr>
      <w:widowControl w:val="0"/>
      <w:jc w:val="center"/>
    </w:pPr>
    <w:rPr>
      <w:rFonts w:ascii="Times New Roman" w:hAnsi="Times New Roman" w:eastAsia="宋体" w:cs="Times New Roman"/>
      <w:color w:val="000000"/>
      <w:kern w:val="2"/>
      <w:sz w:val="21"/>
      <w:szCs w:val="24"/>
      <w:lang w:val="en-GB" w:eastAsia="zh-CN" w:bidi="ar-SA"/>
    </w:rPr>
  </w:style>
  <w:style w:type="paragraph" w:customStyle="1" w:styleId="362">
    <w:name w:val="1 Char Char Char Char Char Char Char Char Char Char Char Char Char"/>
    <w:basedOn w:val="1"/>
    <w:qFormat/>
    <w:uiPriority w:val="0"/>
    <w:pPr>
      <w:widowControl/>
      <w:jc w:val="left"/>
    </w:pPr>
    <w:rPr>
      <w:rFonts w:ascii="宋体"/>
      <w:kern w:val="0"/>
      <w:sz w:val="24"/>
      <w:szCs w:val="20"/>
    </w:rPr>
  </w:style>
  <w:style w:type="paragraph" w:customStyle="1" w:styleId="363">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paragraph" w:customStyle="1" w:styleId="364">
    <w:name w:val="H报告表正文"/>
    <w:basedOn w:val="1"/>
    <w:qFormat/>
    <w:uiPriority w:val="0"/>
    <w:pPr>
      <w:spacing w:line="360" w:lineRule="auto"/>
      <w:ind w:firstLine="720" w:firstLineChars="200"/>
      <w:jc w:val="both"/>
    </w:pPr>
    <w:rPr>
      <w:rFonts w:ascii="Times New Roman" w:hAnsi="Times New Roman" w:eastAsia="宋体" w:cstheme="minorBidi"/>
      <w:sz w:val="24"/>
      <w:szCs w:val="24"/>
      <w:lang w:eastAsia="en-US"/>
    </w:rPr>
  </w:style>
  <w:style w:type="paragraph" w:customStyle="1" w:styleId="365">
    <w:name w:val="无间隔1"/>
    <w:basedOn w:val="366"/>
    <w:qFormat/>
    <w:uiPriority w:val="1"/>
    <w:pPr>
      <w:widowControl w:val="0"/>
      <w:spacing w:line="360" w:lineRule="auto"/>
      <w:ind w:firstLine="465" w:firstLineChars="0"/>
      <w:jc w:val="both"/>
    </w:pPr>
    <w:rPr>
      <w:rFonts w:ascii="宋体" w:hAnsi="宋体" w:eastAsia="宋体"/>
      <w:kern w:val="2"/>
      <w:szCs w:val="24"/>
    </w:rPr>
  </w:style>
  <w:style w:type="paragraph" w:customStyle="1" w:styleId="366">
    <w:name w:val="环评正文"/>
    <w:next w:val="25"/>
    <w:qFormat/>
    <w:uiPriority w:val="0"/>
    <w:pPr>
      <w:spacing w:before="60" w:after="60" w:line="400" w:lineRule="exact"/>
      <w:ind w:firstLine="200" w:firstLineChars="200"/>
    </w:pPr>
    <w:rPr>
      <w:rFonts w:ascii="Times New Roman" w:hAnsi="Times New Roman" w:eastAsia="仿宋_GB2312" w:cs="Arial"/>
      <w:sz w:val="24"/>
      <w:lang w:val="en-US" w:eastAsia="zh-CN" w:bidi="ar-SA"/>
    </w:rPr>
  </w:style>
  <w:style w:type="paragraph" w:customStyle="1" w:styleId="367">
    <w:name w:val="11111111111"/>
    <w:basedOn w:val="1"/>
    <w:qFormat/>
    <w:uiPriority w:val="0"/>
    <w:pPr>
      <w:spacing w:line="480" w:lineRule="exact"/>
      <w:jc w:val="center"/>
    </w:pPr>
    <w:rPr>
      <w:b/>
      <w:kern w:val="0"/>
      <w:sz w:val="20"/>
      <w:szCs w:val="20"/>
    </w:rPr>
  </w:style>
  <w:style w:type="paragraph" w:customStyle="1" w:styleId="368">
    <w:name w:val="表头22"/>
    <w:basedOn w:val="1"/>
    <w:qFormat/>
    <w:uiPriority w:val="0"/>
    <w:pPr>
      <w:widowControl/>
      <w:jc w:val="center"/>
    </w:pPr>
    <w:rPr>
      <w:b/>
      <w:kern w:val="0"/>
      <w:sz w:val="24"/>
    </w:rPr>
  </w:style>
  <w:style w:type="paragraph" w:customStyle="1" w:styleId="369">
    <w:name w:val="y表格"/>
    <w:basedOn w:val="14"/>
    <w:qFormat/>
    <w:uiPriority w:val="0"/>
    <w:pPr>
      <w:adjustRightInd w:val="0"/>
      <w:spacing w:line="240" w:lineRule="auto"/>
      <w:jc w:val="center"/>
      <w:textAlignment w:val="baseline"/>
    </w:pPr>
    <w:rPr>
      <w:rFonts w:hint="eastAsia"/>
    </w:rPr>
  </w:style>
  <w:style w:type="paragraph" w:customStyle="1" w:styleId="370">
    <w:name w:val="正文-zl"/>
    <w:basedOn w:val="1"/>
    <w:qFormat/>
    <w:uiPriority w:val="0"/>
    <w:pPr>
      <w:ind w:firstLine="480"/>
    </w:pPr>
  </w:style>
  <w:style w:type="paragraph" w:customStyle="1" w:styleId="371">
    <w:name w:val="表内格式"/>
    <w:basedOn w:val="1"/>
    <w:qFormat/>
    <w:uiPriority w:val="0"/>
    <w:rPr>
      <w:rFonts w:ascii="宋体" w:hAnsi="宋体" w:cs="宋体"/>
      <w:bCs/>
      <w:spacing w:val="-1"/>
      <w:kern w:val="0"/>
      <w:sz w:val="20"/>
      <w:szCs w:val="21"/>
    </w:rPr>
  </w:style>
  <w:style w:type="paragraph" w:customStyle="1" w:styleId="372">
    <w:name w:val="正文_8"/>
    <w:qFormat/>
    <w:uiPriority w:val="0"/>
    <w:pPr>
      <w:widowControl w:val="0"/>
      <w:jc w:val="both"/>
    </w:pPr>
    <w:rPr>
      <w:rFonts w:ascii="Calibri" w:hAnsi="Calibri" w:eastAsia="宋体" w:cs="Times New Roman"/>
      <w:lang w:val="en-US" w:eastAsia="zh-CN" w:bidi="ar-SA"/>
    </w:rPr>
  </w:style>
  <w:style w:type="paragraph" w:customStyle="1" w:styleId="373">
    <w:name w:val="正文_7"/>
    <w:qFormat/>
    <w:uiPriority w:val="0"/>
    <w:pPr>
      <w:widowControl w:val="0"/>
      <w:jc w:val="both"/>
    </w:pPr>
    <w:rPr>
      <w:rFonts w:ascii="Calibri" w:hAnsi="Calibri" w:eastAsia="宋体" w:cs="Times New Roman"/>
      <w:lang w:val="en-US" w:eastAsia="zh-CN" w:bidi="ar-SA"/>
    </w:rPr>
  </w:style>
  <w:style w:type="paragraph" w:customStyle="1" w:styleId="374">
    <w:name w:val="H的表格内容"/>
    <w:basedOn w:val="1"/>
    <w:qFormat/>
    <w:uiPriority w:val="0"/>
    <w:pPr>
      <w:spacing w:line="240" w:lineRule="auto"/>
      <w:ind w:firstLine="0" w:firstLineChars="0"/>
      <w:jc w:val="center"/>
    </w:pPr>
    <w:rPr>
      <w:rFonts w:ascii="Times New Roman" w:hAnsi="Times New Roman" w:eastAsia="宋体" w:cs="Times New Roman"/>
      <w:color w:val="auto"/>
      <w:sz w:val="21"/>
      <w:szCs w:val="21"/>
      <w:lang w:eastAsia="zh-CN"/>
    </w:rPr>
  </w:style>
  <w:style w:type="paragraph" w:customStyle="1" w:styleId="375">
    <w:name w:val="框架格式"/>
    <w:basedOn w:val="1"/>
    <w:qFormat/>
    <w:uiPriority w:val="0"/>
    <w:pPr>
      <w:adjustRightInd w:val="0"/>
      <w:spacing w:line="240" w:lineRule="auto"/>
      <w:ind w:firstLine="0" w:firstLineChars="0"/>
      <w:jc w:val="both"/>
    </w:pPr>
    <w:rPr>
      <w:sz w:val="21"/>
    </w:rPr>
  </w:style>
  <w:style w:type="paragraph" w:customStyle="1" w:styleId="376">
    <w:name w:val="环评表格"/>
    <w:basedOn w:val="1"/>
    <w:qFormat/>
    <w:uiPriority w:val="0"/>
    <w:pPr>
      <w:spacing w:line="240" w:lineRule="auto"/>
      <w:ind w:firstLine="0" w:firstLineChars="0"/>
      <w:jc w:val="center"/>
    </w:pPr>
    <w:rPr>
      <w:kern w:val="0"/>
      <w:sz w:val="21"/>
      <w:szCs w:val="20"/>
    </w:rPr>
  </w:style>
  <w:style w:type="paragraph" w:customStyle="1" w:styleId="377">
    <w:name w:val="正文_4"/>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1.wmf"/><Relationship Id="rId27" Type="http://schemas.openxmlformats.org/officeDocument/2006/relationships/oleObject" Target="embeddings/oleObject10.bin"/><Relationship Id="rId26" Type="http://schemas.openxmlformats.org/officeDocument/2006/relationships/image" Target="media/image10.wmf"/><Relationship Id="rId25" Type="http://schemas.openxmlformats.org/officeDocument/2006/relationships/oleObject" Target="embeddings/oleObject9.bin"/><Relationship Id="rId24" Type="http://schemas.openxmlformats.org/officeDocument/2006/relationships/image" Target="media/image9.wmf"/><Relationship Id="rId23" Type="http://schemas.openxmlformats.org/officeDocument/2006/relationships/oleObject" Target="embeddings/oleObject8.bin"/><Relationship Id="rId22" Type="http://schemas.openxmlformats.org/officeDocument/2006/relationships/image" Target="media/image8.wmf"/><Relationship Id="rId21" Type="http://schemas.openxmlformats.org/officeDocument/2006/relationships/oleObject" Target="embeddings/oleObject7.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png"/><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5156A-1A84-4FBA-95DF-E9D34E2020F0}">
  <ds:schemaRefs/>
</ds:datastoreItem>
</file>

<file path=docProps/app.xml><?xml version="1.0" encoding="utf-8"?>
<Properties xmlns="http://schemas.openxmlformats.org/officeDocument/2006/extended-properties" xmlns:vt="http://schemas.openxmlformats.org/officeDocument/2006/docPropsVTypes">
  <Template>wdzx97</Template>
  <Company>生态环境部制</Company>
  <Pages>52</Pages>
  <Words>5781</Words>
  <Characters>6147</Characters>
  <Lines>456</Lines>
  <Paragraphs>128</Paragraphs>
  <TotalTime>8</TotalTime>
  <ScaleCrop>false</ScaleCrop>
  <LinksUpToDate>false</LinksUpToDate>
  <CharactersWithSpaces>6210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2024-08-02T13:10:00Z</dcterms:created>
  <dc:creator>橙子</dc:creator>
  <cp:lastModifiedBy>段梦梦</cp:lastModifiedBy>
  <cp:lastPrinted>2024-08-06T07:34:00Z</cp:lastPrinted>
  <dcterms:modified xsi:type="dcterms:W3CDTF">2025-06-18T02:08:12Z</dcterms:modified>
  <dc:title>建设项目环境影响报告表（污染影响类）模板(V1.00)</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3F4E5F884D9C486A875FE8CFA15EA179_13</vt:lpwstr>
  </property>
  <property fmtid="{D5CDD505-2E9C-101B-9397-08002B2CF9AE}" pid="4" name="KSOTemplateDocerSaveRecord">
    <vt:lpwstr>eyJoZGlkIjoiYjk1MjlkOGJiYzlmYjcwMDNmOWU4YTZjMGRhODZiZmMiLCJ1c2VySWQiOiI0MjM3NjA2MjEifQ==</vt:lpwstr>
  </property>
</Properties>
</file>