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D4FC1">
      <w:pPr>
        <w:autoSpaceDE w:val="0"/>
        <w:autoSpaceDN w:val="0"/>
        <w:adjustRightInd w:val="0"/>
        <w:spacing w:before="100" w:beforeAutospacing="1" w:after="100" w:afterAutospacing="1"/>
        <w:ind w:firstLine="723" w:firstLineChars="200"/>
        <w:jc w:val="center"/>
        <w:rPr>
          <w:rFonts w:ascii="仿宋_GB2312" w:hAnsi="Times New Roman" w:eastAsia="仿宋_GB2312" w:cs="Times New Roman"/>
          <w:b/>
          <w:bCs/>
          <w:sz w:val="36"/>
          <w:szCs w:val="36"/>
        </w:rPr>
      </w:pPr>
      <w:r>
        <w:rPr>
          <w:rFonts w:hint="eastAsia" w:ascii="仿宋_GB2312" w:hAnsi="Times New Roman" w:eastAsia="仿宋_GB2312" w:cs="仿宋_GB2312"/>
          <w:b/>
          <w:bCs/>
          <w:sz w:val="36"/>
          <w:szCs w:val="36"/>
        </w:rPr>
        <w:t>埇桥区2020年度一般公共预算</w:t>
      </w:r>
    </w:p>
    <w:p w14:paraId="71A277C3">
      <w:pPr>
        <w:autoSpaceDE w:val="0"/>
        <w:autoSpaceDN w:val="0"/>
        <w:adjustRightInd w:val="0"/>
        <w:spacing w:before="100" w:beforeAutospacing="1" w:after="100" w:afterAutospacing="1"/>
        <w:ind w:firstLine="723" w:firstLineChars="200"/>
        <w:jc w:val="center"/>
        <w:rPr>
          <w:rFonts w:ascii="仿宋_GB2312" w:hAnsi="Times New Roman" w:eastAsia="仿宋_GB2312" w:cs="仿宋_GB2312"/>
          <w:b/>
          <w:bCs/>
          <w:sz w:val="36"/>
          <w:szCs w:val="36"/>
        </w:rPr>
      </w:pPr>
      <w:r>
        <w:rPr>
          <w:rFonts w:hint="eastAsia" w:ascii="仿宋_GB2312" w:hAnsi="Times New Roman" w:eastAsia="仿宋_GB2312" w:cs="仿宋_GB2312"/>
          <w:b/>
          <w:bCs/>
          <w:sz w:val="36"/>
          <w:szCs w:val="36"/>
        </w:rPr>
        <w:t>拨款</w:t>
      </w:r>
      <w:r>
        <w:rPr>
          <w:rFonts w:ascii="宋体" w:hAnsi="Times New Roman" w:cs="Times New Roman"/>
          <w:b/>
          <w:bCs/>
          <w:sz w:val="36"/>
          <w:szCs w:val="36"/>
        </w:rPr>
        <w:t>“</w:t>
      </w:r>
      <w:r>
        <w:rPr>
          <w:rFonts w:hint="eastAsia" w:ascii="仿宋_GB2312" w:hAnsi="Times New Roman" w:eastAsia="仿宋_GB2312" w:cs="仿宋_GB2312"/>
          <w:b/>
          <w:bCs/>
          <w:sz w:val="36"/>
          <w:szCs w:val="36"/>
        </w:rPr>
        <w:t>三公</w:t>
      </w:r>
      <w:r>
        <w:rPr>
          <w:rFonts w:ascii="仿宋_GB2312" w:hAnsi="Times New Roman" w:eastAsia="仿宋_GB2312" w:cs="Times New Roman"/>
          <w:b/>
          <w:bCs/>
          <w:sz w:val="36"/>
          <w:szCs w:val="36"/>
        </w:rPr>
        <w:t>”</w:t>
      </w:r>
      <w:r>
        <w:rPr>
          <w:rFonts w:hint="eastAsia" w:ascii="仿宋_GB2312" w:hAnsi="Times New Roman" w:eastAsia="仿宋_GB2312" w:cs="仿宋_GB2312"/>
          <w:b/>
          <w:bCs/>
          <w:sz w:val="36"/>
          <w:szCs w:val="36"/>
        </w:rPr>
        <w:t>经费支出决算情况说明</w:t>
      </w:r>
    </w:p>
    <w:p w14:paraId="6071F2DC">
      <w:pPr>
        <w:autoSpaceDE w:val="0"/>
        <w:autoSpaceDN w:val="0"/>
        <w:adjustRightInd w:val="0"/>
        <w:spacing w:line="360" w:lineRule="auto"/>
        <w:ind w:firstLine="602" w:firstLineChars="200"/>
        <w:rPr>
          <w:rFonts w:ascii="仿宋_GB2312" w:hAnsi="Times New Roman" w:eastAsia="仿宋_GB2312" w:cs="仿宋_GB2312"/>
          <w:b/>
          <w:bCs/>
          <w:sz w:val="30"/>
          <w:szCs w:val="30"/>
        </w:rPr>
      </w:pPr>
      <w:r>
        <w:rPr>
          <w:rFonts w:hint="eastAsia" w:ascii="仿宋_GB2312" w:hAnsi="Times New Roman" w:eastAsia="仿宋_GB2312" w:cs="仿宋_GB2312"/>
          <w:b/>
          <w:bCs/>
          <w:sz w:val="30"/>
          <w:szCs w:val="30"/>
        </w:rPr>
        <w:t>一、埇桥区2020年度一般公共预算拨款</w:t>
      </w:r>
      <w:r>
        <w:rPr>
          <w:rFonts w:ascii="仿宋_GB2312" w:hAnsi="Times New Roman" w:eastAsia="仿宋_GB2312" w:cs="仿宋_GB2312"/>
          <w:b/>
          <w:bCs/>
          <w:sz w:val="30"/>
          <w:szCs w:val="30"/>
        </w:rPr>
        <w:t>“</w:t>
      </w:r>
      <w:r>
        <w:rPr>
          <w:rFonts w:hint="eastAsia" w:ascii="仿宋_GB2312" w:hAnsi="Times New Roman" w:eastAsia="仿宋_GB2312" w:cs="仿宋_GB2312"/>
          <w:b/>
          <w:bCs/>
          <w:sz w:val="30"/>
          <w:szCs w:val="30"/>
        </w:rPr>
        <w:t>三公</w:t>
      </w:r>
      <w:r>
        <w:rPr>
          <w:rFonts w:ascii="仿宋_GB2312" w:hAnsi="Times New Roman" w:eastAsia="仿宋_GB2312" w:cs="仿宋_GB2312"/>
          <w:b/>
          <w:bCs/>
          <w:sz w:val="30"/>
          <w:szCs w:val="30"/>
        </w:rPr>
        <w:t>”</w:t>
      </w:r>
      <w:r>
        <w:rPr>
          <w:rFonts w:hint="eastAsia" w:ascii="仿宋_GB2312" w:hAnsi="Times New Roman" w:eastAsia="仿宋_GB2312" w:cs="仿宋_GB2312"/>
          <w:b/>
          <w:bCs/>
          <w:sz w:val="30"/>
          <w:szCs w:val="30"/>
        </w:rPr>
        <w:t>经费支出决算表</w:t>
      </w:r>
    </w:p>
    <w:p w14:paraId="786C2435">
      <w:pPr>
        <w:autoSpaceDE w:val="0"/>
        <w:autoSpaceDN w:val="0"/>
        <w:adjustRightInd w:val="0"/>
        <w:spacing w:line="360" w:lineRule="auto"/>
        <w:ind w:firstLine="6450" w:firstLineChars="2150"/>
        <w:rPr>
          <w:rFonts w:ascii="仿宋_GB2312" w:hAnsi="Times New Roman" w:eastAsia="仿宋_GB2312" w:cs="仿宋_GB2312"/>
          <w:bCs/>
          <w:sz w:val="30"/>
          <w:szCs w:val="30"/>
        </w:rPr>
      </w:pPr>
      <w:r>
        <w:rPr>
          <w:rFonts w:hint="eastAsia" w:ascii="仿宋_GB2312" w:hAnsi="Times New Roman" w:eastAsia="仿宋_GB2312" w:cs="仿宋_GB2312"/>
          <w:bCs/>
          <w:sz w:val="30"/>
          <w:szCs w:val="30"/>
        </w:rPr>
        <w:t>单位:万元</w:t>
      </w:r>
    </w:p>
    <w:tbl>
      <w:tblPr>
        <w:tblStyle w:val="6"/>
        <w:tblW w:w="4407" w:type="pct"/>
        <w:tblInd w:w="675" w:type="dxa"/>
        <w:tblLayout w:type="autofit"/>
        <w:tblCellMar>
          <w:top w:w="0" w:type="dxa"/>
          <w:left w:w="108" w:type="dxa"/>
          <w:bottom w:w="0" w:type="dxa"/>
          <w:right w:w="108" w:type="dxa"/>
        </w:tblCellMar>
      </w:tblPr>
      <w:tblGrid>
        <w:gridCol w:w="3469"/>
        <w:gridCol w:w="1227"/>
        <w:gridCol w:w="1227"/>
        <w:gridCol w:w="1588"/>
      </w:tblGrid>
      <w:tr w14:paraId="6FA4EBD0">
        <w:tblPrEx>
          <w:tblCellMar>
            <w:top w:w="0" w:type="dxa"/>
            <w:left w:w="108" w:type="dxa"/>
            <w:bottom w:w="0" w:type="dxa"/>
            <w:right w:w="108" w:type="dxa"/>
          </w:tblCellMar>
        </w:tblPrEx>
        <w:trPr>
          <w:trHeight w:val="312" w:hRule="atLeast"/>
        </w:trPr>
        <w:tc>
          <w:tcPr>
            <w:tcW w:w="2309" w:type="pct"/>
            <w:tcBorders>
              <w:top w:val="single" w:color="000000" w:sz="4" w:space="0"/>
              <w:left w:val="single" w:color="000000" w:sz="4" w:space="0"/>
              <w:bottom w:val="single" w:color="000000" w:sz="4" w:space="0"/>
              <w:right w:val="nil"/>
            </w:tcBorders>
            <w:shd w:val="clear" w:color="auto" w:fill="auto"/>
            <w:noWrap/>
            <w:vAlign w:val="center"/>
          </w:tcPr>
          <w:p w14:paraId="77BC27CB">
            <w:pPr>
              <w:jc w:val="center"/>
              <w:rPr>
                <w:rFonts w:cs="Arial" w:asciiTheme="minorEastAsia" w:hAnsiTheme="minorEastAsia" w:eastAsiaTheme="minorEastAsia"/>
                <w:b/>
                <w:bCs/>
                <w:color w:val="000000"/>
                <w:sz w:val="22"/>
              </w:rPr>
            </w:pPr>
            <w:r>
              <w:rPr>
                <w:rFonts w:hint="eastAsia" w:cs="Arial" w:asciiTheme="minorEastAsia" w:hAnsiTheme="minorEastAsia" w:eastAsiaTheme="minorEastAsia"/>
                <w:b/>
                <w:bCs/>
                <w:color w:val="000000"/>
                <w:sz w:val="22"/>
                <w:szCs w:val="22"/>
              </w:rPr>
              <w:t>项  目</w:t>
            </w:r>
          </w:p>
        </w:tc>
        <w:tc>
          <w:tcPr>
            <w:tcW w:w="8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9EC99F">
            <w:pPr>
              <w:jc w:val="center"/>
              <w:rPr>
                <w:rFonts w:cs="Arial" w:asciiTheme="minorEastAsia" w:hAnsiTheme="minorEastAsia" w:eastAsiaTheme="minorEastAsia"/>
                <w:b/>
                <w:bCs/>
                <w:color w:val="000000"/>
                <w:sz w:val="22"/>
              </w:rPr>
            </w:pPr>
            <w:r>
              <w:rPr>
                <w:rFonts w:hint="eastAsia" w:cs="Arial" w:asciiTheme="minorEastAsia" w:hAnsiTheme="minorEastAsia" w:eastAsiaTheme="minorEastAsia"/>
                <w:b/>
                <w:bCs/>
                <w:color w:val="000000"/>
                <w:sz w:val="22"/>
                <w:szCs w:val="22"/>
              </w:rPr>
              <w:t>预算数</w:t>
            </w:r>
          </w:p>
        </w:tc>
        <w:tc>
          <w:tcPr>
            <w:tcW w:w="817" w:type="pct"/>
            <w:tcBorders>
              <w:top w:val="single" w:color="auto" w:sz="4" w:space="0"/>
              <w:left w:val="nil"/>
              <w:bottom w:val="single" w:color="auto" w:sz="4" w:space="0"/>
              <w:right w:val="single" w:color="auto" w:sz="4" w:space="0"/>
            </w:tcBorders>
            <w:shd w:val="clear" w:color="auto" w:fill="auto"/>
            <w:noWrap/>
            <w:vAlign w:val="center"/>
          </w:tcPr>
          <w:p w14:paraId="2843363D">
            <w:pPr>
              <w:jc w:val="center"/>
              <w:rPr>
                <w:rFonts w:cs="Arial" w:asciiTheme="minorEastAsia" w:hAnsiTheme="minorEastAsia" w:eastAsiaTheme="minorEastAsia"/>
                <w:b/>
                <w:bCs/>
                <w:color w:val="000000"/>
                <w:sz w:val="22"/>
              </w:rPr>
            </w:pPr>
            <w:r>
              <w:rPr>
                <w:rFonts w:hint="eastAsia" w:cs="Arial" w:asciiTheme="minorEastAsia" w:hAnsiTheme="minorEastAsia" w:eastAsiaTheme="minorEastAsia"/>
                <w:b/>
                <w:bCs/>
                <w:color w:val="000000"/>
                <w:sz w:val="22"/>
                <w:szCs w:val="22"/>
              </w:rPr>
              <w:t>决算数</w:t>
            </w:r>
          </w:p>
        </w:tc>
        <w:tc>
          <w:tcPr>
            <w:tcW w:w="1057" w:type="pct"/>
            <w:tcBorders>
              <w:top w:val="single" w:color="auto" w:sz="4" w:space="0"/>
              <w:left w:val="nil"/>
              <w:bottom w:val="single" w:color="auto" w:sz="4" w:space="0"/>
              <w:right w:val="single" w:color="auto" w:sz="4" w:space="0"/>
            </w:tcBorders>
            <w:shd w:val="clear" w:color="auto" w:fill="auto"/>
            <w:noWrap/>
            <w:vAlign w:val="center"/>
          </w:tcPr>
          <w:p w14:paraId="05D68412">
            <w:pPr>
              <w:jc w:val="center"/>
              <w:rPr>
                <w:rFonts w:cs="Arial" w:asciiTheme="minorEastAsia" w:hAnsiTheme="minorEastAsia" w:eastAsiaTheme="minorEastAsia"/>
                <w:b/>
                <w:bCs/>
                <w:color w:val="000000"/>
                <w:sz w:val="22"/>
              </w:rPr>
            </w:pPr>
            <w:r>
              <w:rPr>
                <w:rFonts w:hint="eastAsia" w:cs="Arial" w:asciiTheme="minorEastAsia" w:hAnsiTheme="minorEastAsia" w:eastAsiaTheme="minorEastAsia"/>
                <w:b/>
                <w:bCs/>
                <w:color w:val="000000"/>
                <w:sz w:val="22"/>
                <w:szCs w:val="22"/>
              </w:rPr>
              <w:t>为预算数的%</w:t>
            </w:r>
          </w:p>
        </w:tc>
      </w:tr>
      <w:tr w14:paraId="1A4CD764">
        <w:tblPrEx>
          <w:tblCellMar>
            <w:top w:w="0" w:type="dxa"/>
            <w:left w:w="108" w:type="dxa"/>
            <w:bottom w:w="0" w:type="dxa"/>
            <w:right w:w="108" w:type="dxa"/>
          </w:tblCellMar>
        </w:tblPrEx>
        <w:trPr>
          <w:trHeight w:val="312" w:hRule="atLeast"/>
        </w:trPr>
        <w:tc>
          <w:tcPr>
            <w:tcW w:w="2309" w:type="pct"/>
            <w:tcBorders>
              <w:top w:val="nil"/>
              <w:left w:val="single" w:color="000000" w:sz="4" w:space="0"/>
              <w:bottom w:val="single" w:color="000000" w:sz="4" w:space="0"/>
              <w:right w:val="nil"/>
            </w:tcBorders>
            <w:shd w:val="clear" w:color="auto" w:fill="auto"/>
            <w:noWrap/>
            <w:vAlign w:val="center"/>
          </w:tcPr>
          <w:p w14:paraId="2DE19321">
            <w:pPr>
              <w:jc w:val="center"/>
              <w:rPr>
                <w:rFonts w:ascii="宋体" w:hAnsi="宋体" w:cs="Arial"/>
                <w:b/>
                <w:bCs/>
                <w:color w:val="000000"/>
                <w:sz w:val="22"/>
              </w:rPr>
            </w:pPr>
            <w:r>
              <w:rPr>
                <w:rFonts w:hint="eastAsia" w:cs="Arial"/>
                <w:b/>
                <w:bCs/>
                <w:color w:val="000000"/>
                <w:sz w:val="22"/>
                <w:szCs w:val="22"/>
              </w:rPr>
              <w:t>合计</w:t>
            </w:r>
          </w:p>
        </w:tc>
        <w:tc>
          <w:tcPr>
            <w:tcW w:w="817" w:type="pct"/>
            <w:tcBorders>
              <w:top w:val="nil"/>
              <w:left w:val="single" w:color="auto" w:sz="4" w:space="0"/>
              <w:bottom w:val="single" w:color="auto" w:sz="4" w:space="0"/>
              <w:right w:val="single" w:color="auto" w:sz="4" w:space="0"/>
            </w:tcBorders>
            <w:shd w:val="clear" w:color="auto" w:fill="auto"/>
            <w:noWrap/>
            <w:vAlign w:val="center"/>
          </w:tcPr>
          <w:p w14:paraId="173A665F">
            <w:pPr>
              <w:jc w:val="right"/>
              <w:rPr>
                <w:rFonts w:ascii="宋体" w:hAnsi="宋体" w:cs="Arial"/>
                <w:b/>
                <w:bCs/>
                <w:color w:val="000000"/>
                <w:sz w:val="22"/>
              </w:rPr>
            </w:pPr>
            <w:r>
              <w:rPr>
                <w:rFonts w:hint="eastAsia" w:cs="Arial"/>
                <w:b/>
                <w:bCs/>
                <w:color w:val="000000"/>
                <w:sz w:val="22"/>
                <w:szCs w:val="22"/>
              </w:rPr>
              <w:t xml:space="preserve">2961.00 </w:t>
            </w:r>
          </w:p>
        </w:tc>
        <w:tc>
          <w:tcPr>
            <w:tcW w:w="817" w:type="pct"/>
            <w:tcBorders>
              <w:top w:val="nil"/>
              <w:left w:val="nil"/>
              <w:bottom w:val="single" w:color="auto" w:sz="4" w:space="0"/>
              <w:right w:val="single" w:color="auto" w:sz="4" w:space="0"/>
            </w:tcBorders>
            <w:shd w:val="clear" w:color="auto" w:fill="auto"/>
            <w:noWrap/>
            <w:vAlign w:val="center"/>
          </w:tcPr>
          <w:p w14:paraId="45A7AA9F">
            <w:pPr>
              <w:jc w:val="right"/>
              <w:rPr>
                <w:rFonts w:ascii="宋体" w:hAnsi="宋体" w:cs="Arial"/>
                <w:b/>
                <w:bCs/>
                <w:color w:val="000000"/>
                <w:sz w:val="22"/>
              </w:rPr>
            </w:pPr>
            <w:r>
              <w:rPr>
                <w:rFonts w:hint="eastAsia" w:cs="Arial"/>
                <w:b/>
                <w:bCs/>
                <w:color w:val="000000"/>
                <w:sz w:val="22"/>
                <w:szCs w:val="22"/>
              </w:rPr>
              <w:t xml:space="preserve">2342.88 </w:t>
            </w:r>
          </w:p>
        </w:tc>
        <w:tc>
          <w:tcPr>
            <w:tcW w:w="1057" w:type="pct"/>
            <w:tcBorders>
              <w:top w:val="nil"/>
              <w:left w:val="nil"/>
              <w:bottom w:val="single" w:color="auto" w:sz="4" w:space="0"/>
              <w:right w:val="single" w:color="auto" w:sz="4" w:space="0"/>
            </w:tcBorders>
            <w:shd w:val="clear" w:color="auto" w:fill="auto"/>
            <w:noWrap/>
            <w:vAlign w:val="bottom"/>
          </w:tcPr>
          <w:p w14:paraId="243C9FE1">
            <w:pPr>
              <w:jc w:val="right"/>
              <w:rPr>
                <w:rFonts w:ascii="Arial" w:hAnsi="Arial" w:cs="Arial"/>
                <w:color w:val="000000"/>
                <w:sz w:val="20"/>
                <w:szCs w:val="20"/>
              </w:rPr>
            </w:pPr>
            <w:r>
              <w:rPr>
                <w:rFonts w:ascii="Arial" w:hAnsi="Arial" w:cs="Arial"/>
                <w:color w:val="000000"/>
                <w:sz w:val="20"/>
                <w:szCs w:val="20"/>
              </w:rPr>
              <w:t>79.12</w:t>
            </w:r>
          </w:p>
        </w:tc>
      </w:tr>
      <w:tr w14:paraId="60E1F142">
        <w:tblPrEx>
          <w:tblCellMar>
            <w:top w:w="0" w:type="dxa"/>
            <w:left w:w="108" w:type="dxa"/>
            <w:bottom w:w="0" w:type="dxa"/>
            <w:right w:w="108" w:type="dxa"/>
          </w:tblCellMar>
        </w:tblPrEx>
        <w:trPr>
          <w:trHeight w:val="312" w:hRule="atLeast"/>
        </w:trPr>
        <w:tc>
          <w:tcPr>
            <w:tcW w:w="2309" w:type="pct"/>
            <w:tcBorders>
              <w:top w:val="nil"/>
              <w:left w:val="single" w:color="000000" w:sz="4" w:space="0"/>
              <w:bottom w:val="single" w:color="000000" w:sz="4" w:space="0"/>
              <w:right w:val="nil"/>
            </w:tcBorders>
            <w:shd w:val="clear" w:color="auto" w:fill="auto"/>
            <w:noWrap/>
            <w:vAlign w:val="center"/>
          </w:tcPr>
          <w:p w14:paraId="77D75475">
            <w:pPr>
              <w:rPr>
                <w:rFonts w:ascii="宋体" w:hAnsi="宋体" w:cs="Arial"/>
                <w:color w:val="000000"/>
                <w:sz w:val="22"/>
              </w:rPr>
            </w:pPr>
            <w:r>
              <w:rPr>
                <w:rFonts w:hint="eastAsia" w:cs="Arial"/>
                <w:color w:val="000000"/>
                <w:sz w:val="22"/>
                <w:szCs w:val="22"/>
              </w:rPr>
              <w:t>1．因公出国（境）费</w:t>
            </w:r>
          </w:p>
        </w:tc>
        <w:tc>
          <w:tcPr>
            <w:tcW w:w="817" w:type="pct"/>
            <w:tcBorders>
              <w:top w:val="nil"/>
              <w:left w:val="single" w:color="auto" w:sz="4" w:space="0"/>
              <w:bottom w:val="single" w:color="auto" w:sz="4" w:space="0"/>
              <w:right w:val="single" w:color="auto" w:sz="4" w:space="0"/>
            </w:tcBorders>
            <w:shd w:val="clear" w:color="auto" w:fill="auto"/>
            <w:noWrap/>
            <w:vAlign w:val="center"/>
          </w:tcPr>
          <w:p w14:paraId="3B68B5F3">
            <w:pPr>
              <w:jc w:val="right"/>
              <w:rPr>
                <w:rFonts w:ascii="宋体" w:hAnsi="宋体" w:cs="Arial"/>
                <w:color w:val="000000"/>
                <w:sz w:val="22"/>
              </w:rPr>
            </w:pPr>
            <w:r>
              <w:rPr>
                <w:rFonts w:hint="eastAsia" w:cs="Arial"/>
                <w:color w:val="000000"/>
                <w:sz w:val="22"/>
                <w:szCs w:val="22"/>
              </w:rPr>
              <w:t xml:space="preserve">35.00 </w:t>
            </w:r>
          </w:p>
        </w:tc>
        <w:tc>
          <w:tcPr>
            <w:tcW w:w="817" w:type="pct"/>
            <w:tcBorders>
              <w:top w:val="nil"/>
              <w:left w:val="nil"/>
              <w:bottom w:val="single" w:color="auto" w:sz="4" w:space="0"/>
              <w:right w:val="single" w:color="auto" w:sz="4" w:space="0"/>
            </w:tcBorders>
            <w:shd w:val="clear" w:color="auto" w:fill="auto"/>
            <w:noWrap/>
            <w:vAlign w:val="center"/>
          </w:tcPr>
          <w:p w14:paraId="3D268B15">
            <w:pPr>
              <w:jc w:val="right"/>
              <w:rPr>
                <w:rFonts w:ascii="宋体" w:hAnsi="宋体" w:cs="Arial"/>
                <w:color w:val="000000"/>
                <w:sz w:val="22"/>
              </w:rPr>
            </w:pPr>
            <w:r>
              <w:rPr>
                <w:rFonts w:hint="eastAsia" w:cs="Arial"/>
                <w:color w:val="000000"/>
                <w:sz w:val="22"/>
                <w:szCs w:val="22"/>
              </w:rPr>
              <w:t xml:space="preserve">0.00 </w:t>
            </w:r>
          </w:p>
        </w:tc>
        <w:tc>
          <w:tcPr>
            <w:tcW w:w="1057" w:type="pct"/>
            <w:tcBorders>
              <w:top w:val="nil"/>
              <w:left w:val="nil"/>
              <w:bottom w:val="single" w:color="auto" w:sz="4" w:space="0"/>
              <w:right w:val="single" w:color="auto" w:sz="4" w:space="0"/>
            </w:tcBorders>
            <w:shd w:val="clear" w:color="auto" w:fill="auto"/>
            <w:noWrap/>
            <w:vAlign w:val="bottom"/>
          </w:tcPr>
          <w:p w14:paraId="23FF2E4E">
            <w:pPr>
              <w:jc w:val="right"/>
              <w:rPr>
                <w:rFonts w:ascii="Arial" w:hAnsi="Arial" w:cs="Arial"/>
                <w:color w:val="000000"/>
                <w:sz w:val="20"/>
                <w:szCs w:val="20"/>
              </w:rPr>
            </w:pPr>
            <w:r>
              <w:rPr>
                <w:rFonts w:ascii="Arial" w:hAnsi="Arial" w:cs="Arial"/>
                <w:color w:val="000000"/>
                <w:sz w:val="20"/>
                <w:szCs w:val="20"/>
              </w:rPr>
              <w:t>0.00</w:t>
            </w:r>
          </w:p>
        </w:tc>
      </w:tr>
      <w:tr w14:paraId="0887D01A">
        <w:tblPrEx>
          <w:tblCellMar>
            <w:top w:w="0" w:type="dxa"/>
            <w:left w:w="108" w:type="dxa"/>
            <w:bottom w:w="0" w:type="dxa"/>
            <w:right w:w="108" w:type="dxa"/>
          </w:tblCellMar>
        </w:tblPrEx>
        <w:trPr>
          <w:trHeight w:val="312" w:hRule="atLeast"/>
        </w:trPr>
        <w:tc>
          <w:tcPr>
            <w:tcW w:w="2309" w:type="pct"/>
            <w:tcBorders>
              <w:top w:val="nil"/>
              <w:left w:val="single" w:color="000000" w:sz="4" w:space="0"/>
              <w:bottom w:val="single" w:color="000000" w:sz="4" w:space="0"/>
              <w:right w:val="nil"/>
            </w:tcBorders>
            <w:shd w:val="clear" w:color="auto" w:fill="auto"/>
            <w:noWrap/>
            <w:vAlign w:val="center"/>
          </w:tcPr>
          <w:p w14:paraId="2888CD86">
            <w:pPr>
              <w:rPr>
                <w:rFonts w:ascii="宋体" w:hAnsi="宋体" w:cs="Arial"/>
                <w:color w:val="000000"/>
                <w:sz w:val="22"/>
              </w:rPr>
            </w:pPr>
            <w:r>
              <w:rPr>
                <w:rFonts w:hint="eastAsia" w:cs="Arial"/>
                <w:color w:val="000000"/>
                <w:sz w:val="22"/>
                <w:szCs w:val="22"/>
              </w:rPr>
              <w:t>2．公务用车购置及运行维护费</w:t>
            </w:r>
          </w:p>
        </w:tc>
        <w:tc>
          <w:tcPr>
            <w:tcW w:w="817" w:type="pct"/>
            <w:tcBorders>
              <w:top w:val="nil"/>
              <w:left w:val="single" w:color="auto" w:sz="4" w:space="0"/>
              <w:bottom w:val="single" w:color="auto" w:sz="4" w:space="0"/>
              <w:right w:val="single" w:color="auto" w:sz="4" w:space="0"/>
            </w:tcBorders>
            <w:shd w:val="clear" w:color="auto" w:fill="auto"/>
            <w:noWrap/>
            <w:vAlign w:val="center"/>
          </w:tcPr>
          <w:p w14:paraId="6FF830DC">
            <w:pPr>
              <w:jc w:val="right"/>
              <w:rPr>
                <w:rFonts w:ascii="宋体" w:hAnsi="宋体" w:cs="Arial"/>
                <w:color w:val="000000"/>
                <w:sz w:val="22"/>
              </w:rPr>
            </w:pPr>
            <w:r>
              <w:rPr>
                <w:rFonts w:hint="eastAsia" w:cs="Arial"/>
                <w:color w:val="000000"/>
                <w:sz w:val="22"/>
                <w:szCs w:val="22"/>
              </w:rPr>
              <w:t xml:space="preserve">2015.00 </w:t>
            </w:r>
          </w:p>
        </w:tc>
        <w:tc>
          <w:tcPr>
            <w:tcW w:w="817" w:type="pct"/>
            <w:tcBorders>
              <w:top w:val="nil"/>
              <w:left w:val="nil"/>
              <w:bottom w:val="single" w:color="auto" w:sz="4" w:space="0"/>
              <w:right w:val="single" w:color="auto" w:sz="4" w:space="0"/>
            </w:tcBorders>
            <w:shd w:val="clear" w:color="auto" w:fill="auto"/>
            <w:noWrap/>
            <w:vAlign w:val="center"/>
          </w:tcPr>
          <w:p w14:paraId="6F35CD62">
            <w:pPr>
              <w:jc w:val="right"/>
              <w:rPr>
                <w:rFonts w:ascii="宋体" w:hAnsi="宋体" w:cs="Arial"/>
                <w:color w:val="000000"/>
                <w:sz w:val="22"/>
              </w:rPr>
            </w:pPr>
            <w:r>
              <w:rPr>
                <w:rFonts w:hint="eastAsia" w:cs="Arial"/>
                <w:color w:val="000000"/>
                <w:sz w:val="22"/>
                <w:szCs w:val="22"/>
              </w:rPr>
              <w:t xml:space="preserve">1969.50 </w:t>
            </w:r>
          </w:p>
        </w:tc>
        <w:tc>
          <w:tcPr>
            <w:tcW w:w="1057" w:type="pct"/>
            <w:tcBorders>
              <w:top w:val="nil"/>
              <w:left w:val="nil"/>
              <w:bottom w:val="single" w:color="auto" w:sz="4" w:space="0"/>
              <w:right w:val="single" w:color="auto" w:sz="4" w:space="0"/>
            </w:tcBorders>
            <w:shd w:val="clear" w:color="auto" w:fill="auto"/>
            <w:noWrap/>
            <w:vAlign w:val="bottom"/>
          </w:tcPr>
          <w:p w14:paraId="335483FC">
            <w:pPr>
              <w:jc w:val="right"/>
              <w:rPr>
                <w:rFonts w:ascii="Arial" w:hAnsi="Arial" w:cs="Arial"/>
                <w:color w:val="000000"/>
                <w:sz w:val="20"/>
                <w:szCs w:val="20"/>
              </w:rPr>
            </w:pPr>
            <w:r>
              <w:rPr>
                <w:rFonts w:ascii="Arial" w:hAnsi="Arial" w:cs="Arial"/>
                <w:color w:val="000000"/>
                <w:sz w:val="20"/>
                <w:szCs w:val="20"/>
              </w:rPr>
              <w:t>97.74</w:t>
            </w:r>
          </w:p>
        </w:tc>
      </w:tr>
      <w:tr w14:paraId="6C3537F8">
        <w:tblPrEx>
          <w:tblCellMar>
            <w:top w:w="0" w:type="dxa"/>
            <w:left w:w="108" w:type="dxa"/>
            <w:bottom w:w="0" w:type="dxa"/>
            <w:right w:w="108" w:type="dxa"/>
          </w:tblCellMar>
        </w:tblPrEx>
        <w:trPr>
          <w:trHeight w:val="312" w:hRule="atLeast"/>
        </w:trPr>
        <w:tc>
          <w:tcPr>
            <w:tcW w:w="2309" w:type="pct"/>
            <w:tcBorders>
              <w:top w:val="nil"/>
              <w:left w:val="single" w:color="000000" w:sz="4" w:space="0"/>
              <w:bottom w:val="single" w:color="000000" w:sz="4" w:space="0"/>
              <w:right w:val="nil"/>
            </w:tcBorders>
            <w:shd w:val="clear" w:color="auto" w:fill="auto"/>
            <w:noWrap/>
            <w:vAlign w:val="center"/>
          </w:tcPr>
          <w:p w14:paraId="573CF5B6">
            <w:pPr>
              <w:rPr>
                <w:rFonts w:ascii="宋体" w:hAnsi="宋体" w:cs="Arial"/>
                <w:color w:val="000000"/>
                <w:sz w:val="22"/>
              </w:rPr>
            </w:pPr>
            <w:r>
              <w:rPr>
                <w:rFonts w:hint="eastAsia" w:cs="Arial"/>
                <w:color w:val="000000"/>
                <w:sz w:val="22"/>
                <w:szCs w:val="22"/>
              </w:rPr>
              <w:t xml:space="preserve">   （1）公务用车购置费</w:t>
            </w:r>
          </w:p>
        </w:tc>
        <w:tc>
          <w:tcPr>
            <w:tcW w:w="817" w:type="pct"/>
            <w:tcBorders>
              <w:top w:val="nil"/>
              <w:left w:val="single" w:color="auto" w:sz="4" w:space="0"/>
              <w:bottom w:val="single" w:color="auto" w:sz="4" w:space="0"/>
              <w:right w:val="single" w:color="auto" w:sz="4" w:space="0"/>
            </w:tcBorders>
            <w:shd w:val="clear" w:color="auto" w:fill="auto"/>
            <w:noWrap/>
            <w:vAlign w:val="center"/>
          </w:tcPr>
          <w:p w14:paraId="07DA673F">
            <w:pPr>
              <w:jc w:val="right"/>
              <w:rPr>
                <w:rFonts w:ascii="宋体" w:hAnsi="宋体" w:cs="Arial"/>
                <w:color w:val="000000"/>
                <w:sz w:val="22"/>
              </w:rPr>
            </w:pPr>
            <w:r>
              <w:rPr>
                <w:rFonts w:hint="eastAsia" w:cs="Arial"/>
                <w:color w:val="000000"/>
                <w:sz w:val="22"/>
                <w:szCs w:val="22"/>
              </w:rPr>
              <w:t xml:space="preserve">300.00 </w:t>
            </w:r>
          </w:p>
        </w:tc>
        <w:tc>
          <w:tcPr>
            <w:tcW w:w="817" w:type="pct"/>
            <w:tcBorders>
              <w:top w:val="nil"/>
              <w:left w:val="nil"/>
              <w:bottom w:val="single" w:color="auto" w:sz="4" w:space="0"/>
              <w:right w:val="single" w:color="auto" w:sz="4" w:space="0"/>
            </w:tcBorders>
            <w:shd w:val="clear" w:color="auto" w:fill="auto"/>
            <w:noWrap/>
            <w:vAlign w:val="center"/>
          </w:tcPr>
          <w:p w14:paraId="528510CA">
            <w:pPr>
              <w:jc w:val="right"/>
              <w:rPr>
                <w:rFonts w:ascii="宋体" w:hAnsi="宋体" w:cs="Arial"/>
                <w:color w:val="000000"/>
                <w:sz w:val="22"/>
              </w:rPr>
            </w:pPr>
            <w:r>
              <w:rPr>
                <w:rFonts w:hint="eastAsia" w:cs="Arial"/>
                <w:color w:val="000000"/>
                <w:sz w:val="22"/>
                <w:szCs w:val="22"/>
              </w:rPr>
              <w:t xml:space="preserve">863.69 </w:t>
            </w:r>
          </w:p>
        </w:tc>
        <w:tc>
          <w:tcPr>
            <w:tcW w:w="1057" w:type="pct"/>
            <w:tcBorders>
              <w:top w:val="nil"/>
              <w:left w:val="nil"/>
              <w:bottom w:val="single" w:color="auto" w:sz="4" w:space="0"/>
              <w:right w:val="single" w:color="auto" w:sz="4" w:space="0"/>
            </w:tcBorders>
            <w:shd w:val="clear" w:color="auto" w:fill="auto"/>
            <w:noWrap/>
            <w:vAlign w:val="bottom"/>
          </w:tcPr>
          <w:p w14:paraId="4041A96F">
            <w:pPr>
              <w:jc w:val="right"/>
              <w:rPr>
                <w:rFonts w:ascii="Arial" w:hAnsi="Arial" w:cs="Arial"/>
                <w:color w:val="000000"/>
                <w:sz w:val="20"/>
                <w:szCs w:val="20"/>
              </w:rPr>
            </w:pPr>
            <w:r>
              <w:rPr>
                <w:rFonts w:ascii="Arial" w:hAnsi="Arial" w:cs="Arial"/>
                <w:color w:val="000000"/>
                <w:sz w:val="20"/>
                <w:szCs w:val="20"/>
              </w:rPr>
              <w:t>287.90</w:t>
            </w:r>
          </w:p>
        </w:tc>
      </w:tr>
      <w:tr w14:paraId="6ABD4EB0">
        <w:tblPrEx>
          <w:tblCellMar>
            <w:top w:w="0" w:type="dxa"/>
            <w:left w:w="108" w:type="dxa"/>
            <w:bottom w:w="0" w:type="dxa"/>
            <w:right w:w="108" w:type="dxa"/>
          </w:tblCellMar>
        </w:tblPrEx>
        <w:trPr>
          <w:trHeight w:val="312" w:hRule="atLeast"/>
        </w:trPr>
        <w:tc>
          <w:tcPr>
            <w:tcW w:w="2309" w:type="pct"/>
            <w:tcBorders>
              <w:top w:val="nil"/>
              <w:left w:val="single" w:color="000000" w:sz="4" w:space="0"/>
              <w:bottom w:val="single" w:color="000000" w:sz="4" w:space="0"/>
              <w:right w:val="nil"/>
            </w:tcBorders>
            <w:shd w:val="clear" w:color="auto" w:fill="auto"/>
            <w:noWrap/>
            <w:vAlign w:val="center"/>
          </w:tcPr>
          <w:p w14:paraId="1D0A4337">
            <w:pPr>
              <w:rPr>
                <w:rFonts w:ascii="宋体" w:hAnsi="宋体" w:cs="Arial"/>
                <w:color w:val="000000"/>
                <w:sz w:val="22"/>
              </w:rPr>
            </w:pPr>
            <w:r>
              <w:rPr>
                <w:rFonts w:hint="eastAsia" w:cs="Arial"/>
                <w:color w:val="000000"/>
                <w:sz w:val="22"/>
                <w:szCs w:val="22"/>
              </w:rPr>
              <w:t xml:space="preserve">   （2）公务用车运行维护费</w:t>
            </w:r>
          </w:p>
        </w:tc>
        <w:tc>
          <w:tcPr>
            <w:tcW w:w="817" w:type="pct"/>
            <w:tcBorders>
              <w:top w:val="nil"/>
              <w:left w:val="single" w:color="auto" w:sz="4" w:space="0"/>
              <w:bottom w:val="single" w:color="auto" w:sz="4" w:space="0"/>
              <w:right w:val="single" w:color="auto" w:sz="4" w:space="0"/>
            </w:tcBorders>
            <w:shd w:val="clear" w:color="auto" w:fill="auto"/>
            <w:noWrap/>
            <w:vAlign w:val="center"/>
          </w:tcPr>
          <w:p w14:paraId="11952B48">
            <w:pPr>
              <w:jc w:val="right"/>
              <w:rPr>
                <w:rFonts w:ascii="宋体" w:hAnsi="宋体" w:cs="Arial"/>
                <w:color w:val="000000"/>
                <w:sz w:val="22"/>
              </w:rPr>
            </w:pPr>
            <w:r>
              <w:rPr>
                <w:rFonts w:hint="eastAsia" w:cs="Arial"/>
                <w:color w:val="000000"/>
                <w:sz w:val="22"/>
                <w:szCs w:val="22"/>
              </w:rPr>
              <w:t xml:space="preserve">1715.00 </w:t>
            </w:r>
          </w:p>
        </w:tc>
        <w:tc>
          <w:tcPr>
            <w:tcW w:w="817" w:type="pct"/>
            <w:tcBorders>
              <w:top w:val="nil"/>
              <w:left w:val="nil"/>
              <w:bottom w:val="single" w:color="auto" w:sz="4" w:space="0"/>
              <w:right w:val="single" w:color="auto" w:sz="4" w:space="0"/>
            </w:tcBorders>
            <w:shd w:val="clear" w:color="auto" w:fill="auto"/>
            <w:noWrap/>
            <w:vAlign w:val="center"/>
          </w:tcPr>
          <w:p w14:paraId="2FDEC521">
            <w:pPr>
              <w:jc w:val="right"/>
              <w:rPr>
                <w:rFonts w:ascii="宋体" w:hAnsi="宋体" w:cs="Arial"/>
                <w:color w:val="000000"/>
                <w:sz w:val="22"/>
              </w:rPr>
            </w:pPr>
            <w:r>
              <w:rPr>
                <w:rFonts w:hint="eastAsia" w:cs="Arial"/>
                <w:color w:val="000000"/>
                <w:sz w:val="22"/>
                <w:szCs w:val="22"/>
              </w:rPr>
              <w:t xml:space="preserve">1105.81 </w:t>
            </w:r>
          </w:p>
        </w:tc>
        <w:tc>
          <w:tcPr>
            <w:tcW w:w="1057" w:type="pct"/>
            <w:tcBorders>
              <w:top w:val="nil"/>
              <w:left w:val="nil"/>
              <w:bottom w:val="single" w:color="auto" w:sz="4" w:space="0"/>
              <w:right w:val="single" w:color="auto" w:sz="4" w:space="0"/>
            </w:tcBorders>
            <w:shd w:val="clear" w:color="auto" w:fill="auto"/>
            <w:noWrap/>
            <w:vAlign w:val="bottom"/>
          </w:tcPr>
          <w:p w14:paraId="565FF8CC">
            <w:pPr>
              <w:jc w:val="right"/>
              <w:rPr>
                <w:rFonts w:ascii="Arial" w:hAnsi="Arial" w:cs="Arial"/>
                <w:color w:val="000000"/>
                <w:sz w:val="20"/>
                <w:szCs w:val="20"/>
              </w:rPr>
            </w:pPr>
            <w:r>
              <w:rPr>
                <w:rFonts w:ascii="Arial" w:hAnsi="Arial" w:cs="Arial"/>
                <w:color w:val="000000"/>
                <w:sz w:val="20"/>
                <w:szCs w:val="20"/>
              </w:rPr>
              <w:t>64.48</w:t>
            </w:r>
          </w:p>
        </w:tc>
      </w:tr>
      <w:tr w14:paraId="4BC389D8">
        <w:tblPrEx>
          <w:tblCellMar>
            <w:top w:w="0" w:type="dxa"/>
            <w:left w:w="108" w:type="dxa"/>
            <w:bottom w:w="0" w:type="dxa"/>
            <w:right w:w="108" w:type="dxa"/>
          </w:tblCellMar>
        </w:tblPrEx>
        <w:trPr>
          <w:trHeight w:val="312" w:hRule="atLeast"/>
        </w:trPr>
        <w:tc>
          <w:tcPr>
            <w:tcW w:w="2309" w:type="pct"/>
            <w:tcBorders>
              <w:top w:val="nil"/>
              <w:left w:val="single" w:color="000000" w:sz="4" w:space="0"/>
              <w:bottom w:val="single" w:color="000000" w:sz="4" w:space="0"/>
              <w:right w:val="nil"/>
            </w:tcBorders>
            <w:shd w:val="clear" w:color="auto" w:fill="auto"/>
            <w:noWrap/>
            <w:vAlign w:val="center"/>
          </w:tcPr>
          <w:p w14:paraId="67562642">
            <w:pPr>
              <w:rPr>
                <w:rFonts w:ascii="宋体" w:hAnsi="宋体" w:cs="Arial"/>
                <w:color w:val="000000"/>
                <w:sz w:val="22"/>
              </w:rPr>
            </w:pPr>
            <w:r>
              <w:rPr>
                <w:rFonts w:hint="eastAsia" w:cs="Arial"/>
                <w:color w:val="000000"/>
                <w:sz w:val="22"/>
                <w:szCs w:val="22"/>
              </w:rPr>
              <w:t>3．公务接待费</w:t>
            </w:r>
          </w:p>
        </w:tc>
        <w:tc>
          <w:tcPr>
            <w:tcW w:w="817" w:type="pct"/>
            <w:tcBorders>
              <w:top w:val="nil"/>
              <w:left w:val="single" w:color="auto" w:sz="4" w:space="0"/>
              <w:bottom w:val="single" w:color="auto" w:sz="4" w:space="0"/>
              <w:right w:val="single" w:color="auto" w:sz="4" w:space="0"/>
            </w:tcBorders>
            <w:shd w:val="clear" w:color="auto" w:fill="auto"/>
            <w:noWrap/>
            <w:vAlign w:val="center"/>
          </w:tcPr>
          <w:p w14:paraId="27633157">
            <w:pPr>
              <w:jc w:val="right"/>
              <w:rPr>
                <w:rFonts w:ascii="宋体" w:hAnsi="宋体" w:cs="Arial"/>
                <w:color w:val="000000"/>
                <w:sz w:val="22"/>
              </w:rPr>
            </w:pPr>
            <w:r>
              <w:rPr>
                <w:rFonts w:hint="eastAsia" w:cs="Arial"/>
                <w:color w:val="000000"/>
                <w:sz w:val="22"/>
                <w:szCs w:val="22"/>
              </w:rPr>
              <w:t xml:space="preserve">946.00 </w:t>
            </w:r>
          </w:p>
        </w:tc>
        <w:tc>
          <w:tcPr>
            <w:tcW w:w="817" w:type="pct"/>
            <w:tcBorders>
              <w:top w:val="nil"/>
              <w:left w:val="nil"/>
              <w:bottom w:val="single" w:color="auto" w:sz="4" w:space="0"/>
              <w:right w:val="single" w:color="auto" w:sz="4" w:space="0"/>
            </w:tcBorders>
            <w:shd w:val="clear" w:color="auto" w:fill="auto"/>
            <w:noWrap/>
            <w:vAlign w:val="center"/>
          </w:tcPr>
          <w:p w14:paraId="6B918A2D">
            <w:pPr>
              <w:jc w:val="right"/>
              <w:rPr>
                <w:rFonts w:ascii="宋体" w:hAnsi="宋体" w:cs="Arial"/>
                <w:color w:val="000000"/>
                <w:sz w:val="22"/>
              </w:rPr>
            </w:pPr>
            <w:r>
              <w:rPr>
                <w:rFonts w:hint="eastAsia" w:cs="Arial"/>
                <w:color w:val="000000"/>
                <w:sz w:val="22"/>
                <w:szCs w:val="22"/>
              </w:rPr>
              <w:t xml:space="preserve">373.38 </w:t>
            </w:r>
          </w:p>
        </w:tc>
        <w:tc>
          <w:tcPr>
            <w:tcW w:w="1057" w:type="pct"/>
            <w:tcBorders>
              <w:top w:val="nil"/>
              <w:left w:val="nil"/>
              <w:bottom w:val="single" w:color="auto" w:sz="4" w:space="0"/>
              <w:right w:val="single" w:color="auto" w:sz="4" w:space="0"/>
            </w:tcBorders>
            <w:shd w:val="clear" w:color="auto" w:fill="auto"/>
            <w:noWrap/>
            <w:vAlign w:val="bottom"/>
          </w:tcPr>
          <w:p w14:paraId="46B75DE1">
            <w:pPr>
              <w:jc w:val="right"/>
              <w:rPr>
                <w:rFonts w:ascii="Arial" w:hAnsi="Arial" w:cs="Arial"/>
                <w:color w:val="000000"/>
                <w:sz w:val="20"/>
                <w:szCs w:val="20"/>
              </w:rPr>
            </w:pPr>
            <w:r>
              <w:rPr>
                <w:rFonts w:ascii="Arial" w:hAnsi="Arial" w:cs="Arial"/>
                <w:color w:val="000000"/>
                <w:sz w:val="20"/>
                <w:szCs w:val="20"/>
              </w:rPr>
              <w:t>39.47</w:t>
            </w:r>
          </w:p>
        </w:tc>
      </w:tr>
    </w:tbl>
    <w:p w14:paraId="62390D84">
      <w:pPr>
        <w:autoSpaceDE w:val="0"/>
        <w:autoSpaceDN w:val="0"/>
        <w:adjustRightInd w:val="0"/>
        <w:spacing w:line="360" w:lineRule="auto"/>
        <w:ind w:firstLine="602" w:firstLineChars="200"/>
        <w:rPr>
          <w:rFonts w:ascii="仿宋_GB2312" w:hAnsi="Times New Roman" w:eastAsia="仿宋_GB2312" w:cs="仿宋_GB2312"/>
          <w:b/>
          <w:bCs/>
          <w:sz w:val="30"/>
          <w:szCs w:val="30"/>
        </w:rPr>
      </w:pPr>
      <w:r>
        <w:rPr>
          <w:rFonts w:hint="eastAsia" w:ascii="仿宋_GB2312" w:hAnsi="Times New Roman" w:eastAsia="仿宋_GB2312" w:cs="仿宋_GB2312"/>
          <w:b/>
          <w:bCs/>
          <w:sz w:val="30"/>
          <w:szCs w:val="30"/>
        </w:rPr>
        <w:t>二、埇桥区2020年度一般公共预算拨款</w:t>
      </w:r>
      <w:r>
        <w:rPr>
          <w:rFonts w:hint="eastAsia" w:ascii="仿宋_GB2312" w:hAnsi="Times New Roman" w:eastAsia="仿宋_GB2312" w:cs="Times New Roman"/>
          <w:b/>
          <w:bCs/>
          <w:sz w:val="30"/>
          <w:szCs w:val="30"/>
        </w:rPr>
        <w:t>“</w:t>
      </w:r>
      <w:r>
        <w:rPr>
          <w:rFonts w:hint="eastAsia" w:ascii="仿宋_GB2312" w:hAnsi="Times New Roman" w:eastAsia="仿宋_GB2312" w:cs="仿宋_GB2312"/>
          <w:b/>
          <w:bCs/>
          <w:sz w:val="30"/>
          <w:szCs w:val="30"/>
        </w:rPr>
        <w:t>三公</w:t>
      </w:r>
      <w:r>
        <w:rPr>
          <w:rFonts w:hint="eastAsia" w:ascii="仿宋_GB2312" w:hAnsi="Times New Roman" w:eastAsia="仿宋_GB2312" w:cs="Times New Roman"/>
          <w:b/>
          <w:bCs/>
          <w:sz w:val="30"/>
          <w:szCs w:val="30"/>
        </w:rPr>
        <w:t>”</w:t>
      </w:r>
      <w:r>
        <w:rPr>
          <w:rFonts w:hint="eastAsia" w:ascii="仿宋_GB2312" w:hAnsi="Times New Roman" w:eastAsia="仿宋_GB2312" w:cs="仿宋_GB2312"/>
          <w:b/>
          <w:bCs/>
          <w:sz w:val="30"/>
          <w:szCs w:val="30"/>
        </w:rPr>
        <w:t>经费支出决算情况说明</w:t>
      </w:r>
    </w:p>
    <w:p w14:paraId="7ECF7DBB">
      <w:pPr>
        <w:autoSpaceDE w:val="0"/>
        <w:autoSpaceDN w:val="0"/>
        <w:adjustRightInd w:val="0"/>
        <w:spacing w:line="360" w:lineRule="auto"/>
        <w:ind w:firstLine="602" w:firstLineChars="200"/>
        <w:rPr>
          <w:rFonts w:ascii="仿宋_GB2312" w:hAnsi="Times New Roman" w:eastAsia="仿宋_GB2312" w:cs="仿宋_GB2312"/>
          <w:b/>
          <w:bCs/>
          <w:sz w:val="30"/>
          <w:szCs w:val="30"/>
        </w:rPr>
      </w:pPr>
      <w:r>
        <w:rPr>
          <w:rFonts w:hint="eastAsia" w:ascii="仿宋_GB2312" w:hAnsi="Times New Roman" w:eastAsia="仿宋_GB2312" w:cs="仿宋_GB2312"/>
          <w:b/>
          <w:bCs/>
          <w:sz w:val="30"/>
          <w:szCs w:val="30"/>
        </w:rPr>
        <w:t>（一）一般公共预算拨款</w:t>
      </w:r>
      <w:r>
        <w:rPr>
          <w:rFonts w:hint="eastAsia" w:ascii="仿宋_GB2312" w:hAnsi="Times New Roman" w:eastAsia="仿宋_GB2312" w:cs="Times New Roman"/>
          <w:b/>
          <w:bCs/>
          <w:sz w:val="30"/>
          <w:szCs w:val="30"/>
        </w:rPr>
        <w:t>“</w:t>
      </w:r>
      <w:r>
        <w:rPr>
          <w:rFonts w:hint="eastAsia" w:ascii="仿宋_GB2312" w:hAnsi="Times New Roman" w:eastAsia="仿宋_GB2312" w:cs="仿宋_GB2312"/>
          <w:b/>
          <w:bCs/>
          <w:sz w:val="30"/>
          <w:szCs w:val="30"/>
        </w:rPr>
        <w:t>三公</w:t>
      </w:r>
      <w:r>
        <w:rPr>
          <w:rFonts w:hint="eastAsia" w:ascii="仿宋_GB2312" w:hAnsi="Times New Roman" w:eastAsia="仿宋_GB2312" w:cs="Times New Roman"/>
          <w:b/>
          <w:bCs/>
          <w:sz w:val="30"/>
          <w:szCs w:val="30"/>
        </w:rPr>
        <w:t>”</w:t>
      </w:r>
      <w:r>
        <w:rPr>
          <w:rFonts w:hint="eastAsia" w:ascii="仿宋_GB2312" w:hAnsi="Times New Roman" w:eastAsia="仿宋_GB2312" w:cs="仿宋_GB2312"/>
          <w:b/>
          <w:bCs/>
          <w:sz w:val="30"/>
          <w:szCs w:val="30"/>
        </w:rPr>
        <w:t>经费支出决算总体情况说明</w:t>
      </w:r>
    </w:p>
    <w:p w14:paraId="651ADB62">
      <w:pPr>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埇桥区2020年度一般公共预算拨款“三公”经费支出预算为2961.00万元，支出决算为2342.88万元，完成预算的79.12%。决算数小于预算数的主要原因是全区各部门单位认真贯彻落实中央八项规定精神和厉行节约要求，从严控制“三公”经费支出，全年实际支出比预算有所节约。为全面反映“三公”经费支出，本次公布的“三公”经费决算为全区部门单位汇总数。</w:t>
      </w:r>
    </w:p>
    <w:p w14:paraId="11CD13AF">
      <w:pPr>
        <w:autoSpaceDE w:val="0"/>
        <w:autoSpaceDN w:val="0"/>
        <w:adjustRightInd w:val="0"/>
        <w:spacing w:line="360" w:lineRule="auto"/>
        <w:ind w:firstLine="602" w:firstLineChars="200"/>
        <w:rPr>
          <w:rFonts w:ascii="仿宋_GB2312" w:hAnsi="Times New Roman" w:eastAsia="仿宋_GB2312" w:cs="仿宋_GB2312"/>
          <w:b/>
          <w:bCs/>
          <w:sz w:val="30"/>
          <w:szCs w:val="30"/>
        </w:rPr>
      </w:pPr>
      <w:r>
        <w:rPr>
          <w:rFonts w:hint="eastAsia" w:ascii="仿宋_GB2312" w:hAnsi="Times New Roman" w:eastAsia="仿宋_GB2312" w:cs="仿宋_GB2312"/>
          <w:b/>
          <w:bCs/>
          <w:sz w:val="30"/>
          <w:szCs w:val="30"/>
        </w:rPr>
        <w:t>（二）一般公共预算拨款</w:t>
      </w:r>
      <w:r>
        <w:rPr>
          <w:rFonts w:hint="eastAsia" w:ascii="仿宋_GB2312" w:hAnsi="Times New Roman" w:eastAsia="仿宋_GB2312" w:cs="Times New Roman"/>
          <w:b/>
          <w:bCs/>
          <w:sz w:val="30"/>
          <w:szCs w:val="30"/>
        </w:rPr>
        <w:t>“</w:t>
      </w:r>
      <w:r>
        <w:rPr>
          <w:rFonts w:hint="eastAsia" w:ascii="仿宋_GB2312" w:hAnsi="Times New Roman" w:eastAsia="仿宋_GB2312" w:cs="仿宋_GB2312"/>
          <w:b/>
          <w:bCs/>
          <w:sz w:val="30"/>
          <w:szCs w:val="30"/>
        </w:rPr>
        <w:t>三公</w:t>
      </w:r>
      <w:r>
        <w:rPr>
          <w:rFonts w:hint="eastAsia" w:ascii="仿宋_GB2312" w:hAnsi="Times New Roman" w:eastAsia="仿宋_GB2312" w:cs="Times New Roman"/>
          <w:b/>
          <w:bCs/>
          <w:sz w:val="30"/>
          <w:szCs w:val="30"/>
        </w:rPr>
        <w:t>”</w:t>
      </w:r>
      <w:r>
        <w:rPr>
          <w:rFonts w:hint="eastAsia" w:ascii="仿宋_GB2312" w:hAnsi="Times New Roman" w:eastAsia="仿宋_GB2312" w:cs="仿宋_GB2312"/>
          <w:b/>
          <w:bCs/>
          <w:sz w:val="30"/>
          <w:szCs w:val="30"/>
        </w:rPr>
        <w:t>经费支出决算具体情况说明</w:t>
      </w:r>
    </w:p>
    <w:p w14:paraId="2EE71C2D">
      <w:pPr>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埇桥区2020年度一般公共预算财政拨款“三公”经费支出决算中，因公出国（境）费支出决算0万元，占0%;公务接待费支出决算373.38万元，占15.94%；公务用车购置及运行维护费支出决算1969.50万元，占84.06%。具体情况如下：</w:t>
      </w:r>
    </w:p>
    <w:p w14:paraId="37376766">
      <w:pPr>
        <w:autoSpaceDE w:val="0"/>
        <w:autoSpaceDN w:val="0"/>
        <w:adjustRightInd w:val="0"/>
        <w:spacing w:line="360" w:lineRule="auto"/>
        <w:ind w:firstLine="602" w:firstLineChars="200"/>
        <w:rPr>
          <w:rFonts w:ascii="仿宋_GB2312" w:hAnsi="Times New Roman" w:eastAsia="仿宋_GB2312" w:cs="Times New Roman"/>
          <w:sz w:val="30"/>
          <w:szCs w:val="30"/>
        </w:rPr>
      </w:pPr>
      <w:r>
        <w:rPr>
          <w:rFonts w:hint="eastAsia" w:ascii="仿宋_GB2312" w:hAnsi="Times New Roman" w:eastAsia="仿宋_GB2312" w:cs="仿宋_GB2312"/>
          <w:b/>
          <w:sz w:val="30"/>
          <w:szCs w:val="30"/>
        </w:rPr>
        <w:t>1、因公出国（境）费支出</w:t>
      </w:r>
      <w:r>
        <w:rPr>
          <w:rFonts w:hint="eastAsia" w:ascii="仿宋_GB2312" w:hAnsi="Times New Roman" w:eastAsia="仿宋_GB2312" w:cs="仿宋_GB2312"/>
          <w:sz w:val="30"/>
          <w:szCs w:val="30"/>
        </w:rPr>
        <w:t>0万元，与2020年度预算相比，减少35.00万元，下降的原因是2020年受疫情影响出国（境）考察学习计划取消。2020年宿州市埇桥区因公出国</w:t>
      </w:r>
      <w:r>
        <w:rPr>
          <w:rFonts w:hint="eastAsia" w:ascii="仿宋_GB2312" w:hAnsi="仿宋_GB2312" w:eastAsia="仿宋_GB2312" w:cs="仿宋_GB2312"/>
          <w:sz w:val="30"/>
          <w:szCs w:val="30"/>
        </w:rPr>
        <w:t>（境）团组</w:t>
      </w:r>
      <w:r>
        <w:rPr>
          <w:rFonts w:hint="eastAsia" w:ascii="仿宋_GB2312" w:hAnsi="Times New Roman" w:eastAsia="仿宋_GB2312" w:cs="仿宋_GB2312"/>
          <w:sz w:val="30"/>
          <w:szCs w:val="30"/>
        </w:rPr>
        <w:t>0次，累计出国（境）0人次。该项经费根据省外办批准的因公临时出国（境）计划，按照规定标准安排。该项经费根据省外事办批准的因公出国（境）费计划，按照规定标准安排。经费使用严格按照《关于进一步规范省部级以下国家工作人员因公临时出国的意见》（中办发〔2013〕16号）、</w:t>
      </w:r>
      <w:r>
        <w:rPr>
          <w:rFonts w:hint="eastAsia" w:ascii="仿宋_GB2312" w:hAnsi="仿宋" w:eastAsia="仿宋_GB2312" w:cs="仿宋_GB2312"/>
          <w:sz w:val="30"/>
          <w:szCs w:val="30"/>
        </w:rPr>
        <w:t>《安徽省省直党政机关因公临时出国经费管理办法》（财行〔2014〕104号）、《安徽省省直党政机关因公短期出国培训费用管理办法》（财行〔2014〕527号）、</w:t>
      </w:r>
      <w:r>
        <w:rPr>
          <w:rFonts w:hint="eastAsia" w:ascii="仿宋_GB2312" w:hAnsi="Times New Roman" w:eastAsia="仿宋_GB2312" w:cs="仿宋_GB2312"/>
          <w:sz w:val="30"/>
          <w:szCs w:val="30"/>
        </w:rPr>
        <w:t>《宿州市规范因公出国境管理办法》（宿外事组办〔2014〕1号）规定执行。</w:t>
      </w:r>
    </w:p>
    <w:p w14:paraId="3F533770">
      <w:pPr>
        <w:autoSpaceDE w:val="0"/>
        <w:autoSpaceDN w:val="0"/>
        <w:adjustRightInd w:val="0"/>
        <w:spacing w:line="360" w:lineRule="auto"/>
        <w:ind w:firstLine="602" w:firstLineChars="200"/>
        <w:rPr>
          <w:rFonts w:ascii="仿宋_GB2312" w:hAnsi="Times New Roman" w:eastAsia="仿宋_GB2312" w:cs="Times New Roman"/>
          <w:sz w:val="30"/>
          <w:szCs w:val="30"/>
        </w:rPr>
      </w:pPr>
      <w:r>
        <w:rPr>
          <w:rFonts w:hint="eastAsia" w:ascii="仿宋_GB2312" w:hAnsi="Times New Roman" w:eastAsia="仿宋_GB2312" w:cs="仿宋_GB2312"/>
          <w:b/>
          <w:sz w:val="30"/>
          <w:szCs w:val="30"/>
        </w:rPr>
        <w:t>2、公务接待费支出</w:t>
      </w:r>
      <w:r>
        <w:rPr>
          <w:rFonts w:hint="eastAsia" w:ascii="仿宋_GB2312" w:hAnsi="Times New Roman" w:eastAsia="仿宋_GB2312" w:cs="仿宋_GB2312"/>
          <w:sz w:val="30"/>
          <w:szCs w:val="30"/>
        </w:rPr>
        <w:t>373.38万元, 与2020年度预算相比，减少572.62万元，下降60.53%，下降的原因是</w:t>
      </w:r>
      <w:r>
        <w:rPr>
          <w:rFonts w:hint="eastAsia" w:ascii="仿宋_GB2312" w:hAnsi="微软雅黑" w:eastAsia="仿宋_GB2312" w:cs="宋体"/>
          <w:color w:val="333333"/>
          <w:kern w:val="0"/>
          <w:sz w:val="30"/>
          <w:szCs w:val="30"/>
        </w:rPr>
        <w:t>各部门单位按照中央、省、市、区厉行节约要求，严格执行公务接待相关制度，从严控制接待人数和费用</w:t>
      </w:r>
      <w:r>
        <w:rPr>
          <w:rFonts w:hint="eastAsia" w:ascii="仿宋_GB2312" w:hAnsi="Times New Roman" w:eastAsia="仿宋_GB2312" w:cs="仿宋_GB2312"/>
          <w:sz w:val="30"/>
          <w:szCs w:val="30"/>
        </w:rPr>
        <w:t>。</w:t>
      </w:r>
      <w:r>
        <w:rPr>
          <w:rFonts w:hint="eastAsia" w:ascii="仿宋_GB2312" w:hAnsi="微软雅黑" w:eastAsia="仿宋_GB2312" w:cs="宋体"/>
          <w:color w:val="333333"/>
          <w:kern w:val="0"/>
          <w:sz w:val="30"/>
          <w:szCs w:val="30"/>
        </w:rPr>
        <w:t>2020年宿州市埇桥区国内公务接待共464</w:t>
      </w:r>
      <w:r>
        <w:rPr>
          <w:rFonts w:hint="eastAsia" w:ascii="仿宋_GB2312" w:hAnsi="Times New Roman" w:eastAsia="仿宋_GB2312" w:cs="仿宋_GB2312"/>
          <w:sz w:val="30"/>
          <w:szCs w:val="30"/>
        </w:rPr>
        <w:t>3批次（其中外事接待0批次），37322人次（其中外事接待0人次）。主要是用于</w:t>
      </w:r>
      <w:r>
        <w:rPr>
          <w:rFonts w:hint="eastAsia" w:ascii="仿宋_GB2312" w:hAnsi="微软雅黑" w:eastAsia="仿宋_GB2312" w:cs="宋体"/>
          <w:color w:val="333333"/>
          <w:kern w:val="0"/>
          <w:sz w:val="30"/>
          <w:szCs w:val="30"/>
        </w:rPr>
        <w:t>接待区外单位业务指导和工作调研、招商引资等往来业务。</w:t>
      </w:r>
      <w:r>
        <w:rPr>
          <w:rFonts w:hint="eastAsia" w:ascii="仿宋_GB2312" w:hAnsi="仿宋" w:eastAsia="仿宋_GB2312" w:cs="仿宋_GB2312"/>
          <w:sz w:val="30"/>
          <w:szCs w:val="30"/>
        </w:rPr>
        <w:t>经费使用贯彻</w:t>
      </w:r>
      <w:r>
        <w:rPr>
          <w:rFonts w:hint="eastAsia" w:ascii="仿宋_GB2312" w:hAnsi="仿宋" w:eastAsia="仿宋_GB2312" w:cs="仿宋_GB2312"/>
          <w:sz w:val="30"/>
          <w:szCs w:val="30"/>
          <w:lang w:eastAsia="zh-CN"/>
        </w:rPr>
        <w:t>“</w:t>
      </w:r>
      <w:r>
        <w:rPr>
          <w:rFonts w:hint="eastAsia" w:ascii="仿宋_GB2312" w:hAnsi="仿宋" w:eastAsia="仿宋_GB2312" w:cs="仿宋_GB2312"/>
          <w:sz w:val="30"/>
          <w:szCs w:val="30"/>
        </w:rPr>
        <w:t>中央八项规定</w:t>
      </w:r>
      <w:r>
        <w:rPr>
          <w:rFonts w:hint="eastAsia" w:ascii="仿宋_GB2312" w:hAnsi="仿宋" w:eastAsia="仿宋_GB2312" w:cs="仿宋_GB2312"/>
          <w:sz w:val="30"/>
          <w:szCs w:val="30"/>
          <w:lang w:eastAsia="zh-CN"/>
        </w:rPr>
        <w:t>”</w:t>
      </w:r>
      <w:bookmarkStart w:id="0" w:name="_GoBack"/>
      <w:bookmarkEnd w:id="0"/>
      <w:r>
        <w:rPr>
          <w:rFonts w:hint="eastAsia" w:ascii="仿宋_GB2312" w:hAnsi="仿宋" w:eastAsia="仿宋_GB2312" w:cs="仿宋_GB2312"/>
          <w:sz w:val="30"/>
          <w:szCs w:val="30"/>
        </w:rPr>
        <w:t>和省委省政府30条要求，严格执行《党政机关厉行节约反对浪费条例》、《</w:t>
      </w:r>
      <w:r>
        <w:rPr>
          <w:rFonts w:hint="eastAsia" w:ascii="仿宋_GB2312" w:hAnsi="仿宋" w:cs="宋体"/>
          <w:sz w:val="30"/>
          <w:szCs w:val="30"/>
        </w:rPr>
        <w:t>埇</w:t>
      </w:r>
      <w:r>
        <w:rPr>
          <w:rFonts w:hint="eastAsia" w:ascii="仿宋_GB2312" w:hAnsi="仿宋" w:eastAsia="仿宋_GB2312" w:cs="仿宋_GB2312"/>
          <w:sz w:val="30"/>
          <w:szCs w:val="30"/>
        </w:rPr>
        <w:t>桥区机关单位公务接待费管理暂行办法》（区财行〔2016〕106号）、《</w:t>
      </w:r>
      <w:r>
        <w:rPr>
          <w:rFonts w:hint="eastAsia" w:ascii="仿宋_GB2312" w:hAnsi="仿宋" w:cs="宋体"/>
          <w:sz w:val="30"/>
          <w:szCs w:val="30"/>
        </w:rPr>
        <w:t>埇</w:t>
      </w:r>
      <w:r>
        <w:rPr>
          <w:rFonts w:hint="eastAsia" w:ascii="仿宋_GB2312" w:hAnsi="仿宋" w:eastAsia="仿宋_GB2312" w:cs="仿宋_GB2312"/>
          <w:sz w:val="30"/>
          <w:szCs w:val="30"/>
        </w:rPr>
        <w:t>桥区区直机关外宾接待费管理办法》（区财行〔2015〕90号）相关规定。</w:t>
      </w:r>
    </w:p>
    <w:p w14:paraId="318B792E">
      <w:pPr>
        <w:autoSpaceDE w:val="0"/>
        <w:autoSpaceDN w:val="0"/>
        <w:adjustRightInd w:val="0"/>
        <w:spacing w:line="360" w:lineRule="auto"/>
        <w:ind w:firstLine="602" w:firstLineChars="200"/>
        <w:rPr>
          <w:rFonts w:ascii="仿宋_GB2312" w:hAnsi="Times New Roman" w:eastAsia="仿宋_GB2312" w:cs="仿宋_GB2312"/>
          <w:sz w:val="30"/>
          <w:szCs w:val="30"/>
        </w:rPr>
      </w:pPr>
      <w:r>
        <w:rPr>
          <w:rFonts w:hint="eastAsia" w:ascii="仿宋_GB2312" w:hAnsi="Times New Roman" w:eastAsia="仿宋_GB2312" w:cs="仿宋_GB2312"/>
          <w:b/>
          <w:sz w:val="30"/>
          <w:szCs w:val="30"/>
        </w:rPr>
        <w:t>3、公务用车购置及运行维护费支出</w:t>
      </w:r>
      <w:r>
        <w:rPr>
          <w:rFonts w:hint="eastAsia" w:ascii="仿宋_GB2312" w:hAnsi="Times New Roman" w:eastAsia="仿宋_GB2312" w:cs="仿宋_GB2312"/>
          <w:sz w:val="30"/>
          <w:szCs w:val="30"/>
        </w:rPr>
        <w:t>1969.50万元，与2020年度预算相比，减少45.50万元，下降2.26%，下降的原因是各部门单位严格核定保留车辆管理，降低了公务用车运行维护费用。其中，公务用车购置费863.69万元，与2020年度预算相比，增加563.69万元，增长187.90%，增长的原因是部门单位临时更新执法执勤及公车平台车辆，2020年度购置公务用车34辆；公务用车运行维护费1105.81万元，与2020年度预算相比，减少609.19万元，下降35.52%，下降的原因是各部门单位进一步加强和规范公务用车使用管理，降低了运行成本。公务用车运行维护费，包括车辆燃料费、维修费、过路过桥费、保险费等支出。截至2020年12月31日，宿州市埇桥区机关及所属单位开支财政拨款的公务用车保有量为628辆。</w:t>
      </w:r>
    </w:p>
    <w:p w14:paraId="4EBC7230">
      <w:pPr>
        <w:autoSpaceDE w:val="0"/>
        <w:autoSpaceDN w:val="0"/>
        <w:adjustRightInd w:val="0"/>
        <w:spacing w:line="360" w:lineRule="auto"/>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联系方式：宿州市埇桥区政务公开电子邮箱：szyqcz@163.com。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wOWJjYWMxOTc2MDVjOTdhZjQ4YWFjZmZjYWViMTgifQ=="/>
  </w:docVars>
  <w:rsids>
    <w:rsidRoot w:val="00AD13D4"/>
    <w:rsid w:val="0001496D"/>
    <w:rsid w:val="0003781F"/>
    <w:rsid w:val="00044D8E"/>
    <w:rsid w:val="0008247D"/>
    <w:rsid w:val="00090D5D"/>
    <w:rsid w:val="000C49E4"/>
    <w:rsid w:val="00104B38"/>
    <w:rsid w:val="00124E09"/>
    <w:rsid w:val="0015451C"/>
    <w:rsid w:val="001A769D"/>
    <w:rsid w:val="001C5D78"/>
    <w:rsid w:val="001D0832"/>
    <w:rsid w:val="002174A8"/>
    <w:rsid w:val="002C1465"/>
    <w:rsid w:val="002D5D07"/>
    <w:rsid w:val="003208E9"/>
    <w:rsid w:val="003268D4"/>
    <w:rsid w:val="003555B9"/>
    <w:rsid w:val="003B1957"/>
    <w:rsid w:val="003D2002"/>
    <w:rsid w:val="00443D76"/>
    <w:rsid w:val="00445ED7"/>
    <w:rsid w:val="0044723F"/>
    <w:rsid w:val="0049706B"/>
    <w:rsid w:val="004A63C6"/>
    <w:rsid w:val="004E477A"/>
    <w:rsid w:val="004F5E34"/>
    <w:rsid w:val="004F779D"/>
    <w:rsid w:val="005076CE"/>
    <w:rsid w:val="00520291"/>
    <w:rsid w:val="00530C82"/>
    <w:rsid w:val="00553C39"/>
    <w:rsid w:val="0058751C"/>
    <w:rsid w:val="006745E8"/>
    <w:rsid w:val="00685154"/>
    <w:rsid w:val="006A51C3"/>
    <w:rsid w:val="006A727E"/>
    <w:rsid w:val="006C47D2"/>
    <w:rsid w:val="006E57C6"/>
    <w:rsid w:val="006F0CC2"/>
    <w:rsid w:val="0073018A"/>
    <w:rsid w:val="007C0126"/>
    <w:rsid w:val="007D247A"/>
    <w:rsid w:val="007D43B1"/>
    <w:rsid w:val="0080421D"/>
    <w:rsid w:val="00835E6A"/>
    <w:rsid w:val="008434B6"/>
    <w:rsid w:val="00876CDE"/>
    <w:rsid w:val="008B6F00"/>
    <w:rsid w:val="008F6FF3"/>
    <w:rsid w:val="00982C8D"/>
    <w:rsid w:val="009B0422"/>
    <w:rsid w:val="00A26B69"/>
    <w:rsid w:val="00A5491E"/>
    <w:rsid w:val="00A9330A"/>
    <w:rsid w:val="00AD13D4"/>
    <w:rsid w:val="00AD4913"/>
    <w:rsid w:val="00AE2B29"/>
    <w:rsid w:val="00B13AA7"/>
    <w:rsid w:val="00B233F4"/>
    <w:rsid w:val="00BB471B"/>
    <w:rsid w:val="00C40D8F"/>
    <w:rsid w:val="00C42A0A"/>
    <w:rsid w:val="00C50716"/>
    <w:rsid w:val="00C936F0"/>
    <w:rsid w:val="00CB295A"/>
    <w:rsid w:val="00CD2573"/>
    <w:rsid w:val="00D63BFB"/>
    <w:rsid w:val="00D80D51"/>
    <w:rsid w:val="00D820A0"/>
    <w:rsid w:val="00DC7C14"/>
    <w:rsid w:val="00E75765"/>
    <w:rsid w:val="00E978C1"/>
    <w:rsid w:val="00EC595F"/>
    <w:rsid w:val="00EE6F74"/>
    <w:rsid w:val="00F24476"/>
    <w:rsid w:val="00F32CFD"/>
    <w:rsid w:val="00F360CE"/>
    <w:rsid w:val="00F455B2"/>
    <w:rsid w:val="00F6475C"/>
    <w:rsid w:val="00F836FA"/>
    <w:rsid w:val="00F960C5"/>
    <w:rsid w:val="00FC338F"/>
    <w:rsid w:val="0EC65BDF"/>
    <w:rsid w:val="77107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iPriority w:val="0"/>
    <w:pPr>
      <w:jc w:val="left"/>
    </w:pPr>
    <w:rPr>
      <w:rFonts w:ascii="Times New Roman" w:hAnsi="Times New Roman" w:eastAsia="仿宋_GB2312" w:cs="Times New Roman"/>
      <w:sz w:val="32"/>
      <w:szCs w:val="20"/>
    </w:rPr>
  </w:style>
  <w:style w:type="paragraph" w:styleId="3">
    <w:name w:val="Balloon Text"/>
    <w:basedOn w:val="1"/>
    <w:link w:val="13"/>
    <w:semiHidden/>
    <w:unhideWhenUsed/>
    <w:uiPriority w:val="99"/>
    <w:rPr>
      <w:sz w:val="18"/>
      <w:szCs w:val="18"/>
    </w:rPr>
  </w:style>
  <w:style w:type="paragraph" w:styleId="4">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annotation reference"/>
    <w:basedOn w:val="7"/>
    <w:uiPriority w:val="0"/>
    <w:rPr>
      <w:sz w:val="21"/>
      <w:szCs w:val="21"/>
    </w:rPr>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文字 Char"/>
    <w:basedOn w:val="7"/>
    <w:link w:val="2"/>
    <w:uiPriority w:val="0"/>
    <w:rPr>
      <w:rFonts w:ascii="Times New Roman" w:hAnsi="Times New Roman" w:eastAsia="仿宋_GB2312" w:cs="Times New Roman"/>
      <w:sz w:val="32"/>
      <w:szCs w:val="20"/>
    </w:rPr>
  </w:style>
  <w:style w:type="character" w:customStyle="1" w:styleId="13">
    <w:name w:val="批注框文本 Char"/>
    <w:basedOn w:val="7"/>
    <w:link w:val="3"/>
    <w:semiHidden/>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1361</Words>
  <Characters>1650</Characters>
  <Lines>12</Lines>
  <Paragraphs>3</Paragraphs>
  <TotalTime>195</TotalTime>
  <ScaleCrop>false</ScaleCrop>
  <LinksUpToDate>false</LinksUpToDate>
  <CharactersWithSpaces>1671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2020-07-07T09:39:00Z</dcterms:created>
  <dc:creator>lihao</dc:creator>
  <cp:lastModifiedBy>留意</cp:lastModifiedBy>
  <dcterms:modified xsi:type="dcterms:W3CDTF">2025-06-30T09:12:26Z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1F84FC866BFF4F16865FAC63163C4C5E_12</vt:lpwstr>
  </property>
  <property fmtid="{D5CDD505-2E9C-101B-9397-08002B2CF9AE}" pid="4" name="KSOTemplateDocerSaveRecord">
    <vt:lpwstr>eyJoZGlkIjoiMTU0NzJkMWUxOWFmZjU1NGZjZGI2NjAyYTU2N2E0MmIiLCJ1c2VySWQiOiI1MDkzNzMxNTgifQ==</vt:lpwstr>
  </property>
</Properties>
</file>