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nts/font9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D42EC5">
      <w:pPr>
        <w:spacing w:line="400" w:lineRule="exact"/>
        <w:rPr>
          <w:rFonts w:hint="eastAsia" w:ascii="方正黑体_GBK" w:hAnsi="方正黑体_GBK" w:eastAsia="方正黑体_GBK" w:cs="方正黑体_GBK"/>
          <w:b w:val="0"/>
          <w:bCs/>
          <w:spacing w:val="2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pacing w:val="24"/>
          <w:sz w:val="32"/>
          <w:szCs w:val="32"/>
        </w:rPr>
        <w:t>埇桥区十一届人大</w:t>
      </w:r>
    </w:p>
    <w:p w14:paraId="376665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00" w:lineRule="exact"/>
        <w:textAlignment w:val="auto"/>
        <w:rPr>
          <w:rFonts w:hint="eastAsia" w:ascii="方正黑体_GBK" w:hAnsi="方正黑体_GBK" w:eastAsia="方正黑体_GBK" w:cs="方正黑体_GBK"/>
          <w:b w:val="0"/>
          <w:bCs/>
          <w:spacing w:val="-4"/>
          <w:w w:val="95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w w:val="95"/>
          <w:sz w:val="32"/>
          <w:szCs w:val="32"/>
          <w:lang w:val="en-US" w:eastAsia="zh-CN"/>
        </w:rPr>
        <w:t>四</w:t>
      </w:r>
      <w:r>
        <w:rPr>
          <w:rFonts w:hint="eastAsia" w:ascii="方正黑体_GBK" w:hAnsi="方正黑体_GBK" w:eastAsia="方正黑体_GBK" w:cs="方正黑体_GBK"/>
          <w:b w:val="0"/>
          <w:bCs/>
          <w:w w:val="95"/>
          <w:sz w:val="32"/>
          <w:szCs w:val="32"/>
        </w:rPr>
        <w:t>次会议文件</w:t>
      </w:r>
      <w:r>
        <w:rPr>
          <w:rFonts w:hint="eastAsia" w:ascii="方正黑体_GBK" w:hAnsi="方正黑体_GBK" w:eastAsia="方正黑体_GBK" w:cs="方正黑体_GBK"/>
          <w:b w:val="0"/>
          <w:bCs/>
          <w:spacing w:val="-4"/>
          <w:w w:val="95"/>
          <w:sz w:val="32"/>
          <w:szCs w:val="32"/>
        </w:rPr>
        <w:t>（</w:t>
      </w:r>
      <w:r>
        <w:rPr>
          <w:rFonts w:hint="eastAsia" w:ascii="方正黑体_GBK" w:hAnsi="方正黑体_GBK" w:eastAsia="方正黑体_GBK" w:cs="方正黑体_GBK"/>
          <w:b w:val="0"/>
          <w:bCs/>
          <w:spacing w:val="-4"/>
          <w:w w:val="95"/>
          <w:sz w:val="32"/>
          <w:szCs w:val="32"/>
          <w:lang w:val="en-US" w:eastAsia="zh-CN"/>
        </w:rPr>
        <w:t>十一</w:t>
      </w:r>
      <w:r>
        <w:rPr>
          <w:rFonts w:hint="eastAsia" w:ascii="方正黑体_GBK" w:hAnsi="方正黑体_GBK" w:eastAsia="方正黑体_GBK" w:cs="方正黑体_GBK"/>
          <w:b w:val="0"/>
          <w:bCs/>
          <w:spacing w:val="-4"/>
          <w:w w:val="95"/>
          <w:sz w:val="32"/>
          <w:szCs w:val="32"/>
        </w:rPr>
        <w:t>）</w:t>
      </w:r>
    </w:p>
    <w:p w14:paraId="0CF3FCEC">
      <w:pPr>
        <w:spacing w:line="400" w:lineRule="exact"/>
        <w:rPr>
          <w:rFonts w:hint="eastAsia" w:ascii="方正黑体_GBK" w:hAnsi="方正黑体_GBK" w:eastAsia="方正黑体_GBK" w:cs="方正黑体_GBK"/>
          <w:b w:val="0"/>
          <w:bCs/>
          <w:spacing w:val="-4"/>
          <w:w w:val="95"/>
          <w:sz w:val="32"/>
          <w:szCs w:val="32"/>
        </w:rPr>
      </w:pPr>
    </w:p>
    <w:p w14:paraId="29AEECCD">
      <w:pPr>
        <w:spacing w:line="400" w:lineRule="exact"/>
        <w:rPr>
          <w:rFonts w:hint="eastAsia" w:ascii="方正黑体_GBK" w:hAnsi="方正黑体_GBK" w:eastAsia="方正黑体_GBK" w:cs="方正黑体_GBK"/>
          <w:b w:val="0"/>
          <w:bCs/>
          <w:spacing w:val="-4"/>
          <w:w w:val="95"/>
          <w:sz w:val="32"/>
          <w:szCs w:val="32"/>
        </w:rPr>
      </w:pPr>
    </w:p>
    <w:p w14:paraId="003417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8"/>
          <w:szCs w:val="48"/>
          <w:highlight w:val="none"/>
        </w:rPr>
        <w:t>埇桥区2024年财政预算执行情况</w:t>
      </w:r>
      <w:r>
        <w:rPr>
          <w:rFonts w:hint="eastAsia" w:ascii="方正小标宋_GBK" w:hAnsi="方正小标宋_GBK" w:eastAsia="方正小标宋_GBK" w:cs="方正小标宋_GBK"/>
          <w:bCs/>
          <w:color w:val="auto"/>
          <w:sz w:val="48"/>
          <w:szCs w:val="48"/>
          <w:highlight w:val="none"/>
          <w:lang w:val="en-US" w:eastAsia="zh-CN"/>
        </w:rPr>
        <w:t>和</w:t>
      </w:r>
    </w:p>
    <w:p w14:paraId="5BD19A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bCs/>
          <w:color w:val="auto"/>
          <w:sz w:val="48"/>
          <w:szCs w:val="48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48"/>
          <w:szCs w:val="48"/>
          <w:highlight w:val="none"/>
        </w:rPr>
        <w:t>2025年预算草案的报告</w:t>
      </w:r>
    </w:p>
    <w:p w14:paraId="31221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default" w:ascii="Times New Roman" w:hAnsi="Times New Roman" w:eastAsia="楷体" w:cs="Times New Roman"/>
          <w:color w:val="auto"/>
          <w:kern w:val="32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" w:cs="Times New Roman"/>
          <w:color w:val="auto"/>
          <w:kern w:val="32"/>
          <w:sz w:val="32"/>
          <w:szCs w:val="32"/>
          <w:highlight w:val="none"/>
          <w:lang w:val="en-US" w:eastAsia="zh-CN"/>
        </w:rPr>
        <w:t>——2025年1月6日在宿州市埇桥区第十一届人民代表大会</w:t>
      </w:r>
    </w:p>
    <w:p w14:paraId="09EBBC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auto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32"/>
          <w:sz w:val="32"/>
          <w:szCs w:val="32"/>
          <w:highlight w:val="none"/>
          <w:lang w:val="en-US" w:eastAsia="zh-CN"/>
        </w:rPr>
        <w:t>第四次会议上</w:t>
      </w:r>
    </w:p>
    <w:p w14:paraId="328B43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color w:val="auto"/>
          <w:kern w:val="32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楷体"/>
          <w:color w:val="auto"/>
          <w:kern w:val="32"/>
          <w:sz w:val="32"/>
          <w:szCs w:val="32"/>
          <w:highlight w:val="none"/>
          <w:lang w:val="en-US" w:eastAsia="zh-CN"/>
        </w:rPr>
        <w:t>埇桥区财政局</w:t>
      </w:r>
    </w:p>
    <w:p w14:paraId="3CD530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auto"/>
        <w:rPr>
          <w:rFonts w:hint="eastAsia" w:ascii="Times New Roman" w:hAnsi="Times New Roman" w:eastAsia="方正仿宋简体" w:cs="Times New Roman"/>
          <w:color w:val="auto"/>
          <w:kern w:val="32"/>
          <w:sz w:val="32"/>
          <w:szCs w:val="32"/>
          <w:highlight w:val="none"/>
        </w:rPr>
      </w:pPr>
    </w:p>
    <w:p w14:paraId="313305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ascii="Times New Roman" w:hAnsi="Times New Roman" w:eastAsia="方正仿宋简体" w:cs="Times New Roman"/>
          <w:color w:val="auto"/>
          <w:kern w:val="32"/>
          <w:sz w:val="32"/>
          <w:szCs w:val="32"/>
          <w:highlight w:val="none"/>
        </w:rPr>
      </w:pPr>
      <w:r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</w:rPr>
        <w:t>各位代表：</w:t>
      </w:r>
      <w:r>
        <w:rPr>
          <w:rFonts w:hint="eastAsia" w:ascii="Times New Roman" w:hAnsi="Times New Roman" w:eastAsia="方正仿宋简体" w:cs="Times New Roman"/>
          <w:color w:val="auto"/>
          <w:kern w:val="32"/>
          <w:sz w:val="32"/>
          <w:szCs w:val="32"/>
          <w:highlight w:val="none"/>
        </w:rPr>
        <w:t xml:space="preserve">  </w:t>
      </w:r>
    </w:p>
    <w:p w14:paraId="35A003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</w:rPr>
        <w:t>受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埇桥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</w:rPr>
        <w:t>区人民政府委托，现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将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</w:rPr>
        <w:t>埇桥区2024年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财政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</w:rPr>
        <w:t>预算执行情况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</w:rPr>
        <w:t>2025年预算草案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提请会议审查，并请区政协委员和列席会议的各位同志提出意见。</w:t>
      </w:r>
    </w:p>
    <w:p w14:paraId="60B71F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一、2024年预算执行基本情况</w:t>
      </w:r>
    </w:p>
    <w:p w14:paraId="67FE21C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</w:rPr>
        <w:t>2024年是实施“十四五”规划承上启下的关键之年。一年来，在区委、区政府的坚强领导下，在区人大、区政协和社会各界的监督支持下，全区财政坚持以习近平新时代中国特色社会主义思想为指导，深入学习贯彻党的二十大和二十届二中、</w:t>
      </w:r>
      <w:r>
        <w:rPr>
          <w:rFonts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</w:rPr>
        <w:t>三中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shd w:val="clear" w:color="auto" w:fill="FFFFFF"/>
        </w:rPr>
        <w:t>全会精神，坚持稳中求进的工作总基调，认真落实中央和省市区的重大决策部署，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</w:rPr>
        <w:t>围绕一条主线，实施五大行动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highlight w:val="none"/>
          <w:shd w:val="clear" w:color="auto" w:fill="FFFFFF"/>
        </w:rPr>
        <w:t>，努力增强财政保障能力，严格落实积极财政政策，有力提升预算管理水平，有效防范化解政府债务风险，财政运行总体平稳。</w:t>
      </w:r>
    </w:p>
    <w:p w14:paraId="19F93A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楷体" w:cs="方正楷体简体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方正楷体简体"/>
          <w:color w:val="auto"/>
          <w:kern w:val="32"/>
          <w:sz w:val="32"/>
          <w:szCs w:val="32"/>
          <w:highlight w:val="none"/>
        </w:rPr>
        <w:t>（一）一般公共预算执行情况</w:t>
      </w:r>
    </w:p>
    <w:p w14:paraId="0D9660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2024年，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区级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一般公共预算收入40.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亿元，同比增长6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.14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%，其中：税收收入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20.3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同比下降2.11%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非税收入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20.2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亿元，同比增长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15.97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%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加：上级补助收入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56.44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亿元，调入资金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5.86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亿元，债务转贷收入2.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52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亿元，动用预算稳定调节基金0.1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亿元，一般公共预算收入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10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5.48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亿元。</w:t>
      </w:r>
    </w:p>
    <w:p w14:paraId="5D6D540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楷体" w:cs="方正楷体简体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2024年，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区级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一般公共预算支出91.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05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亿元，同比下降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1.51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%，加：上解支出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10.85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亿元，债务还本支出1.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51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亿元，安排预算稳定调节基金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0.04亿元，结转下年资金2.03亿元，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一般公共预算支出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总量105.48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亿元。</w:t>
      </w:r>
    </w:p>
    <w:p w14:paraId="4575FFC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楷体" w:cs="方正楷体简体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方正楷体简体"/>
          <w:color w:val="auto"/>
          <w:kern w:val="32"/>
          <w:sz w:val="32"/>
          <w:szCs w:val="32"/>
          <w:highlight w:val="none"/>
        </w:rPr>
        <w:t xml:space="preserve">（二）政府性基金预算执行情况 </w:t>
      </w:r>
    </w:p>
    <w:p w14:paraId="557817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2024年，区级政府性基金收入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3.64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亿元，加：结转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结余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0.14亿元，上级补助收入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4.54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亿元，地方政府债务转贷收入20.3亿元，调入资金1.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9亿元，政府性基金收入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总量30.61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亿元。</w:t>
      </w:r>
    </w:p>
    <w:p w14:paraId="2536ED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2024年，区级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政府性基金支出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18.03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亿元，加：调出资金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0.36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亿元，债务还本支出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8.99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结转下年资金3.23亿元，政府性基金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支出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30.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61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亿元。</w:t>
      </w:r>
    </w:p>
    <w:p w14:paraId="50B30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楷体" w:cs="方正楷体简体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方正楷体简体"/>
          <w:color w:val="auto"/>
          <w:kern w:val="32"/>
          <w:sz w:val="32"/>
          <w:szCs w:val="32"/>
          <w:highlight w:val="none"/>
        </w:rPr>
        <w:t>（三）国有资本经营预算执行情况</w:t>
      </w:r>
    </w:p>
    <w:p w14:paraId="770AB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2024年，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区级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国有资本经营收入0.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79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亿元，加：上级补助收入0.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08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亿元，国有资本经营收入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0.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亿元。</w:t>
      </w:r>
    </w:p>
    <w:p w14:paraId="0408DF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2024年，区级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国有资本经营支出0.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03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亿元，加：调出资金0.8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亿元，国有资本经营支出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0.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87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亿元。</w:t>
      </w:r>
    </w:p>
    <w:p w14:paraId="3440EEA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楷体" w:cs="方正楷体简体"/>
          <w:color w:val="auto"/>
          <w:kern w:val="32"/>
          <w:sz w:val="32"/>
          <w:szCs w:val="32"/>
          <w:highlight w:val="none"/>
        </w:rPr>
      </w:pPr>
      <w:r>
        <w:rPr>
          <w:rFonts w:hint="eastAsia" w:ascii="Times New Roman" w:hAnsi="Times New Roman" w:eastAsia="楷体" w:cs="方正楷体简体"/>
          <w:color w:val="auto"/>
          <w:kern w:val="32"/>
          <w:sz w:val="32"/>
          <w:szCs w:val="32"/>
          <w:highlight w:val="none"/>
        </w:rPr>
        <w:t>（四）社保基金预算执行情况</w:t>
      </w:r>
    </w:p>
    <w:p w14:paraId="23068D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2024年，城乡居民社会养老保险基金收入完成9.46亿元，城乡居民社会养老保险基金支出完成5.55亿元，收支相抵，当年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收支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结余3.91亿元，年末滚存结余22.13亿元。</w:t>
      </w:r>
    </w:p>
    <w:p w14:paraId="490500E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二、地方政府债务基本情况</w:t>
      </w:r>
    </w:p>
    <w:p w14:paraId="52577A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方正仿宋_GBK" w:cs="楷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楷体"/>
          <w:color w:val="auto"/>
          <w:sz w:val="32"/>
          <w:szCs w:val="32"/>
          <w:highlight w:val="none"/>
        </w:rPr>
        <w:t>（一）地方政府债务余额情况</w:t>
      </w:r>
    </w:p>
    <w:p w14:paraId="6D615D7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方正仿宋_GBK" w:cs="楷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2024年，全区地方政府债务余额103.45亿元，比上年末增加19.56亿元，其中：一般债务余额25.97亿元，比上年末增加0.87亿元；专项债务余额77.48亿元，比上年末增加18.7亿元。</w:t>
      </w:r>
    </w:p>
    <w:p w14:paraId="141680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楷体" w:cs="楷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highlight w:val="none"/>
        </w:rPr>
        <w:t>（二）新增地方政府债券发行使用情况</w:t>
      </w:r>
    </w:p>
    <w:p w14:paraId="546A4B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2024年，全区发行地方政府债券22.46亿元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新增债券12亿元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其中：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新增一般债券0.7亿元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主要用于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农村人居环境整治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新增专项债券11.3亿元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主要用于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产业园区基础设施、棚户区改造、收费公路、供排水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重点领域项目建设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再融资债券10.46亿元，主要用于偿还以前年度到期债务本金。</w:t>
      </w:r>
    </w:p>
    <w:p w14:paraId="53164F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三、</w:t>
      </w:r>
      <w:r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  <w:t>202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4年财政重点工作落实情况</w:t>
      </w:r>
    </w:p>
    <w:p w14:paraId="576B93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2024年，区财政部门坚决落实区委区政府工作部署，以“提高首位度，争当排头兵”为工作主线，以“思想解放、作风转变、招商突破、项目提速、园区提质”五大行动为抓手，贯彻积极的财政政策适度加力、提质增效，落实习惯过紧日子要求，兜牢基层“三保”底线，地方政府债务风险防范化解，严肃财经纪律，提高财政资金绩效，深化国资国企改革，保持“拼”的姿态，夯实“稳”的基础，积蓄“进”的动能，国家重大战略任务和基本民生等重点领域支出得到较好保障。</w:t>
      </w:r>
    </w:p>
    <w:p w14:paraId="69ABF18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楷体" w:cs="楷体"/>
          <w:color w:val="auto"/>
          <w:highlight w:val="none"/>
        </w:rPr>
      </w:pPr>
      <w:r>
        <w:rPr>
          <w:rFonts w:hint="eastAsia" w:ascii="Times New Roman" w:hAnsi="Times New Roman" w:eastAsia="楷体" w:cs="楷体"/>
          <w:color w:val="auto"/>
          <w:highlight w:val="none"/>
        </w:rPr>
        <w:t>（一）贯彻积极财政政策适度加力，助力经济回升向好</w:t>
      </w:r>
    </w:p>
    <w:p w14:paraId="17754F6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增强财政保障能力。</w:t>
      </w:r>
      <w:r>
        <w:rPr>
          <w:rFonts w:hint="eastAsia" w:ascii="Times New Roman" w:hAnsi="Times New Roman" w:eastAsia="方正仿宋_GBK"/>
          <w:color w:val="auto"/>
          <w:highlight w:val="none"/>
        </w:rPr>
        <w:t>注重财源建设，协同税务部门定期开展收入形势分析研判，竭力挖掘增收潜力，全年一般公共预算收入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</w:rPr>
        <w:t>40.</w:t>
      </w:r>
      <w:r>
        <w:rPr>
          <w:rFonts w:hint="eastAsia" w:ascii="Times New Roman" w:hAnsi="Times New Roman" w:eastAsia="方正仿宋_GBK"/>
          <w:color w:val="auto"/>
          <w:kern w:val="32"/>
          <w:sz w:val="32"/>
          <w:szCs w:val="32"/>
          <w:highlight w:val="none"/>
          <w:lang w:val="en-US" w:eastAsia="zh-CN"/>
        </w:rPr>
        <w:t>50</w:t>
      </w:r>
      <w:r>
        <w:rPr>
          <w:rFonts w:hint="eastAsia" w:ascii="Times New Roman" w:hAnsi="Times New Roman" w:eastAsia="方正仿宋_GBK"/>
          <w:color w:val="auto"/>
          <w:highlight w:val="none"/>
        </w:rPr>
        <w:t>亿元，同比增长6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.14</w:t>
      </w:r>
      <w:r>
        <w:rPr>
          <w:rFonts w:hint="eastAsia" w:ascii="Times New Roman" w:hAnsi="Times New Roman" w:eastAsia="方正仿宋_GBK"/>
          <w:color w:val="auto"/>
          <w:highlight w:val="none"/>
        </w:rPr>
        <w:t>%。加强财政资源统筹，常态化清理盘活财政存量资金，加大国有资产盘活力度，全年盘活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处置</w:t>
      </w:r>
      <w:r>
        <w:rPr>
          <w:rFonts w:hint="eastAsia" w:ascii="Times New Roman" w:hAnsi="Times New Roman" w:eastAsia="方正仿宋_GBK"/>
          <w:color w:val="auto"/>
          <w:highlight w:val="none"/>
        </w:rPr>
        <w:t>国有资产7.17亿元。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用好国家增量政策。</w:t>
      </w:r>
      <w:r>
        <w:rPr>
          <w:rFonts w:hint="eastAsia" w:ascii="Times New Roman" w:hAnsi="Times New Roman" w:eastAsia="方正仿宋_GBK"/>
          <w:color w:val="auto"/>
          <w:highlight w:val="none"/>
        </w:rPr>
        <w:t>积极向上争取资金，全区争取新增债券资金12亿元、增发国债2.67亿元、中央预算内资金1.7亿元，争取超长期特别国债3.38亿元，</w:t>
      </w:r>
      <w:r>
        <w:rPr>
          <w:rFonts w:hint="eastAsia" w:ascii="方正仿宋_GBK" w:hAnsi="Times New Roman" w:eastAsia="方正仿宋_GBK"/>
          <w:color w:val="auto"/>
          <w:highlight w:val="none"/>
          <w:lang w:bidi="ar"/>
        </w:rPr>
        <w:t>用于“两重”“两新”领域项目</w:t>
      </w:r>
      <w:r>
        <w:rPr>
          <w:rFonts w:hint="eastAsia" w:ascii="方正仿宋_GBK" w:hAnsi="Times New Roman" w:eastAsia="方正仿宋_GBK"/>
          <w:color w:val="auto"/>
          <w:highlight w:val="none"/>
          <w:lang w:val="en-US" w:eastAsia="zh-CN" w:bidi="ar"/>
        </w:rPr>
        <w:t>建设</w:t>
      </w:r>
      <w:r>
        <w:rPr>
          <w:rFonts w:hint="eastAsia" w:ascii="Times New Roman" w:hAnsi="Times New Roman" w:eastAsia="方正仿宋_GBK"/>
          <w:color w:val="auto"/>
          <w:highlight w:val="none"/>
        </w:rPr>
        <w:t>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落实各类惠企强企政策。</w:t>
      </w:r>
      <w:r>
        <w:rPr>
          <w:rFonts w:hint="eastAsia" w:ascii="Times New Roman" w:hAnsi="Times New Roman" w:eastAsia="方正仿宋_GBK"/>
          <w:color w:val="auto"/>
          <w:highlight w:val="none"/>
        </w:rPr>
        <w:t>落实结构性减税降费政策，主动</w:t>
      </w:r>
      <w:r>
        <w:rPr>
          <w:rFonts w:ascii="Times New Roman" w:hAnsi="Times New Roman" w:eastAsia="方正仿宋_GBK"/>
          <w:color w:val="auto"/>
          <w:highlight w:val="none"/>
        </w:rPr>
        <w:t>为企业服务，</w:t>
      </w:r>
      <w:r>
        <w:rPr>
          <w:rFonts w:hint="eastAsia" w:ascii="Times New Roman" w:hAnsi="Times New Roman" w:eastAsia="方正仿宋_GBK"/>
          <w:color w:val="auto"/>
          <w:highlight w:val="none"/>
        </w:rPr>
        <w:t>积极兑现已出台的企业奖补政策。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早发快用专项债券。</w:t>
      </w:r>
      <w:r>
        <w:rPr>
          <w:rFonts w:hint="eastAsia" w:ascii="Times New Roman" w:hAnsi="Times New Roman" w:eastAsia="方正仿宋_GBK"/>
          <w:color w:val="auto"/>
          <w:highlight w:val="none"/>
        </w:rPr>
        <w:t>落实新增专项债务限额分配“赛马”机制，督促项目单位加快项目实施，尽快实现实物工作量，2024年新增专项债券拨付进度</w:t>
      </w:r>
      <w:r>
        <w:rPr>
          <w:rFonts w:ascii="Times New Roman" w:hAnsi="Times New Roman" w:eastAsia="方正仿宋_GBK"/>
          <w:color w:val="auto"/>
          <w:highlight w:val="none"/>
        </w:rPr>
        <w:t>100%</w:t>
      </w:r>
      <w:r>
        <w:rPr>
          <w:rFonts w:hint="eastAsia" w:ascii="Times New Roman" w:hAnsi="Times New Roman" w:eastAsia="方正仿宋_GBK"/>
          <w:color w:val="auto"/>
          <w:highlight w:val="none"/>
        </w:rPr>
        <w:t>，实际支付进度100</w:t>
      </w:r>
      <w:r>
        <w:rPr>
          <w:rFonts w:ascii="Times New Roman" w:hAnsi="Times New Roman" w:eastAsia="方正仿宋_GBK"/>
          <w:color w:val="auto"/>
          <w:highlight w:val="none"/>
        </w:rPr>
        <w:t>%</w:t>
      </w:r>
      <w:r>
        <w:rPr>
          <w:rFonts w:hint="eastAsia" w:ascii="Times New Roman" w:hAnsi="Times New Roman" w:eastAsia="方正仿宋_GBK"/>
          <w:color w:val="auto"/>
          <w:highlight w:val="none"/>
        </w:rPr>
        <w:t>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优化政府采购领域营商环境。</w:t>
      </w:r>
      <w:r>
        <w:rPr>
          <w:rFonts w:hint="eastAsia" w:ascii="Times New Roman" w:hAnsi="Times New Roman" w:eastAsia="方正仿宋_GBK"/>
          <w:color w:val="auto"/>
          <w:highlight w:val="none"/>
        </w:rPr>
        <w:t>通过设置预留比例、给予小微企业价格扣除等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措施</w:t>
      </w:r>
      <w:r>
        <w:rPr>
          <w:rFonts w:hint="eastAsia" w:ascii="Times New Roman" w:hAnsi="Times New Roman" w:eastAsia="方正仿宋_GBK"/>
          <w:color w:val="auto"/>
          <w:highlight w:val="none"/>
        </w:rPr>
        <w:t>提升中小企业竞争力，加大政府采购支持中小企业力度，贯彻落实政府采购政策，优化营商环境，增强企业认同感、获得感，2024年全区授予中小企业合同金额1.05亿元，占政府采购合同总金额的65.63%。</w:t>
      </w:r>
      <w:r>
        <w:rPr>
          <w:rFonts w:hint="eastAsia" w:ascii="仿宋" w:hAnsi="仿宋" w:eastAsia="仿宋" w:cs="仿宋"/>
          <w:b/>
          <w:bCs/>
          <w:i w:val="0"/>
          <w:caps w:val="0"/>
          <w:color w:val="auto"/>
          <w:spacing w:val="0"/>
          <w:kern w:val="2"/>
          <w:sz w:val="32"/>
          <w:szCs w:val="32"/>
          <w:highlight w:val="none"/>
          <w:lang w:val="en-US" w:eastAsia="zh-CN" w:bidi="ar-SA"/>
        </w:rPr>
        <w:t>促进城乡融合发展。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坚决有力保障“三农”领域资金需求，推进耕地保护和高标准农田建设，支持稳定粮食生产。2024年全区共安排乡村振兴衔接资金4.63亿元，连续实现投入增长，支持农业产业发展、农村基础设施建设、农民就业帮扶；大力推进老旧小区改造等城市更新项目，不断推动城市结构优化、功能完善和品质提升；推进生态环境保护治理，加大污染防治和生态环境保护财政投入。</w:t>
      </w:r>
    </w:p>
    <w:p w14:paraId="0CB54B62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楷体" w:cs="楷体"/>
          <w:color w:val="auto"/>
          <w:highlight w:val="none"/>
        </w:rPr>
      </w:pPr>
      <w:r>
        <w:rPr>
          <w:rFonts w:hint="eastAsia" w:ascii="Times New Roman" w:hAnsi="Times New Roman" w:eastAsia="楷体" w:cs="楷体"/>
          <w:color w:val="auto"/>
          <w:highlight w:val="none"/>
        </w:rPr>
        <w:t>（二）全力保障重大战略任务实施，持续增进民生福祉</w:t>
      </w:r>
    </w:p>
    <w:p w14:paraId="28A9F2C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筑牢民生保障基石。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坚持“开源”与“节流”并举，调整优化支出结构，继续上调退休人员基本养老金及城乡居民基础养老金，落实城乡居民医保、基本公共卫生服务及困难群众救助等补助提标政策。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稳住就业基本盘。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突出就业优先导向，统筹用好各级各类就业补助资金、职业技能提升行动资金和失业保险基金，确保各项政策落地生效。加大对高校毕业生、灵活就业人员、农民工、脱贫劳动力、失业人员等重点群体就业创业帮扶力度。全年发放一次性就业补贴、求职创业补贴、社保补贴、技能培训补贴、就业创业服务补助、就业见习补贴、公益性岗位补贴、基层特岗补贴等就业补助资金0.35亿元；拨付创业担保贷款贴息资金0.01亿元，撬动银行新发创业担保贷款0.41亿元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支持保障教育优先发展。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落实教育支出“两个只增不减”，加大教育支出结构优化和经费统筹力度，2024年教育支出26.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亿元，同比增长0.6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%。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加强医疗卫生服务建设。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落实各级公共卫生服务资金保障，2024年卫生健康支出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7.28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亿元。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强化困难群众兜底保障。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2024年发放低保补助、特困救助补助、高龄津贴、低收入养老服务补贴等各类民政救助资金4.92亿元。</w:t>
      </w:r>
    </w:p>
    <w:p w14:paraId="014C8B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楷体" w:cs="楷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highlight w:val="none"/>
        </w:rPr>
        <w:t>（三）强化财政风险管控守住底线，坚决打牢安全基石</w:t>
      </w:r>
    </w:p>
    <w:p w14:paraId="2C7D56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rPr>
          <w:rFonts w:ascii="Times New Roman" w:hAnsi="Times New Roman" w:eastAsia="方正仿宋_GBK"/>
          <w:b/>
          <w:bCs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防范化解政府债务风险。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积极化解存量隐性债务，坚决杜绝新增隐性债务，2024年，我区政府债务限额为104.06亿元，政府债务余额为103.45亿元，余额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控制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在限额以内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债务规模适度，政府债务风险整体可控。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兜牢基层“三保”底线。</w:t>
      </w:r>
      <w:r>
        <w:rPr>
          <w:rFonts w:hint="eastAsia" w:ascii="Times New Roman" w:hAnsi="Times New Roman" w:eastAsia="方正仿宋_GBK"/>
          <w:b w:val="0"/>
          <w:bCs w:val="0"/>
          <w:color w:val="auto"/>
          <w:sz w:val="32"/>
          <w:szCs w:val="32"/>
          <w:highlight w:val="none"/>
        </w:rPr>
        <w:t>足额编制“三保”预算，统筹财力保障“三保”支出，合理确定支出优先次序和支出规模，2024年“三保”支出65.7亿元，未发生“三保”领域风险。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坚决防范金融领域风险。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有效实现对“7+4”类地方金融机构的常态化监管，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始终保持“打非”高压态势，持续推进防范化解重大金融风险，坚决守住不发生系统性、区域性金融风险的底线。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深化国企风险管理。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加强对国有企业的风险监测预警和穿透管控，严守不发生债务违约风险的底线。</w:t>
      </w:r>
    </w:p>
    <w:p w14:paraId="527FCFE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楷体" w:cs="楷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highlight w:val="none"/>
        </w:rPr>
        <w:t>（四）大力推进财政管理提质增效，提高资金使用效益</w:t>
      </w:r>
    </w:p>
    <w:p w14:paraId="7E6323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落实习惯过紧日子要求。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严控一般支出，确保“三公”经费预算较上年只减不增，优化财政支出结构，把钱用在刀刃上、关键处，2024年“三公”经费同比下降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19.7%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推深做实零基预算改革。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推进跨部门项目整合，常态化开展支出政策和项目资金清理，对年末未开工项目资金予以收回，下年度不予结转，强化评价结果应用。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深化预算绩效管理。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压实部门预算绩效管理主体责任，推进预算绩效管理常态化、规范化，促进财政重点绩效评价提质增效。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加强国库管理。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严格落实国库集中收付制度，常态化开展财政直达资金监控，提升预算执行质量。强化库款保障管理，确保库款保障系数处于合理区间，确保不发生支付风险。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强化财经纪律监督检查。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加大重点领域财会监督力度，扎实开展财会监督专项行动。</w:t>
      </w:r>
    </w:p>
    <w:p w14:paraId="1ED35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楷体" w:cs="楷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highlight w:val="none"/>
        </w:rPr>
        <w:t xml:space="preserve">（五）深化国资国企改革加快发展，提升国企监管能力 </w:t>
      </w:r>
    </w:p>
    <w:p w14:paraId="25FD3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3" w:firstLineChars="200"/>
        <w:rPr>
          <w:rFonts w:ascii="Times New Roman" w:hAnsi="Times New Roman" w:eastAsia="方正仿宋_GBK" w:cs="楷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开展国企改革深化提升工作。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制定出台埇桥区贯彻落实国企改革深化提升行动实施方案，提升国企治理水平，动态优化企业党组织前置研究讨论重大经营管理事项清单。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强化国企监督管理力度。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加大投资管理，制定出台国有企业投资管理制度和国有企业主责主业动态管理办法，坚决遏制国有企业投资盲目多元化、无序扩张，加快提升核心竞争力，开展经营业绩考核，强化目标管理，确保国有资产保值增值。</w:t>
      </w:r>
    </w:p>
    <w:p w14:paraId="43E04C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楷体" w:cs="楷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highlight w:val="none"/>
        </w:rPr>
        <w:t>（六）提升金融服务实体经济质效，创新金融产品服务</w:t>
      </w:r>
    </w:p>
    <w:p w14:paraId="10BBEC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2024年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1-11月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，全区各金融机构人民币各项贷款余额1744.19亿元，本年度新增127.29亿元，同比增长9.41%；存款余额1795.65亿元，同比增长6.31%。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多次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召开政银企对接座谈会，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  <w:lang w:val="en-US" w:eastAsia="zh-CN"/>
        </w:rPr>
        <w:t>开展小微企业融资协调机制宣讲，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创新金融产品和服务，提高政府性融资担保机构实力，提升金融服务实体经济质效。</w:t>
      </w:r>
    </w:p>
    <w:p w14:paraId="5D7733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方正仿宋_GBK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在总结成绩的同时，我们也清醒地看到财政工作仍面临许多困难和挑战。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一是税收增长乏力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，土地出让收益较少，可用财力增量有限，而各项刚性支出有增无减，财政“紧平衡”加剧；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二是债务风险防控压力较大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>，债务还本付息等刚性支出持续承压；</w:t>
      </w:r>
      <w:r>
        <w:rPr>
          <w:rFonts w:hint="eastAsia" w:ascii="Times New Roman" w:hAnsi="Times New Roman" w:eastAsia="方正仿宋_GBK"/>
          <w:b/>
          <w:bCs/>
          <w:color w:val="auto"/>
          <w:sz w:val="32"/>
          <w:szCs w:val="32"/>
          <w:highlight w:val="none"/>
        </w:rPr>
        <w:t>三是预算绩效待提升</w:t>
      </w:r>
      <w:r>
        <w:rPr>
          <w:rFonts w:hint="eastAsia" w:ascii="Times New Roman" w:hAnsi="Times New Roman" w:eastAsia="方正仿宋_GBK"/>
          <w:color w:val="auto"/>
          <w:sz w:val="32"/>
          <w:szCs w:val="32"/>
          <w:highlight w:val="none"/>
        </w:rPr>
        <w:t xml:space="preserve">，财会监督需强化。我们将高度重视这些问题，更加精准落实财政经济政策，高效统筹发展和安全，持续保障和改善民生，全力推动财政高质量发展。 </w:t>
      </w:r>
    </w:p>
    <w:p w14:paraId="290DF2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四、2025年预算草案</w:t>
      </w:r>
    </w:p>
    <w:p w14:paraId="4B02950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楷体" w:cs="楷体"/>
          <w:color w:val="auto"/>
          <w:highlight w:val="none"/>
        </w:rPr>
      </w:pPr>
      <w:r>
        <w:rPr>
          <w:rFonts w:hint="eastAsia" w:ascii="Times New Roman" w:hAnsi="Times New Roman" w:eastAsia="楷体" w:cs="楷体"/>
          <w:color w:val="auto"/>
          <w:highlight w:val="none"/>
        </w:rPr>
        <w:t>（一）2025年预算编制指导思想</w:t>
      </w:r>
    </w:p>
    <w:p w14:paraId="66DCF8C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color w:val="auto"/>
          <w:highlight w:val="none"/>
        </w:rPr>
        <w:t>坚持以习近平新时代中国特色社会主义思想为指导，全面贯彻落实党的二十大和二十届二中、三中全会精神，按照中央经济工作会议部署，深入贯彻落实习近平总书记重要讲话重要指示精神，坚持以政领财、以财辅政，进一步巩固零基预算改革，加大财政资金统筹力度，优化支出结构，增强重大战略任务财力保障；坚持党政机关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习惯</w:t>
      </w:r>
      <w:r>
        <w:rPr>
          <w:rFonts w:hint="eastAsia" w:ascii="Times New Roman" w:hAnsi="Times New Roman" w:eastAsia="方正仿宋_GBK"/>
          <w:color w:val="auto"/>
          <w:highlight w:val="none"/>
        </w:rPr>
        <w:t>过紧日子要求，严控一般性支出；强化预算绩效管理，提高财政资源配置使用效率；统筹发展和安全、当前和长远，地方政府债务风险防范化解，确保财政运行平稳可持续。</w:t>
      </w:r>
    </w:p>
    <w:p w14:paraId="0C29AF9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楷体" w:cs="楷体"/>
          <w:color w:val="auto"/>
          <w:highlight w:val="none"/>
        </w:rPr>
      </w:pPr>
      <w:r>
        <w:rPr>
          <w:rFonts w:hint="eastAsia" w:ascii="Times New Roman" w:hAnsi="Times New Roman" w:eastAsia="楷体" w:cs="楷体"/>
          <w:color w:val="auto"/>
          <w:highlight w:val="none"/>
        </w:rPr>
        <w:t>（二）2025年预算编制原则</w:t>
      </w:r>
    </w:p>
    <w:p w14:paraId="1A0B16B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</w:rPr>
        <w:t>一是保持适当支出强度。</w:t>
      </w:r>
      <w:r>
        <w:rPr>
          <w:rFonts w:hint="eastAsia" w:ascii="Times New Roman" w:hAnsi="Times New Roman" w:eastAsia="方正仿宋_GBK" w:cs="Times New Roman"/>
          <w:color w:val="auto"/>
          <w:highlight w:val="none"/>
        </w:rPr>
        <w:t>深入贯</w:t>
      </w:r>
      <w:r>
        <w:rPr>
          <w:rFonts w:hint="eastAsia" w:ascii="Times New Roman" w:hAnsi="Times New Roman" w:eastAsia="方正仿宋_GBK"/>
          <w:color w:val="auto"/>
          <w:highlight w:val="none"/>
        </w:rPr>
        <w:t>彻落实中央关于“实施更加积极的财政政策”要求，确保财政政策持续用力，2025年我区将加大财政支出强度，加强重点领域保障，用好超长期特别国债支持政策，加快地方政府专项债券的使用，释放积极信号，提振市场信心，增强发展后劲。</w:t>
      </w:r>
    </w:p>
    <w:p w14:paraId="09F314E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</w:rPr>
        <w:t>二是加大政策统筹力度。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统筹用好上级补助及本级配套等财政资金，落实好各项民生政策，</w:t>
      </w:r>
      <w:r>
        <w:rPr>
          <w:rFonts w:hint="eastAsia" w:ascii="Times New Roman" w:hAnsi="Times New Roman" w:eastAsia="方正仿宋_GBK"/>
          <w:color w:val="auto"/>
          <w:highlight w:val="none"/>
        </w:rPr>
        <w:t>坚持“用最少的钱干最大的事”。优化财政支持方式，产业扶持项目严格控制竞争性领域财政投入，更多采取政府引导基金、融资贴息等市场化方式支持。</w:t>
      </w:r>
    </w:p>
    <w:p w14:paraId="03AEE4F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</w:rPr>
        <w:t>三是严守财政风险底线。</w:t>
      </w:r>
      <w:r>
        <w:rPr>
          <w:rFonts w:hint="eastAsia" w:ascii="Times New Roman" w:hAnsi="Times New Roman" w:eastAsia="方正仿宋_GBK"/>
          <w:color w:val="auto"/>
          <w:highlight w:val="none"/>
        </w:rPr>
        <w:t>把防风险摆在更加突出的位置，加强政府债务和中长期支出事项管理，增强财政可持续性。坚决贯彻党政机关习惯过紧日子的要求，在该保必保的同时，严控一般性支出和“三公”经费，做到应省尽省。兜牢兜实“三保”底线，严守财经纪律，持续推进政府债务风险防范化解。</w:t>
      </w:r>
    </w:p>
    <w:p w14:paraId="1E22BF4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 w:cs="Times New Roman"/>
          <w:b/>
          <w:bCs/>
          <w:color w:val="auto"/>
          <w:highlight w:val="none"/>
        </w:rPr>
        <w:t>四是强化重点支出财力保障。</w:t>
      </w:r>
      <w:r>
        <w:rPr>
          <w:rFonts w:hint="eastAsia" w:ascii="Times New Roman" w:hAnsi="Times New Roman" w:eastAsia="方正仿宋_GBK"/>
          <w:color w:val="auto"/>
          <w:highlight w:val="none"/>
        </w:rPr>
        <w:t>编制2025年预算重点保障事项清单，严格落实预算排序要求，严格按照“保基本民生、保工资、保运转”支出、地方政府债券还本付息支出、年度重点保障事项清单确定的支出、部门一般事业发展支出和其他支出顺序安排预算。调整优化支出结构</w:t>
      </w:r>
      <w:r>
        <w:rPr>
          <w:rFonts w:hint="eastAsia" w:ascii="Times New Roman" w:hAnsi="Times New Roman" w:eastAsia="方正仿宋_GBK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highlight w:val="none"/>
        </w:rPr>
        <w:t>将资金用在刀刃上。必保支出优先使用经常性的稳定收入保障。</w:t>
      </w:r>
    </w:p>
    <w:p w14:paraId="3BEC989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楷体" w:cs="楷体"/>
          <w:color w:val="auto"/>
          <w:highlight w:val="none"/>
        </w:rPr>
      </w:pPr>
      <w:r>
        <w:rPr>
          <w:rFonts w:hint="eastAsia" w:ascii="Times New Roman" w:hAnsi="Times New Roman" w:eastAsia="楷体" w:cs="楷体"/>
          <w:color w:val="auto"/>
          <w:highlight w:val="none"/>
        </w:rPr>
        <w:t>（三）2025年预算收入预计和支出安排</w:t>
      </w:r>
    </w:p>
    <w:p w14:paraId="082C362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方正仿宋_GBK" w:cs="楷体"/>
          <w:color w:val="auto"/>
          <w:highlight w:val="none"/>
        </w:rPr>
      </w:pPr>
      <w:r>
        <w:rPr>
          <w:rFonts w:hint="eastAsia" w:ascii="Times New Roman" w:hAnsi="Times New Roman" w:eastAsia="方正仿宋_GBK"/>
          <w:color w:val="auto"/>
          <w:highlight w:val="none"/>
        </w:rPr>
        <w:t>综</w:t>
      </w:r>
      <w:bookmarkStart w:id="0" w:name="_GoBack"/>
      <w:bookmarkEnd w:id="0"/>
      <w:r>
        <w:rPr>
          <w:rFonts w:hint="eastAsia" w:ascii="Times New Roman" w:hAnsi="Times New Roman" w:eastAsia="方正仿宋_GBK"/>
          <w:color w:val="auto"/>
          <w:highlight w:val="none"/>
        </w:rPr>
        <w:t>合分析目前经济形势和我区经济社会发展预期，2025年预算安排如下：</w:t>
      </w:r>
    </w:p>
    <w:p w14:paraId="517DD8B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b/>
          <w:bCs/>
          <w:color w:val="auto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1.一般公共预算收支安排</w:t>
      </w:r>
    </w:p>
    <w:p w14:paraId="0BB8B4F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color w:val="auto"/>
          <w:highlight w:val="none"/>
        </w:rPr>
        <w:t>2025年，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区级</w:t>
      </w:r>
      <w:r>
        <w:rPr>
          <w:rFonts w:hint="eastAsia" w:ascii="Times New Roman" w:hAnsi="Times New Roman" w:eastAsia="方正仿宋_GBK"/>
          <w:color w:val="auto"/>
          <w:highlight w:val="none"/>
        </w:rPr>
        <w:t>一般公共预算收入41亿元，增长1.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24</w:t>
      </w:r>
      <w:r>
        <w:rPr>
          <w:rFonts w:hint="eastAsia" w:ascii="Times New Roman" w:hAnsi="Times New Roman" w:eastAsia="方正仿宋_GBK"/>
          <w:color w:val="auto"/>
          <w:highlight w:val="none"/>
        </w:rPr>
        <w:t>%，加：</w:t>
      </w:r>
      <w:r>
        <w:rPr>
          <w:rFonts w:hint="eastAsia" w:ascii="Times New Roman" w:hAnsi="Times New Roman" w:eastAsia="方正仿宋_GBK"/>
          <w:color w:val="auto"/>
          <w:highlight w:val="yellow"/>
        </w:rPr>
        <w:t>上级补助收入</w:t>
      </w:r>
      <w:r>
        <w:rPr>
          <w:rFonts w:hint="eastAsia" w:ascii="Times New Roman" w:hAnsi="Times New Roman" w:eastAsia="方正仿宋_GBK"/>
          <w:color w:val="auto"/>
          <w:highlight w:val="yellow"/>
          <w:lang w:val="en-US" w:eastAsia="zh-CN"/>
        </w:rPr>
        <w:t>40.62</w:t>
      </w:r>
      <w:r>
        <w:rPr>
          <w:rFonts w:hint="eastAsia" w:ascii="Times New Roman" w:hAnsi="Times New Roman" w:eastAsia="方正仿宋_GBK"/>
          <w:color w:val="auto"/>
          <w:highlight w:val="yellow"/>
        </w:rPr>
        <w:t>亿元</w:t>
      </w:r>
      <w:r>
        <w:rPr>
          <w:rFonts w:hint="eastAsia" w:ascii="Times New Roman" w:hAnsi="Times New Roman" w:eastAsia="方正仿宋_GBK"/>
          <w:color w:val="auto"/>
          <w:highlight w:val="yellow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上年结转收入2.03亿元</w:t>
      </w:r>
      <w:r>
        <w:rPr>
          <w:rFonts w:hint="eastAsia" w:ascii="Times New Roman" w:hAnsi="Times New Roman" w:eastAsia="方正仿宋_GBK"/>
          <w:color w:val="auto"/>
          <w:highlight w:val="none"/>
        </w:rPr>
        <w:t>，动用预算稳定调节基金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0.04亿元，</w:t>
      </w:r>
      <w:r>
        <w:rPr>
          <w:rFonts w:hint="eastAsia" w:ascii="Times New Roman" w:hAnsi="Times New Roman" w:eastAsia="方正仿宋_GBK"/>
          <w:color w:val="auto"/>
          <w:highlight w:val="yellow"/>
        </w:rPr>
        <w:t>调入资金收入</w:t>
      </w:r>
      <w:r>
        <w:rPr>
          <w:rFonts w:hint="eastAsia" w:ascii="Times New Roman" w:hAnsi="Times New Roman" w:eastAsia="方正仿宋_GBK"/>
          <w:color w:val="auto"/>
          <w:highlight w:val="yellow"/>
          <w:lang w:val="en-US" w:eastAsia="zh-CN"/>
        </w:rPr>
        <w:t>10.56</w:t>
      </w:r>
      <w:r>
        <w:rPr>
          <w:rFonts w:hint="eastAsia" w:ascii="Times New Roman" w:hAnsi="Times New Roman" w:eastAsia="方正仿宋_GBK"/>
          <w:color w:val="auto"/>
          <w:highlight w:val="yellow"/>
        </w:rPr>
        <w:t>亿元</w:t>
      </w:r>
      <w:r>
        <w:rPr>
          <w:rFonts w:hint="eastAsia" w:ascii="Times New Roman" w:hAnsi="Times New Roman" w:eastAsia="方正仿宋_GBK"/>
          <w:color w:val="auto"/>
          <w:highlight w:val="none"/>
        </w:rPr>
        <w:t>，一般债务转贷收入1亿元，收入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总量95.25</w:t>
      </w:r>
      <w:r>
        <w:rPr>
          <w:rFonts w:hint="eastAsia" w:ascii="Times New Roman" w:hAnsi="Times New Roman" w:eastAsia="方正仿宋_GBK"/>
          <w:color w:val="auto"/>
          <w:highlight w:val="none"/>
        </w:rPr>
        <w:t>亿元。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区级</w:t>
      </w:r>
      <w:r>
        <w:rPr>
          <w:rFonts w:hint="eastAsia" w:ascii="Times New Roman" w:hAnsi="Times New Roman" w:eastAsia="方正仿宋_GBK"/>
          <w:color w:val="auto"/>
          <w:highlight w:val="none"/>
        </w:rPr>
        <w:t>一般公共预算支出安排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88.75</w:t>
      </w:r>
      <w:r>
        <w:rPr>
          <w:rFonts w:hint="eastAsia" w:ascii="Times New Roman" w:hAnsi="Times New Roman" w:eastAsia="方正仿宋_GBK"/>
          <w:color w:val="auto"/>
          <w:highlight w:val="none"/>
        </w:rPr>
        <w:t>亿元，加：上解支出6.5亿元，支出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总量95.25</w:t>
      </w:r>
      <w:r>
        <w:rPr>
          <w:rFonts w:hint="eastAsia" w:ascii="Times New Roman" w:hAnsi="Times New Roman" w:eastAsia="方正仿宋_GBK"/>
          <w:color w:val="auto"/>
          <w:highlight w:val="none"/>
        </w:rPr>
        <w:t>亿元。</w:t>
      </w:r>
    </w:p>
    <w:p w14:paraId="756928D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b/>
          <w:bCs/>
          <w:color w:val="auto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2.政府性基金预算安排</w:t>
      </w:r>
    </w:p>
    <w:p w14:paraId="1AED54F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color w:val="auto"/>
          <w:highlight w:val="none"/>
        </w:rPr>
        <w:t>2025年，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区级</w:t>
      </w:r>
      <w:r>
        <w:rPr>
          <w:rFonts w:hint="eastAsia" w:ascii="Times New Roman" w:hAnsi="Times New Roman" w:eastAsia="方正仿宋_GBK"/>
          <w:color w:val="auto"/>
          <w:highlight w:val="none"/>
        </w:rPr>
        <w:t>政府性基金收入为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4.91</w:t>
      </w:r>
      <w:r>
        <w:rPr>
          <w:rFonts w:hint="eastAsia" w:ascii="Times New Roman" w:hAnsi="Times New Roman" w:eastAsia="方正仿宋_GBK"/>
          <w:color w:val="auto"/>
          <w:highlight w:val="none"/>
        </w:rPr>
        <w:t>亿元，加：上级补助收入0.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/>
          <w:color w:val="auto"/>
          <w:highlight w:val="none"/>
        </w:rPr>
        <w:t>亿元，上年结转收入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3.23</w:t>
      </w:r>
      <w:r>
        <w:rPr>
          <w:rFonts w:hint="eastAsia" w:ascii="Times New Roman" w:hAnsi="Times New Roman" w:eastAsia="方正仿宋_GBK"/>
          <w:color w:val="auto"/>
          <w:highlight w:val="none"/>
        </w:rPr>
        <w:t>亿元，收入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总量8.24</w:t>
      </w:r>
      <w:r>
        <w:rPr>
          <w:rFonts w:hint="eastAsia" w:ascii="Times New Roman" w:hAnsi="Times New Roman" w:eastAsia="方正仿宋_GBK"/>
          <w:color w:val="auto"/>
          <w:highlight w:val="none"/>
        </w:rPr>
        <w:t>亿元。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区级</w:t>
      </w:r>
      <w:r>
        <w:rPr>
          <w:rFonts w:hint="eastAsia" w:ascii="Times New Roman" w:hAnsi="Times New Roman" w:eastAsia="方正仿宋_GBK"/>
          <w:color w:val="auto"/>
          <w:highlight w:val="none"/>
        </w:rPr>
        <w:t>政府性基金支出安排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6.48</w:t>
      </w:r>
      <w:r>
        <w:rPr>
          <w:rFonts w:hint="eastAsia" w:ascii="Times New Roman" w:hAnsi="Times New Roman" w:eastAsia="方正仿宋_GBK"/>
          <w:color w:val="auto"/>
          <w:highlight w:val="none"/>
        </w:rPr>
        <w:t>亿元，加：抗疫特别国债还本上解</w:t>
      </w:r>
      <w:r>
        <w:rPr>
          <w:rFonts w:hint="eastAsia" w:ascii="Times New Roman" w:hAnsi="Times New Roman" w:eastAsia="方正仿宋_GBK"/>
          <w:color w:val="auto"/>
          <w:highlight w:val="none"/>
          <w:lang w:eastAsia="zh-CN"/>
        </w:rPr>
        <w:t>支出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0.75</w:t>
      </w:r>
      <w:r>
        <w:rPr>
          <w:rFonts w:hint="eastAsia" w:ascii="Times New Roman" w:hAnsi="Times New Roman" w:eastAsia="方正仿宋_GBK"/>
          <w:color w:val="auto"/>
          <w:highlight w:val="none"/>
        </w:rPr>
        <w:t>亿元，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调出资金1亿元，地方政府专项债务还本支出0.01亿元，</w:t>
      </w:r>
      <w:r>
        <w:rPr>
          <w:rFonts w:hint="eastAsia" w:ascii="Times New Roman" w:hAnsi="Times New Roman" w:eastAsia="方正仿宋_GBK"/>
          <w:color w:val="auto"/>
          <w:highlight w:val="none"/>
        </w:rPr>
        <w:t>支出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总量8.24</w:t>
      </w:r>
      <w:r>
        <w:rPr>
          <w:rFonts w:hint="eastAsia" w:ascii="Times New Roman" w:hAnsi="Times New Roman" w:eastAsia="方正仿宋_GBK"/>
          <w:color w:val="auto"/>
          <w:highlight w:val="none"/>
        </w:rPr>
        <w:t>亿元。</w:t>
      </w:r>
    </w:p>
    <w:p w14:paraId="09ACEF4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b/>
          <w:bCs/>
          <w:color w:val="auto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3.国有资本经营预算安排</w:t>
      </w:r>
    </w:p>
    <w:p w14:paraId="3C85047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color w:val="auto"/>
          <w:highlight w:val="none"/>
        </w:rPr>
        <w:t>2025年，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区级</w:t>
      </w:r>
      <w:r>
        <w:rPr>
          <w:rFonts w:hint="eastAsia" w:ascii="Times New Roman" w:hAnsi="Times New Roman" w:eastAsia="方正仿宋_GBK"/>
          <w:color w:val="auto"/>
          <w:highlight w:val="none"/>
        </w:rPr>
        <w:t>国有资本经营收入0.6亿元，加：上级补助收入0.08亿元，收入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方正仿宋_GBK"/>
          <w:color w:val="auto"/>
          <w:highlight w:val="none"/>
        </w:rPr>
        <w:t>0.68亿元。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区级</w:t>
      </w:r>
      <w:r>
        <w:rPr>
          <w:rFonts w:hint="eastAsia" w:ascii="Times New Roman" w:hAnsi="Times New Roman" w:eastAsia="方正仿宋_GBK"/>
          <w:color w:val="auto"/>
          <w:highlight w:val="none"/>
        </w:rPr>
        <w:t>国有资本经营支出0.0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/>
          <w:color w:val="auto"/>
          <w:highlight w:val="none"/>
        </w:rPr>
        <w:t>亿元，加：调出资金0.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/>
          <w:color w:val="auto"/>
          <w:highlight w:val="none"/>
        </w:rPr>
        <w:t>亿元，支出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总量</w:t>
      </w:r>
      <w:r>
        <w:rPr>
          <w:rFonts w:hint="eastAsia" w:ascii="Times New Roman" w:hAnsi="Times New Roman" w:eastAsia="方正仿宋_GBK"/>
          <w:color w:val="auto"/>
          <w:highlight w:val="none"/>
        </w:rPr>
        <w:t>0.68亿元。</w:t>
      </w:r>
    </w:p>
    <w:p w14:paraId="2E2F7C2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b/>
          <w:bCs/>
          <w:color w:val="auto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4.社会保险基金预算安排</w:t>
      </w:r>
    </w:p>
    <w:p w14:paraId="5DCA303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color w:val="auto"/>
          <w:highlight w:val="none"/>
        </w:rPr>
        <w:t>2025年，区级社会保险基金（城乡居民基本养老保险基金）收入预算数为10.46亿元。社会保险基金（城乡居民基本养老保险基金）支出预算数为6.37亿元，当年收支结余4.09亿元，年末滚存结余26.22亿元。</w:t>
      </w:r>
    </w:p>
    <w:p w14:paraId="5F336C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rPr>
          <w:rFonts w:ascii="Times New Roman" w:hAnsi="Times New Roman" w:eastAsia="黑体" w:cs="黑体"/>
          <w:color w:val="auto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  <w:highlight w:val="none"/>
        </w:rPr>
        <w:t>五、2025年财政重点工作任务</w:t>
      </w:r>
    </w:p>
    <w:p w14:paraId="401896C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方正仿宋_GBK"/>
          <w:color w:val="auto"/>
          <w:highlight w:val="none"/>
        </w:rPr>
      </w:pPr>
      <w:r>
        <w:rPr>
          <w:rFonts w:ascii="Times New Roman" w:hAnsi="Times New Roman" w:eastAsia="方正仿宋_GBK"/>
          <w:color w:val="auto"/>
          <w:highlight w:val="none"/>
        </w:rPr>
        <w:t>2025年是“十四五”规划收官之年，也是“十五五”规划谋划之年</w:t>
      </w:r>
      <w:r>
        <w:rPr>
          <w:rFonts w:hint="eastAsia" w:ascii="Times New Roman" w:hAnsi="Times New Roman" w:eastAsia="方正仿宋_GBK"/>
          <w:color w:val="auto"/>
          <w:highlight w:val="none"/>
        </w:rPr>
        <w:t>。全区财政系统在以习近平同志为核心的党中央坚强领导下，振奋精神、攻坚克难，按照中央关于“实施更加积极的财政政策”要求，坚决落实区委、区政府决策部署，兜牢基层“三保”底线，地方政府债务风险防范化解，增强重大战略任务财力保障，深化财政重点改革，严肃财经纪律，提高财政资金使用效益和</w:t>
      </w:r>
      <w:r>
        <w:rPr>
          <w:rFonts w:ascii="Times New Roman" w:hAnsi="Times New Roman" w:eastAsia="方正仿宋_GBK"/>
          <w:color w:val="auto"/>
          <w:highlight w:val="none"/>
        </w:rPr>
        <w:t>政策效能</w:t>
      </w:r>
      <w:r>
        <w:rPr>
          <w:rFonts w:hint="eastAsia" w:ascii="Times New Roman" w:hAnsi="Times New Roman" w:eastAsia="方正仿宋_GBK"/>
          <w:color w:val="auto"/>
          <w:highlight w:val="none"/>
        </w:rPr>
        <w:t>，深化国资国企改革，为全面建设现代化美好埇桥提供有力保障。</w:t>
      </w:r>
    </w:p>
    <w:p w14:paraId="0BB20CDA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楷体" w:cs="楷体"/>
          <w:color w:val="auto"/>
          <w:highlight w:val="none"/>
        </w:rPr>
      </w:pPr>
      <w:r>
        <w:rPr>
          <w:rFonts w:hint="eastAsia" w:ascii="Times New Roman" w:hAnsi="Times New Roman" w:eastAsia="楷体" w:cs="楷体"/>
          <w:color w:val="auto"/>
          <w:highlight w:val="none"/>
        </w:rPr>
        <w:t>（一）提升财政保障能力</w:t>
      </w:r>
    </w:p>
    <w:p w14:paraId="6ED4800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注重财源建设。</w:t>
      </w:r>
      <w:r>
        <w:rPr>
          <w:rFonts w:hint="eastAsia" w:ascii="Times New Roman" w:hAnsi="Times New Roman" w:eastAsia="方正仿宋_GBK"/>
          <w:color w:val="auto"/>
          <w:highlight w:val="none"/>
        </w:rPr>
        <w:t>强化财政收入分析研判和监测，定期组织调度，推动全年财政收入有质量、可持续。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强化统筹盘活。</w:t>
      </w:r>
      <w:r>
        <w:rPr>
          <w:rFonts w:hint="eastAsia" w:ascii="Times New Roman" w:hAnsi="Times New Roman" w:eastAsia="方正仿宋_GBK"/>
          <w:color w:val="auto"/>
          <w:highlight w:val="none"/>
        </w:rPr>
        <w:t>加大政府性基金预算、国有资本经营预算与一般公共预算的统筹，强化财政拨款收入与非财政拨款收入统筹，持续推动跨部门资金统筹整合，常态化清理盘活财政存量资金，加大国有资产盘活力度。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用好国家政策。</w:t>
      </w:r>
      <w:r>
        <w:rPr>
          <w:rFonts w:hint="eastAsia" w:ascii="Times New Roman" w:hAnsi="Times New Roman" w:eastAsia="方正仿宋_GBK"/>
          <w:color w:val="auto"/>
          <w:highlight w:val="none"/>
        </w:rPr>
        <w:t>落实常态化对接联系机制，鼓励部门积极向上申报项目，力争获取更多资金份额和更大占比。积极争取新增专项债务限额。</w:t>
      </w:r>
    </w:p>
    <w:p w14:paraId="5B46CF33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楷体" w:cs="楷体"/>
          <w:color w:val="auto"/>
          <w:highlight w:val="none"/>
        </w:rPr>
      </w:pPr>
      <w:r>
        <w:rPr>
          <w:rFonts w:hint="eastAsia" w:ascii="Times New Roman" w:hAnsi="Times New Roman" w:eastAsia="楷体" w:cs="楷体"/>
          <w:color w:val="auto"/>
          <w:highlight w:val="none"/>
        </w:rPr>
        <w:t>（二）优化财政支出结构</w:t>
      </w:r>
    </w:p>
    <w:p w14:paraId="28C4B69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落实习惯过紧日子要求</w:t>
      </w:r>
      <w:r>
        <w:rPr>
          <w:rFonts w:hint="eastAsia" w:ascii="Times New Roman" w:hAnsi="Times New Roman" w:eastAsia="方正仿宋_GBK"/>
          <w:color w:val="auto"/>
          <w:highlight w:val="none"/>
        </w:rPr>
        <w:t>。毫不动摇坚持“过紧日子保民生、调优结构保战略”，从严控制预算，把紧支出关口，不仅严控一般性支出，必要支出也要从紧安排。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强化重点支出保障。</w:t>
      </w:r>
      <w:r>
        <w:rPr>
          <w:rFonts w:hint="eastAsia" w:ascii="Times New Roman" w:hAnsi="Times New Roman" w:eastAsia="方正仿宋_GBK"/>
          <w:color w:val="auto"/>
          <w:highlight w:val="none"/>
        </w:rPr>
        <w:t>区分轻重缓急，优化资金配置，优先保障“三保”以及债券还本付息等刚性支出；着力保障国家粮食安全、持续巩固拓展脱贫攻坚成果、乡村振兴发展建设等方面重点项目的实施；持续支持生态文明建设，加强生态保护和修复，推动绿色低碳发展；加强对企业的纾困支持，支持高水平对外开放，维护经济社会平稳运行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加强资金绩效管理。</w:t>
      </w:r>
      <w:r>
        <w:rPr>
          <w:rFonts w:hint="eastAsia" w:ascii="Times New Roman" w:hAnsi="Times New Roman" w:eastAsia="方正仿宋_GBK"/>
          <w:color w:val="auto"/>
          <w:highlight w:val="none"/>
        </w:rPr>
        <w:t>严肃财经纪律，严禁过度超前和浪费，提高财政资金使用绩效，增强财政可持续性。</w:t>
      </w:r>
    </w:p>
    <w:p w14:paraId="5851A437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楷体" w:cs="楷体"/>
          <w:color w:val="auto"/>
          <w:highlight w:val="none"/>
        </w:rPr>
      </w:pPr>
      <w:r>
        <w:rPr>
          <w:rFonts w:hint="eastAsia" w:ascii="Times New Roman" w:hAnsi="Times New Roman" w:eastAsia="楷体" w:cs="楷体"/>
          <w:color w:val="auto"/>
          <w:highlight w:val="none"/>
        </w:rPr>
        <w:t>（三）守住财政安全底线</w:t>
      </w:r>
    </w:p>
    <w:p w14:paraId="60F0F971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防范化解政府债务风险。</w:t>
      </w:r>
      <w:r>
        <w:rPr>
          <w:rFonts w:hint="eastAsia" w:ascii="Times New Roman" w:hAnsi="Times New Roman" w:eastAsia="方正仿宋_GBK"/>
          <w:color w:val="auto"/>
          <w:highlight w:val="none"/>
        </w:rPr>
        <w:t>积极化解存量隐性债务，坚决杜绝新增隐性债务。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兜牢基层“三保”底线。</w:t>
      </w:r>
      <w:r>
        <w:rPr>
          <w:rFonts w:hint="eastAsia" w:ascii="Times New Roman" w:hAnsi="Times New Roman" w:eastAsia="方正仿宋_GBK"/>
          <w:color w:val="auto"/>
          <w:highlight w:val="none"/>
        </w:rPr>
        <w:t>足额编制“三保”预算，优先保障“三保”支出需要，确保“三保”不出问题。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坚决防范金融领域风险。</w:t>
      </w:r>
      <w:r>
        <w:rPr>
          <w:rFonts w:hint="eastAsia" w:ascii="Times New Roman" w:hAnsi="Times New Roman" w:eastAsia="方正仿宋_GBK"/>
          <w:color w:val="auto"/>
          <w:highlight w:val="none"/>
        </w:rPr>
        <w:t>提升金融监管有效性，密切关注金融风险，做到早发现、早处置，坚守不发生系统性金融风险的底线。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深化国企风险管理。</w:t>
      </w:r>
      <w:r>
        <w:rPr>
          <w:rFonts w:hint="eastAsia" w:ascii="Times New Roman" w:hAnsi="Times New Roman" w:eastAsia="方正仿宋_GBK"/>
          <w:color w:val="auto"/>
          <w:highlight w:val="none"/>
        </w:rPr>
        <w:t>加强对国有企业的风险监测预警和穿透管控，严守不发生债务违约风险的底线。</w:t>
      </w:r>
    </w:p>
    <w:p w14:paraId="136F93F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楷体" w:cs="楷体"/>
          <w:color w:val="auto"/>
          <w:highlight w:val="none"/>
        </w:rPr>
      </w:pPr>
      <w:r>
        <w:rPr>
          <w:rFonts w:hint="eastAsia" w:ascii="Times New Roman" w:hAnsi="Times New Roman" w:eastAsia="楷体" w:cs="楷体"/>
          <w:color w:val="auto"/>
          <w:highlight w:val="none"/>
        </w:rPr>
        <w:t>（四）强化财政效能管理</w:t>
      </w:r>
    </w:p>
    <w:p w14:paraId="4554D60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进一步巩固零基预算成果。</w:t>
      </w:r>
      <w:r>
        <w:rPr>
          <w:rFonts w:hint="eastAsia" w:ascii="Times New Roman" w:hAnsi="Times New Roman" w:eastAsia="方正仿宋_GBK"/>
          <w:color w:val="auto"/>
          <w:highlight w:val="none"/>
        </w:rPr>
        <w:t>坚决贯彻项目清单化管理，编实编好全区2025年预算，推动预算编制更加精细化，提高预算编制质量和效率。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加强预算执行管理。</w:t>
      </w:r>
      <w:r>
        <w:rPr>
          <w:rFonts w:hint="eastAsia" w:ascii="Times New Roman" w:hAnsi="Times New Roman" w:eastAsia="方正仿宋_GBK"/>
          <w:color w:val="auto"/>
          <w:highlight w:val="none"/>
        </w:rPr>
        <w:t>确保预算执行的严肃性和规范性，硬化预算刚性约束，杜绝超越财力安排支出，规范部门预算追加，加大财政存量资金盘活力度，完善结余结转资金收回使用机制；优化资源配置，提高财政资金的使用效益。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强化资金绩效管理。</w:t>
      </w:r>
      <w:r>
        <w:rPr>
          <w:rFonts w:hint="eastAsia" w:ascii="Times New Roman" w:hAnsi="Times New Roman" w:eastAsia="方正仿宋_GBK"/>
          <w:color w:val="auto"/>
          <w:highlight w:val="none"/>
        </w:rPr>
        <w:t>做到绩效管理“全方位、全过程、全覆盖”，将绩效评价结果与预算编制和资金安排挂钩，形成激励和约束机制；推进绩效信息公开，重点项目绩效目标、绩效评价结果向社会主动公开。</w:t>
      </w:r>
    </w:p>
    <w:p w14:paraId="6F24337B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楷体" w:cs="楷体"/>
          <w:color w:val="auto"/>
          <w:highlight w:val="none"/>
        </w:rPr>
      </w:pPr>
      <w:r>
        <w:rPr>
          <w:rFonts w:hint="eastAsia" w:ascii="Times New Roman" w:hAnsi="Times New Roman" w:eastAsia="楷体" w:cs="楷体"/>
          <w:color w:val="auto"/>
          <w:highlight w:val="none"/>
        </w:rPr>
        <w:t>（五）推动国企改革深化提升</w:t>
      </w:r>
    </w:p>
    <w:p w14:paraId="3FCA95E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持续优化制度建设。</w:t>
      </w:r>
      <w:r>
        <w:rPr>
          <w:rFonts w:hint="eastAsia" w:ascii="Times New Roman" w:hAnsi="Times New Roman" w:eastAsia="方正仿宋_GBK"/>
          <w:color w:val="auto"/>
          <w:highlight w:val="none"/>
        </w:rPr>
        <w:t>继续深化三项制度改革，完善董事会向经理层授权的管理制度，督促制定董事会授放权清单，保障经理层行权履职，强化董事会对经理层的考核监督和业绩评价。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确保国有资产保值增值。</w:t>
      </w:r>
      <w:r>
        <w:rPr>
          <w:rFonts w:hint="eastAsia" w:ascii="Times New Roman" w:hAnsi="Times New Roman" w:eastAsia="方正仿宋_GBK"/>
          <w:color w:val="auto"/>
          <w:highlight w:val="none"/>
        </w:rPr>
        <w:t>清理企业对外投资，督促区属国有企业梳理所持股权；推进混合所有制改革，鼓励国有企业与其他所有制企业加强合作，实现互利共赢。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强化监督管理力度。</w:t>
      </w:r>
      <w:r>
        <w:rPr>
          <w:rFonts w:hint="eastAsia" w:ascii="Times New Roman" w:hAnsi="Times New Roman" w:eastAsia="方正仿宋_GBK"/>
          <w:color w:val="auto"/>
          <w:highlight w:val="none"/>
        </w:rPr>
        <w:t>进一步加强企业风险管控，强化合规经营意识。</w:t>
      </w:r>
    </w:p>
    <w:p w14:paraId="5DAD4CE0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楷体" w:cs="楷体"/>
          <w:color w:val="auto"/>
          <w:highlight w:val="none"/>
        </w:rPr>
      </w:pPr>
      <w:r>
        <w:rPr>
          <w:rFonts w:hint="eastAsia" w:ascii="Times New Roman" w:hAnsi="Times New Roman" w:eastAsia="楷体" w:cs="楷体"/>
          <w:color w:val="auto"/>
          <w:highlight w:val="none"/>
        </w:rPr>
        <w:t>（六）提升金融服务水平</w:t>
      </w:r>
    </w:p>
    <w:p w14:paraId="3B532898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1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优化企业融资服务。</w:t>
      </w:r>
      <w:r>
        <w:rPr>
          <w:rFonts w:hint="eastAsia" w:ascii="Times New Roman" w:hAnsi="Times New Roman" w:eastAsia="方正仿宋_GBK"/>
          <w:color w:val="auto"/>
          <w:highlight w:val="none"/>
        </w:rPr>
        <w:t>持续优化金融营商环境，着力促进融资便利化、资源配置高效化，持续扩大信贷投放力度。</w:t>
      </w:r>
      <w:r>
        <w:rPr>
          <w:rFonts w:hint="eastAsia" w:ascii="Times New Roman" w:hAnsi="Times New Roman" w:eastAsia="方正仿宋_GBK"/>
          <w:b/>
          <w:bCs/>
          <w:color w:val="auto"/>
          <w:highlight w:val="none"/>
        </w:rPr>
        <w:t>激发资本市场活力。</w:t>
      </w:r>
      <w:r>
        <w:rPr>
          <w:rFonts w:hint="eastAsia" w:ascii="Times New Roman" w:hAnsi="Times New Roman" w:eastAsia="方正仿宋_GBK"/>
          <w:color w:val="auto"/>
          <w:highlight w:val="none"/>
        </w:rPr>
        <w:t>推进后备企业上市备案进度，做好相关服务；用好区四化同步引导基金，扶持高新技术产业发展壮大；深化埇上合作，加强两地资本、项目对接。</w:t>
      </w:r>
    </w:p>
    <w:p w14:paraId="157FF0CD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rPr>
          <w:rFonts w:ascii="Times New Roman" w:hAnsi="Times New Roman" w:eastAsia="方正仿宋_GBK"/>
          <w:color w:val="auto"/>
          <w:highlight w:val="none"/>
        </w:rPr>
      </w:pPr>
      <w:r>
        <w:rPr>
          <w:rFonts w:hint="eastAsia" w:ascii="Times New Roman" w:hAnsi="Times New Roman" w:eastAsia="方正仿宋_GBK"/>
          <w:color w:val="auto"/>
          <w:highlight w:val="none"/>
        </w:rPr>
        <w:t>各位代表，2025年财政工作任务艰巨，责任重大，区财政系统将在区委区政府的坚强领导下，自觉接受区人大的指导监督，虚心听取区政协的意见建议</w:t>
      </w:r>
      <w:r>
        <w:rPr>
          <w:rFonts w:hint="eastAsia" w:ascii="Times New Roman" w:hAnsi="Times New Roman" w:eastAsia="方正仿宋_GBK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highlight w:val="none"/>
        </w:rPr>
        <w:t>坚定信心，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迎难而上</w:t>
      </w:r>
      <w:r>
        <w:rPr>
          <w:rFonts w:hint="eastAsia" w:ascii="Times New Roman" w:hAnsi="Times New Roman" w:eastAsia="方正仿宋_GBK"/>
          <w:color w:val="auto"/>
          <w:highlight w:val="none"/>
        </w:rPr>
        <w:t>，主动担当，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拼搏奋进</w:t>
      </w:r>
      <w:r>
        <w:rPr>
          <w:rFonts w:hint="eastAsia" w:ascii="Times New Roman" w:hAnsi="Times New Roman" w:eastAsia="方正仿宋_GBK"/>
          <w:color w:val="auto"/>
          <w:highlight w:val="none"/>
        </w:rPr>
        <w:t>，持续提升财政、国资和金融监管工作水平，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为促进</w:t>
      </w:r>
      <w:r>
        <w:rPr>
          <w:rFonts w:hint="eastAsia" w:ascii="Times New Roman" w:hAnsi="Times New Roman" w:eastAsia="方正仿宋_GBK"/>
          <w:color w:val="auto"/>
          <w:highlight w:val="none"/>
        </w:rPr>
        <w:t>埇桥经济社会高质量发展</w:t>
      </w:r>
      <w:r>
        <w:rPr>
          <w:rFonts w:hint="eastAsia" w:ascii="Times New Roman" w:hAnsi="Times New Roman" w:eastAsia="方正仿宋_GBK"/>
          <w:color w:val="auto"/>
          <w:highlight w:val="none"/>
          <w:lang w:eastAsia="zh-CN"/>
        </w:rPr>
        <w:t>，</w:t>
      </w:r>
      <w:r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  <w:t>做出新的更大贡献</w:t>
      </w:r>
      <w:r>
        <w:rPr>
          <w:rFonts w:hint="eastAsia" w:ascii="Times New Roman" w:hAnsi="Times New Roman" w:eastAsia="方正仿宋_GBK"/>
          <w:color w:val="auto"/>
          <w:highlight w:val="none"/>
        </w:rPr>
        <w:t>。</w:t>
      </w:r>
    </w:p>
    <w:p w14:paraId="55A51B14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6E57A26C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4E679DFF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36EFB183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0800BE1B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0823E1B9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0DA1EB84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283C6A5F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47F2408C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68D67E79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028BA273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042B5E6F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41A5E8CD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325C1196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17A2D1C5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562B87EA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74AA8909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473560D1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24256A44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1B3FC337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6D9EDA36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45F21284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4508A178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5CDBE73F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1B1E455B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p w14:paraId="38564236">
      <w:pPr>
        <w:widowControl w:val="0"/>
        <w:numPr>
          <w:ilvl w:val="0"/>
          <w:numId w:val="0"/>
        </w:numPr>
        <w:jc w:val="both"/>
        <w:rPr>
          <w:rFonts w:hint="eastAsia" w:ascii="方正仿宋_GBK" w:hAnsi="方正仿宋_GBK" w:eastAsia="方正仿宋_GBK" w:cs="方正仿宋_GBK"/>
          <w:color w:val="auto"/>
          <w:kern w:val="32"/>
          <w:sz w:val="32"/>
          <w:szCs w:val="32"/>
          <w:highlight w:val="none"/>
          <w:lang w:val="zh-CN"/>
        </w:rPr>
      </w:pPr>
    </w:p>
    <w:tbl>
      <w:tblPr>
        <w:tblStyle w:val="4"/>
        <w:tblpPr w:leftFromText="180" w:rightFromText="180" w:vertAnchor="text" w:horzAnchor="page" w:tblpX="1701" w:tblpY="71"/>
        <w:tblOverlap w:val="never"/>
        <w:tblW w:w="9268" w:type="dxa"/>
        <w:tblInd w:w="0" w:type="dxa"/>
        <w:tblBorders>
          <w:top w:val="single" w:color="auto" w:sz="6" w:space="0"/>
          <w:left w:val="none" w:color="auto" w:sz="0" w:space="0"/>
          <w:bottom w:val="single" w:color="auto" w:sz="6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8"/>
      </w:tblGrid>
      <w:tr w14:paraId="4C12C11C">
        <w:tblPrEx>
          <w:tblBorders>
            <w:top w:val="single" w:color="auto" w:sz="6" w:space="0"/>
            <w:left w:val="none" w:color="auto" w:sz="0" w:space="0"/>
            <w:bottom w:val="single" w:color="auto" w:sz="6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268" w:type="dxa"/>
            <w:tcBorders>
              <w:tl2br w:val="nil"/>
              <w:tr2bl w:val="nil"/>
            </w:tcBorders>
            <w:noWrap w:val="0"/>
            <w:vAlign w:val="center"/>
          </w:tcPr>
          <w:p w14:paraId="41A4C6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 w:val="32"/>
                <w:szCs w:val="32"/>
              </w:rPr>
            </w:pP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埇桥区十一届人大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四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次会议秘书处                印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方正楷体_GBK" w:hAnsi="方正楷体_GBK" w:eastAsia="方正楷体_GBK" w:cs="方正楷体_GBK"/>
                <w:sz w:val="32"/>
                <w:szCs w:val="32"/>
              </w:rPr>
              <w:t>00份</w:t>
            </w:r>
          </w:p>
        </w:tc>
      </w:tr>
    </w:tbl>
    <w:p w14:paraId="180D1BC9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1600" w:firstLineChars="500"/>
        <w:rPr>
          <w:rFonts w:hint="eastAsia" w:ascii="Times New Roman" w:hAnsi="Times New Roman" w:eastAsia="方正仿宋_GBK"/>
          <w:color w:val="auto"/>
          <w:highlight w:val="none"/>
          <w:lang w:val="en-US" w:eastAsia="zh-CN"/>
        </w:rPr>
      </w:pPr>
    </w:p>
    <w:sectPr>
      <w:footerReference r:id="rId3" w:type="default"/>
      <w:pgSz w:w="11906" w:h="16838"/>
      <w:pgMar w:top="1928" w:right="1502" w:bottom="1587" w:left="1502" w:header="851" w:footer="1304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0686086-0B42-4540-AE31-219271808FEF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D55A342A-CE45-407F-88F9-D75E3F7B9786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65192E2-6368-45EB-BE5A-EE14535DDD10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7409C7D-61FE-43B6-89AB-672D4F22BA77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90D28AED-8563-4E6D-9F91-B0CA0B2F0A3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3FEDD76-8971-45D4-88C2-D2F8113B32A0}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7" w:fontKey="{44374BFE-0A8C-4FBE-81B5-FE609B8843E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9241F92C-63DB-4AE2-8C08-8CCA4AD505D3}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9" w:fontKey="{701A9698-1E61-4747-B6FF-CA9384F19B2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6688F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A297FE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2A297FE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B3E10"/>
    <w:rsid w:val="03B7795D"/>
    <w:rsid w:val="0AAA6D97"/>
    <w:rsid w:val="0D53775C"/>
    <w:rsid w:val="139B0D39"/>
    <w:rsid w:val="1CBB73D0"/>
    <w:rsid w:val="1CE17872"/>
    <w:rsid w:val="1D0F4547"/>
    <w:rsid w:val="1E0268DF"/>
    <w:rsid w:val="21D45042"/>
    <w:rsid w:val="21FC1ADD"/>
    <w:rsid w:val="29235D45"/>
    <w:rsid w:val="31145B91"/>
    <w:rsid w:val="32096215"/>
    <w:rsid w:val="336C722F"/>
    <w:rsid w:val="3B82683E"/>
    <w:rsid w:val="3F9F2EEF"/>
    <w:rsid w:val="40B92970"/>
    <w:rsid w:val="419929E5"/>
    <w:rsid w:val="431311B0"/>
    <w:rsid w:val="43BC5828"/>
    <w:rsid w:val="44354C47"/>
    <w:rsid w:val="46900797"/>
    <w:rsid w:val="46F06995"/>
    <w:rsid w:val="471C20EE"/>
    <w:rsid w:val="48040947"/>
    <w:rsid w:val="4C3849D0"/>
    <w:rsid w:val="4C753B39"/>
    <w:rsid w:val="55E23485"/>
    <w:rsid w:val="567E2DF1"/>
    <w:rsid w:val="582A7222"/>
    <w:rsid w:val="599B3347"/>
    <w:rsid w:val="5B977DC6"/>
    <w:rsid w:val="5D8714F7"/>
    <w:rsid w:val="5ED86AC9"/>
    <w:rsid w:val="620174D7"/>
    <w:rsid w:val="625A5265"/>
    <w:rsid w:val="630E6A05"/>
    <w:rsid w:val="695028E5"/>
    <w:rsid w:val="6BFE7D3C"/>
    <w:rsid w:val="6E546404"/>
    <w:rsid w:val="6F1928EC"/>
    <w:rsid w:val="6F9B3E10"/>
    <w:rsid w:val="6FA93114"/>
    <w:rsid w:val="72F03EE8"/>
    <w:rsid w:val="7F64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正文文本缩进 21"/>
    <w:basedOn w:val="1"/>
    <w:qFormat/>
    <w:uiPriority w:val="0"/>
    <w:pPr>
      <w:spacing w:line="590" w:lineRule="exact"/>
      <w:ind w:firstLine="880" w:firstLineChars="200"/>
    </w:pPr>
    <w:rPr>
      <w:rFonts w:ascii="Times New Roman" w:hAnsi="Times New Roman" w:eastAsia="方正仿宋_GBK" w:cs="Times New Roman"/>
    </w:rPr>
  </w:style>
  <w:style w:type="paragraph" w:customStyle="1" w:styleId="7">
    <w:name w:val="仿宋正文"/>
    <w:basedOn w:val="1"/>
    <w:qFormat/>
    <w:uiPriority w:val="0"/>
    <w:pPr>
      <w:spacing w:line="600" w:lineRule="exact"/>
      <w:ind w:firstLine="420" w:firstLineChars="200"/>
    </w:pPr>
    <w:rPr>
      <w:rFonts w:eastAsia="方正仿宋简体"/>
      <w:sz w:val="32"/>
      <w:szCs w:val="32"/>
    </w:rPr>
  </w:style>
  <w:style w:type="paragraph" w:customStyle="1" w:styleId="8">
    <w:name w:val="_Style 2"/>
    <w:basedOn w:val="1"/>
    <w:next w:val="1"/>
    <w:qFormat/>
    <w:uiPriority w:val="0"/>
    <w:pPr>
      <w:spacing w:line="351" w:lineRule="atLeast"/>
      <w:ind w:firstLine="623"/>
      <w:textAlignment w:val="baseline"/>
    </w:pPr>
    <w:rPr>
      <w:color w:val="000000"/>
      <w:sz w:val="31"/>
      <w:szCs w:val="3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9" Type="http://schemas.openxmlformats.org/officeDocument/2006/relationships/font" Target="fonts/font9.odttf"/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6505</Words>
  <Characters>7006</Characters>
  <Lines>0</Lines>
  <Paragraphs>0</Paragraphs>
  <TotalTime>48</TotalTime>
  <ScaleCrop>false</ScaleCrop>
  <LinksUpToDate>false</LinksUpToDate>
  <CharactersWithSpaces>7027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2025-01-01T10:56:00Z</dcterms:created>
  <dc:creator>仐</dc:creator>
  <cp:lastModifiedBy>冯倚琪</cp:lastModifiedBy>
  <cp:lastPrinted>2025-01-03T00:03:00Z</cp:lastPrinted>
  <dcterms:modified xsi:type="dcterms:W3CDTF">2025-04-07T09:14:19Z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C7F6E0672ECB4C0C8F7EDF663A8F4F65_13</vt:lpwstr>
  </property>
  <property fmtid="{D5CDD505-2E9C-101B-9397-08002B2CF9AE}" pid="4" name="KSOTemplateDocerSaveRecord">
    <vt:lpwstr>eyJoZGlkIjoiMzc5ZjI2NzljODhmZGEwZTcxYjBlYzM1NDdjN2Q3MmQiLCJ1c2VySWQiOiI0NDI1NDAzNDIifQ==</vt:lpwstr>
  </property>
</Properties>
</file>