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0F163">
      <w:pPr>
        <w:pStyle w:val="24"/>
        <w:snapToGrid w:val="0"/>
        <w:spacing w:before="0" w:beforeAutospacing="0" w:after="0" w:afterAutospacing="0" w:line="360" w:lineRule="auto"/>
        <w:jc w:val="center"/>
        <w:outlineLvl w:val="0"/>
        <w:rPr>
          <w:rFonts w:cs="宋体"/>
          <w:b/>
          <w:bCs/>
          <w:sz w:val="30"/>
          <w:szCs w:val="30"/>
        </w:rPr>
      </w:pPr>
      <w:r>
        <w:rPr>
          <w:rFonts w:hint="eastAsia" w:cs="宋体"/>
          <w:b/>
          <w:bCs/>
          <w:sz w:val="30"/>
          <w:szCs w:val="30"/>
        </w:rPr>
        <w:t>一、建设项目基本情况</w:t>
      </w:r>
    </w:p>
    <w:tbl>
      <w:tblPr>
        <w:tblStyle w:val="27"/>
        <w:tblW w:w="899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81"/>
        <w:gridCol w:w="1049"/>
        <w:gridCol w:w="2444"/>
        <w:gridCol w:w="2242"/>
        <w:gridCol w:w="2675"/>
      </w:tblGrid>
      <w:tr w14:paraId="402ED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29BB8249">
            <w:pPr>
              <w:adjustRightInd w:val="0"/>
              <w:snapToGrid w:val="0"/>
              <w:jc w:val="center"/>
              <w:rPr>
                <w:rFonts w:ascii="宋体" w:hAnsi="宋体" w:cs="宋体"/>
                <w:kern w:val="0"/>
                <w:sz w:val="24"/>
              </w:rPr>
            </w:pPr>
            <w:r>
              <w:rPr>
                <w:rFonts w:hint="eastAsia" w:ascii="宋体" w:hAnsi="宋体" w:cs="宋体"/>
                <w:kern w:val="0"/>
                <w:sz w:val="24"/>
              </w:rPr>
              <w:t>建设项目名称</w:t>
            </w:r>
          </w:p>
        </w:tc>
        <w:tc>
          <w:tcPr>
            <w:tcW w:w="7262" w:type="dxa"/>
            <w:gridSpan w:val="3"/>
            <w:tcBorders>
              <w:tl2br w:val="nil"/>
              <w:tr2bl w:val="nil"/>
            </w:tcBorders>
            <w:vAlign w:val="center"/>
          </w:tcPr>
          <w:p w14:paraId="01A8670A">
            <w:pPr>
              <w:adjustRightInd w:val="0"/>
              <w:snapToGrid w:val="0"/>
              <w:jc w:val="center"/>
              <w:rPr>
                <w:rFonts w:hint="eastAsia" w:ascii="Times New Roman" w:hAnsi="Times New Roman" w:cs="Times New Roman"/>
                <w:sz w:val="24"/>
              </w:rPr>
            </w:pPr>
            <w:r>
              <w:rPr>
                <w:rFonts w:hint="eastAsia" w:ascii="Times New Roman" w:hAnsi="Times New Roman" w:cs="Times New Roman"/>
                <w:sz w:val="24"/>
              </w:rPr>
              <w:t>安徽省红跃环保科技有限公司宿州分公司</w:t>
            </w:r>
          </w:p>
          <w:p w14:paraId="087A9C7D">
            <w:pPr>
              <w:adjustRightInd w:val="0"/>
              <w:snapToGrid w:val="0"/>
              <w:jc w:val="center"/>
              <w:rPr>
                <w:kern w:val="0"/>
                <w:sz w:val="24"/>
              </w:rPr>
            </w:pPr>
            <w:r>
              <w:rPr>
                <w:rFonts w:hint="eastAsia" w:ascii="Times New Roman" w:hAnsi="Times New Roman" w:cs="Times New Roman"/>
                <w:sz w:val="24"/>
                <w:lang w:eastAsia="zh-CN"/>
              </w:rPr>
              <w:t>道路建养材料技术改造项目</w:t>
            </w:r>
          </w:p>
        </w:tc>
      </w:tr>
      <w:tr w14:paraId="5ECC4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1D69A369">
            <w:pPr>
              <w:adjustRightInd w:val="0"/>
              <w:snapToGrid w:val="0"/>
              <w:jc w:val="center"/>
              <w:rPr>
                <w:rFonts w:ascii="宋体" w:hAnsi="宋体" w:cs="宋体"/>
                <w:kern w:val="0"/>
                <w:sz w:val="24"/>
              </w:rPr>
            </w:pPr>
            <w:r>
              <w:rPr>
                <w:rFonts w:hint="eastAsia" w:ascii="宋体" w:hAnsi="宋体" w:cs="宋体"/>
                <w:kern w:val="0"/>
                <w:sz w:val="24"/>
              </w:rPr>
              <w:t>项目代码</w:t>
            </w:r>
          </w:p>
        </w:tc>
        <w:tc>
          <w:tcPr>
            <w:tcW w:w="7262" w:type="dxa"/>
            <w:gridSpan w:val="3"/>
            <w:tcBorders>
              <w:tl2br w:val="nil"/>
              <w:tr2bl w:val="nil"/>
            </w:tcBorders>
            <w:vAlign w:val="center"/>
          </w:tcPr>
          <w:p w14:paraId="20823473">
            <w:pPr>
              <w:adjustRightInd w:val="0"/>
              <w:snapToGrid w:val="0"/>
              <w:jc w:val="center"/>
              <w:rPr>
                <w:kern w:val="0"/>
                <w:sz w:val="24"/>
              </w:rPr>
            </w:pPr>
            <w:r>
              <w:rPr>
                <w:rFonts w:hint="eastAsia"/>
                <w:sz w:val="24"/>
              </w:rPr>
              <w:t>2504-341302-07-02-925464</w:t>
            </w:r>
          </w:p>
        </w:tc>
      </w:tr>
      <w:tr w14:paraId="7D447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6A013AC2">
            <w:pPr>
              <w:adjustRightInd w:val="0"/>
              <w:snapToGrid w:val="0"/>
              <w:jc w:val="center"/>
              <w:rPr>
                <w:rFonts w:ascii="宋体" w:hAnsi="宋体" w:cs="宋体"/>
                <w:kern w:val="0"/>
                <w:sz w:val="24"/>
              </w:rPr>
            </w:pPr>
            <w:r>
              <w:rPr>
                <w:rFonts w:hint="eastAsia" w:ascii="宋体" w:hAnsi="宋体" w:cs="宋体"/>
                <w:kern w:val="0"/>
                <w:sz w:val="24"/>
              </w:rPr>
              <w:t>建设单位联系人</w:t>
            </w:r>
          </w:p>
        </w:tc>
        <w:tc>
          <w:tcPr>
            <w:tcW w:w="2411" w:type="dxa"/>
            <w:tcBorders>
              <w:tl2br w:val="nil"/>
              <w:tr2bl w:val="nil"/>
            </w:tcBorders>
            <w:vAlign w:val="center"/>
          </w:tcPr>
          <w:p w14:paraId="215FC024">
            <w:pPr>
              <w:adjustRightInd w:val="0"/>
              <w:snapToGrid w:val="0"/>
              <w:jc w:val="center"/>
              <w:rPr>
                <w:kern w:val="0"/>
                <w:sz w:val="24"/>
              </w:rPr>
            </w:pPr>
          </w:p>
        </w:tc>
        <w:tc>
          <w:tcPr>
            <w:tcW w:w="2212" w:type="dxa"/>
            <w:tcBorders>
              <w:tl2br w:val="nil"/>
              <w:tr2bl w:val="nil"/>
            </w:tcBorders>
            <w:vAlign w:val="center"/>
          </w:tcPr>
          <w:p w14:paraId="62A6182C">
            <w:pPr>
              <w:adjustRightInd w:val="0"/>
              <w:snapToGrid w:val="0"/>
              <w:jc w:val="center"/>
              <w:rPr>
                <w:kern w:val="0"/>
                <w:sz w:val="24"/>
              </w:rPr>
            </w:pPr>
            <w:r>
              <w:rPr>
                <w:kern w:val="0"/>
                <w:sz w:val="24"/>
              </w:rPr>
              <w:t>联系方式</w:t>
            </w:r>
          </w:p>
        </w:tc>
        <w:tc>
          <w:tcPr>
            <w:tcW w:w="2639" w:type="dxa"/>
            <w:tcBorders>
              <w:tl2br w:val="nil"/>
              <w:tr2bl w:val="nil"/>
            </w:tcBorders>
            <w:vAlign w:val="center"/>
          </w:tcPr>
          <w:p w14:paraId="6A696166">
            <w:pPr>
              <w:adjustRightInd w:val="0"/>
              <w:snapToGrid w:val="0"/>
              <w:jc w:val="center"/>
              <w:rPr>
                <w:kern w:val="0"/>
                <w:sz w:val="24"/>
              </w:rPr>
            </w:pPr>
            <w:bookmarkStart w:id="2" w:name="_GoBack"/>
            <w:bookmarkEnd w:id="2"/>
          </w:p>
        </w:tc>
      </w:tr>
      <w:tr w14:paraId="6B12C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7E0DF2E3">
            <w:pPr>
              <w:adjustRightInd w:val="0"/>
              <w:snapToGrid w:val="0"/>
              <w:jc w:val="center"/>
              <w:rPr>
                <w:rFonts w:ascii="宋体" w:hAnsi="宋体" w:cs="宋体"/>
                <w:kern w:val="0"/>
                <w:sz w:val="24"/>
              </w:rPr>
            </w:pPr>
            <w:r>
              <w:rPr>
                <w:rFonts w:hint="eastAsia" w:ascii="宋体" w:hAnsi="宋体" w:cs="宋体"/>
                <w:kern w:val="0"/>
                <w:sz w:val="24"/>
              </w:rPr>
              <w:t>建设地点</w:t>
            </w:r>
          </w:p>
        </w:tc>
        <w:tc>
          <w:tcPr>
            <w:tcW w:w="7262" w:type="dxa"/>
            <w:gridSpan w:val="3"/>
            <w:tcBorders>
              <w:tl2br w:val="nil"/>
              <w:tr2bl w:val="nil"/>
            </w:tcBorders>
            <w:vAlign w:val="center"/>
          </w:tcPr>
          <w:p w14:paraId="0A020E3C">
            <w:pPr>
              <w:adjustRightInd w:val="0"/>
              <w:snapToGrid w:val="0"/>
              <w:ind w:left="105" w:leftChars="50" w:right="105" w:rightChars="50"/>
              <w:jc w:val="center"/>
              <w:rPr>
                <w:kern w:val="0"/>
                <w:sz w:val="24"/>
              </w:rPr>
            </w:pPr>
            <w:r>
              <w:rPr>
                <w:rFonts w:hint="eastAsia" w:ascii="宋体" w:hAnsi="宋体" w:cs="宋体"/>
                <w:sz w:val="24"/>
                <w:u w:val="single"/>
              </w:rPr>
              <w:t xml:space="preserve">安徽 </w:t>
            </w:r>
            <w:r>
              <w:rPr>
                <w:rFonts w:hint="eastAsia" w:ascii="宋体" w:hAnsi="宋体" w:cs="宋体"/>
                <w:sz w:val="24"/>
              </w:rPr>
              <w:t>省（自治区）</w:t>
            </w:r>
            <w:r>
              <w:rPr>
                <w:rFonts w:hint="eastAsia" w:ascii="宋体" w:hAnsi="宋体" w:cs="宋体"/>
                <w:sz w:val="24"/>
                <w:u w:val="single"/>
              </w:rPr>
              <w:t xml:space="preserve"> 宿州 </w:t>
            </w:r>
            <w:r>
              <w:rPr>
                <w:rFonts w:hint="eastAsia" w:ascii="宋体" w:hAnsi="宋体" w:cs="宋体"/>
                <w:sz w:val="24"/>
              </w:rPr>
              <w:t>市</w:t>
            </w:r>
            <w:r>
              <w:rPr>
                <w:rFonts w:hint="eastAsia" w:ascii="宋体" w:hAnsi="宋体" w:cs="宋体"/>
                <w:sz w:val="24"/>
                <w:u w:val="single"/>
              </w:rPr>
              <w:t xml:space="preserve"> 埇桥 </w:t>
            </w:r>
            <w:r>
              <w:rPr>
                <w:rFonts w:hint="eastAsia" w:ascii="宋体" w:hAnsi="宋体" w:cs="宋体"/>
                <w:sz w:val="24"/>
              </w:rPr>
              <w:t>县（区）</w:t>
            </w:r>
            <w:r>
              <w:rPr>
                <w:rFonts w:hint="eastAsia" w:ascii="宋体" w:hAnsi="宋体" w:cs="宋体"/>
                <w:sz w:val="24"/>
                <w:u w:val="single"/>
              </w:rPr>
              <w:t>桃园镇浍光村</w:t>
            </w:r>
          </w:p>
        </w:tc>
      </w:tr>
      <w:tr w14:paraId="775A9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00FD118E">
            <w:pPr>
              <w:adjustRightInd w:val="0"/>
              <w:snapToGrid w:val="0"/>
              <w:jc w:val="center"/>
              <w:rPr>
                <w:rFonts w:ascii="宋体" w:hAnsi="宋体" w:cs="宋体"/>
                <w:kern w:val="0"/>
                <w:sz w:val="24"/>
              </w:rPr>
            </w:pPr>
            <w:r>
              <w:rPr>
                <w:rFonts w:hint="eastAsia" w:ascii="宋体" w:hAnsi="宋体" w:cs="宋体"/>
                <w:kern w:val="0"/>
                <w:sz w:val="24"/>
              </w:rPr>
              <w:t>地理坐标</w:t>
            </w:r>
          </w:p>
        </w:tc>
        <w:tc>
          <w:tcPr>
            <w:tcW w:w="7262" w:type="dxa"/>
            <w:gridSpan w:val="3"/>
            <w:tcBorders>
              <w:tl2br w:val="nil"/>
              <w:tr2bl w:val="nil"/>
            </w:tcBorders>
            <w:vAlign w:val="center"/>
          </w:tcPr>
          <w:p w14:paraId="4F78E7BE">
            <w:pPr>
              <w:adjustRightInd w:val="0"/>
              <w:snapToGrid w:val="0"/>
              <w:jc w:val="center"/>
              <w:rPr>
                <w:rFonts w:ascii="宋体" w:hAnsi="宋体" w:cs="宋体"/>
                <w:kern w:val="0"/>
                <w:sz w:val="24"/>
              </w:rPr>
            </w:pPr>
            <w:r>
              <w:rPr>
                <w:rFonts w:hint="eastAsia" w:ascii="宋体" w:hAnsi="宋体" w:cs="宋体"/>
                <w:kern w:val="0"/>
                <w:sz w:val="24"/>
              </w:rPr>
              <w:t>（经度：</w:t>
            </w:r>
            <w:r>
              <w:rPr>
                <w:rFonts w:hint="eastAsia" w:ascii="宋体" w:hAnsi="宋体" w:cs="宋体"/>
                <w:kern w:val="0"/>
                <w:sz w:val="24"/>
                <w:u w:val="single"/>
              </w:rPr>
              <w:t xml:space="preserve"> </w:t>
            </w:r>
            <w:r>
              <w:rPr>
                <w:rFonts w:hint="eastAsia"/>
                <w:kern w:val="0"/>
                <w:sz w:val="24"/>
                <w:u w:val="single"/>
              </w:rPr>
              <w:t>116</w:t>
            </w:r>
            <w:r>
              <w:rPr>
                <w:kern w:val="0"/>
                <w:sz w:val="24"/>
              </w:rPr>
              <w:t>度</w:t>
            </w:r>
            <w:r>
              <w:rPr>
                <w:kern w:val="0"/>
                <w:sz w:val="24"/>
                <w:u w:val="single"/>
              </w:rPr>
              <w:t xml:space="preserve"> </w:t>
            </w:r>
            <w:r>
              <w:rPr>
                <w:rFonts w:hint="eastAsia"/>
                <w:kern w:val="0"/>
                <w:sz w:val="24"/>
                <w:u w:val="single"/>
              </w:rPr>
              <w:t>56</w:t>
            </w:r>
            <w:r>
              <w:rPr>
                <w:kern w:val="0"/>
                <w:sz w:val="24"/>
                <w:u w:val="single"/>
              </w:rPr>
              <w:t xml:space="preserve"> </w:t>
            </w:r>
            <w:r>
              <w:rPr>
                <w:kern w:val="0"/>
                <w:sz w:val="24"/>
              </w:rPr>
              <w:t>分</w:t>
            </w:r>
            <w:r>
              <w:rPr>
                <w:rFonts w:hint="eastAsia"/>
                <w:kern w:val="0"/>
                <w:sz w:val="24"/>
                <w:u w:val="single"/>
              </w:rPr>
              <w:t>33.915</w:t>
            </w:r>
            <w:r>
              <w:rPr>
                <w:kern w:val="0"/>
                <w:sz w:val="24"/>
              </w:rPr>
              <w:t>秒，</w:t>
            </w:r>
            <w:r>
              <w:rPr>
                <w:rFonts w:hint="eastAsia"/>
                <w:kern w:val="0"/>
                <w:sz w:val="24"/>
              </w:rPr>
              <w:t>纬度：</w:t>
            </w:r>
            <w:r>
              <w:rPr>
                <w:kern w:val="0"/>
                <w:sz w:val="24"/>
                <w:u w:val="single"/>
              </w:rPr>
              <w:t xml:space="preserve"> 3</w:t>
            </w:r>
            <w:r>
              <w:rPr>
                <w:rFonts w:hint="eastAsia"/>
                <w:kern w:val="0"/>
                <w:sz w:val="24"/>
                <w:u w:val="single"/>
              </w:rPr>
              <w:t>3</w:t>
            </w:r>
            <w:r>
              <w:rPr>
                <w:kern w:val="0"/>
                <w:sz w:val="24"/>
                <w:u w:val="single"/>
              </w:rPr>
              <w:t xml:space="preserve"> </w:t>
            </w:r>
            <w:r>
              <w:rPr>
                <w:kern w:val="0"/>
                <w:sz w:val="24"/>
              </w:rPr>
              <w:t>度</w:t>
            </w:r>
            <w:r>
              <w:rPr>
                <w:kern w:val="0"/>
                <w:sz w:val="24"/>
                <w:u w:val="single"/>
              </w:rPr>
              <w:t xml:space="preserve"> </w:t>
            </w:r>
            <w:r>
              <w:rPr>
                <w:rFonts w:hint="eastAsia"/>
                <w:kern w:val="0"/>
                <w:sz w:val="24"/>
                <w:u w:val="single"/>
              </w:rPr>
              <w:t>30</w:t>
            </w:r>
            <w:r>
              <w:rPr>
                <w:kern w:val="0"/>
                <w:sz w:val="24"/>
                <w:u w:val="single"/>
              </w:rPr>
              <w:t xml:space="preserve"> </w:t>
            </w:r>
            <w:r>
              <w:rPr>
                <w:kern w:val="0"/>
                <w:sz w:val="24"/>
              </w:rPr>
              <w:t>分</w:t>
            </w:r>
            <w:r>
              <w:rPr>
                <w:kern w:val="0"/>
                <w:sz w:val="24"/>
                <w:u w:val="single"/>
              </w:rPr>
              <w:t xml:space="preserve"> </w:t>
            </w:r>
            <w:r>
              <w:rPr>
                <w:rFonts w:hint="eastAsia"/>
                <w:kern w:val="0"/>
                <w:sz w:val="24"/>
                <w:u w:val="single"/>
              </w:rPr>
              <w:t>0.076</w:t>
            </w:r>
            <w:r>
              <w:rPr>
                <w:rFonts w:hint="eastAsia" w:ascii="宋体" w:hAnsi="宋体" w:cs="宋体"/>
                <w:kern w:val="0"/>
                <w:sz w:val="24"/>
              </w:rPr>
              <w:t>秒）</w:t>
            </w:r>
          </w:p>
        </w:tc>
      </w:tr>
      <w:tr w14:paraId="4D1B0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08" w:type="dxa"/>
            <w:gridSpan w:val="2"/>
            <w:tcBorders>
              <w:tl2br w:val="nil"/>
              <w:tr2bl w:val="nil"/>
            </w:tcBorders>
            <w:tcMar>
              <w:top w:w="16" w:type="dxa"/>
              <w:left w:w="16" w:type="dxa"/>
              <w:right w:w="16" w:type="dxa"/>
            </w:tcMar>
            <w:vAlign w:val="center"/>
          </w:tcPr>
          <w:p w14:paraId="6D287104">
            <w:pPr>
              <w:adjustRightInd w:val="0"/>
              <w:snapToGrid w:val="0"/>
              <w:jc w:val="center"/>
              <w:rPr>
                <w:rFonts w:ascii="宋体" w:hAnsi="宋体" w:cs="宋体"/>
                <w:kern w:val="0"/>
                <w:sz w:val="24"/>
              </w:rPr>
            </w:pPr>
            <w:r>
              <w:rPr>
                <w:rFonts w:hint="eastAsia" w:ascii="宋体" w:hAnsi="宋体" w:cs="宋体"/>
                <w:kern w:val="0"/>
                <w:sz w:val="24"/>
              </w:rPr>
              <w:t>国民经济</w:t>
            </w:r>
          </w:p>
          <w:p w14:paraId="52F2909F">
            <w:pPr>
              <w:adjustRightInd w:val="0"/>
              <w:snapToGrid w:val="0"/>
              <w:jc w:val="center"/>
              <w:rPr>
                <w:rFonts w:ascii="宋体" w:hAnsi="宋体" w:cs="宋体"/>
                <w:kern w:val="0"/>
                <w:sz w:val="24"/>
              </w:rPr>
            </w:pPr>
            <w:r>
              <w:rPr>
                <w:rFonts w:hint="eastAsia" w:ascii="宋体" w:hAnsi="宋体" w:cs="宋体"/>
                <w:kern w:val="0"/>
                <w:sz w:val="24"/>
              </w:rPr>
              <w:t>行业类别</w:t>
            </w:r>
          </w:p>
        </w:tc>
        <w:tc>
          <w:tcPr>
            <w:tcW w:w="2411" w:type="dxa"/>
            <w:tcBorders>
              <w:tl2br w:val="nil"/>
              <w:tr2bl w:val="nil"/>
            </w:tcBorders>
            <w:vAlign w:val="center"/>
          </w:tcPr>
          <w:p w14:paraId="40D76CA8">
            <w:pPr>
              <w:adjustRightInd w:val="0"/>
              <w:snapToGrid w:val="0"/>
              <w:ind w:left="105" w:leftChars="50" w:right="105" w:rightChars="50"/>
              <w:jc w:val="center"/>
              <w:rPr>
                <w:rFonts w:ascii="宋体" w:hAnsi="宋体" w:cs="宋体"/>
                <w:kern w:val="0"/>
                <w:sz w:val="24"/>
              </w:rPr>
            </w:pPr>
            <w:r>
              <w:rPr>
                <w:rFonts w:hint="eastAsia" w:ascii="Times New Roman" w:hAnsi="Times New Roman" w:eastAsia="宋体" w:cs="Times New Roman"/>
                <w:sz w:val="24"/>
                <w:u w:val="none" w:color="auto"/>
                <w:lang w:val="en-US" w:eastAsia="zh-CN"/>
              </w:rPr>
              <w:t>N7723</w:t>
            </w:r>
            <w:r>
              <w:rPr>
                <w:rFonts w:hint="eastAsia" w:ascii="Times New Roman" w:hAnsi="Times New Roman" w:eastAsia="宋体" w:cs="Times New Roman"/>
                <w:sz w:val="24"/>
                <w:szCs w:val="24"/>
                <w:u w:val="none" w:color="auto"/>
                <w:lang w:eastAsia="zh-CN"/>
              </w:rPr>
              <w:t>固体废物治理</w:t>
            </w:r>
          </w:p>
        </w:tc>
        <w:tc>
          <w:tcPr>
            <w:tcW w:w="2212" w:type="dxa"/>
            <w:tcBorders>
              <w:tl2br w:val="nil"/>
              <w:tr2bl w:val="nil"/>
            </w:tcBorders>
            <w:vAlign w:val="center"/>
          </w:tcPr>
          <w:p w14:paraId="412FA711">
            <w:pPr>
              <w:adjustRightInd w:val="0"/>
              <w:snapToGrid w:val="0"/>
              <w:ind w:left="105" w:leftChars="50" w:right="105" w:rightChars="50"/>
              <w:jc w:val="center"/>
              <w:rPr>
                <w:rFonts w:ascii="宋体" w:hAnsi="宋体" w:cs="宋体"/>
                <w:kern w:val="0"/>
                <w:sz w:val="24"/>
              </w:rPr>
            </w:pPr>
            <w:bookmarkStart w:id="0" w:name="_Hlk49843745"/>
            <w:r>
              <w:rPr>
                <w:rFonts w:hint="eastAsia" w:ascii="宋体" w:hAnsi="宋体" w:cs="宋体"/>
                <w:kern w:val="0"/>
                <w:sz w:val="24"/>
              </w:rPr>
              <w:t>建设项目</w:t>
            </w:r>
          </w:p>
          <w:p w14:paraId="59DE49E3">
            <w:pPr>
              <w:adjustRightInd w:val="0"/>
              <w:snapToGrid w:val="0"/>
              <w:ind w:left="105" w:leftChars="50" w:right="105" w:rightChars="50"/>
              <w:jc w:val="center"/>
              <w:rPr>
                <w:rFonts w:ascii="宋体" w:hAnsi="宋体" w:cs="宋体"/>
                <w:kern w:val="0"/>
                <w:sz w:val="24"/>
              </w:rPr>
            </w:pPr>
            <w:r>
              <w:rPr>
                <w:rFonts w:hint="eastAsia" w:ascii="宋体" w:hAnsi="宋体" w:cs="宋体"/>
                <w:kern w:val="0"/>
                <w:sz w:val="24"/>
              </w:rPr>
              <w:t>行业类别</w:t>
            </w:r>
            <w:bookmarkEnd w:id="0"/>
          </w:p>
        </w:tc>
        <w:tc>
          <w:tcPr>
            <w:tcW w:w="2639" w:type="dxa"/>
            <w:tcBorders>
              <w:tl2br w:val="nil"/>
              <w:tr2bl w:val="nil"/>
            </w:tcBorders>
            <w:vAlign w:val="center"/>
          </w:tcPr>
          <w:p w14:paraId="1F994988">
            <w:pPr>
              <w:widowControl/>
              <w:ind w:left="105" w:leftChars="50" w:right="105" w:rightChars="50"/>
              <w:jc w:val="center"/>
              <w:rPr>
                <w:rFonts w:ascii="宋体" w:hAnsi="宋体" w:cs="宋体"/>
                <w:kern w:val="0"/>
                <w:sz w:val="24"/>
              </w:rPr>
            </w:pPr>
            <w:r>
              <w:rPr>
                <w:rFonts w:hint="eastAsia" w:ascii="Times New Roman" w:hAnsi="Times New Roman" w:eastAsia="宋体" w:cs="宋体"/>
                <w:color w:val="auto"/>
                <w:sz w:val="24"/>
                <w:szCs w:val="24"/>
                <w:lang w:val="en-US" w:eastAsia="zh-CN"/>
              </w:rPr>
              <w:t>四十七、生态保护和环境治理业--一般工业固体废物（含污水处理污泥）、建筑施工废弃物处置及综合利用</w:t>
            </w:r>
          </w:p>
        </w:tc>
      </w:tr>
      <w:tr w14:paraId="3C451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4ED446D4">
            <w:pPr>
              <w:adjustRightInd w:val="0"/>
              <w:snapToGrid w:val="0"/>
              <w:jc w:val="center"/>
              <w:rPr>
                <w:rFonts w:ascii="宋体" w:hAnsi="宋体" w:cs="宋体"/>
                <w:kern w:val="0"/>
                <w:sz w:val="24"/>
              </w:rPr>
            </w:pPr>
            <w:r>
              <w:rPr>
                <w:rFonts w:hint="eastAsia" w:ascii="宋体" w:hAnsi="宋体" w:cs="宋体"/>
                <w:kern w:val="0"/>
                <w:sz w:val="24"/>
              </w:rPr>
              <w:t>建设性质</w:t>
            </w:r>
          </w:p>
        </w:tc>
        <w:tc>
          <w:tcPr>
            <w:tcW w:w="2411" w:type="dxa"/>
            <w:tcBorders>
              <w:tl2br w:val="nil"/>
              <w:tr2bl w:val="nil"/>
            </w:tcBorders>
            <w:vAlign w:val="center"/>
          </w:tcPr>
          <w:p w14:paraId="37C8771C">
            <w:pPr>
              <w:adjustRightInd w:val="0"/>
              <w:snapToGrid w:val="0"/>
              <w:jc w:val="left"/>
              <w:rPr>
                <w:rFonts w:ascii="宋体" w:hAnsi="宋体" w:cs="宋体"/>
                <w:kern w:val="0"/>
                <w:sz w:val="24"/>
              </w:rPr>
            </w:pPr>
            <w:r>
              <w:rPr>
                <w:rFonts w:hint="eastAsia" w:ascii="宋体" w:hAnsi="宋体" w:cs="宋体"/>
                <w:kern w:val="0"/>
                <w:sz w:val="24"/>
              </w:rPr>
              <w:t>□新建（迁建）</w:t>
            </w:r>
          </w:p>
          <w:p w14:paraId="00AC305A">
            <w:pPr>
              <w:adjustRightInd w:val="0"/>
              <w:snapToGrid w:val="0"/>
              <w:jc w:val="left"/>
              <w:rPr>
                <w:rFonts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rPr>
              <w:t>改建</w:t>
            </w:r>
          </w:p>
          <w:p w14:paraId="542B0C56">
            <w:pPr>
              <w:adjustRightInd w:val="0"/>
              <w:snapToGrid w:val="0"/>
              <w:jc w:val="left"/>
              <w:rPr>
                <w:rFonts w:ascii="宋体" w:hAnsi="宋体" w:cs="宋体"/>
                <w:kern w:val="0"/>
                <w:sz w:val="24"/>
              </w:rPr>
            </w:pPr>
            <w:r>
              <w:rPr>
                <w:rFonts w:hint="eastAsia"/>
                <w:sz w:val="24"/>
                <w:lang w:eastAsia="zh-CN"/>
              </w:rPr>
              <w:t>□</w:t>
            </w:r>
            <w:r>
              <w:rPr>
                <w:rFonts w:hint="eastAsia" w:ascii="宋体" w:hAnsi="宋体" w:cs="宋体"/>
                <w:kern w:val="0"/>
                <w:sz w:val="24"/>
              </w:rPr>
              <w:t>扩建</w:t>
            </w:r>
          </w:p>
          <w:p w14:paraId="180AE4A8">
            <w:pPr>
              <w:adjustRightInd w:val="0"/>
              <w:snapToGrid w:val="0"/>
              <w:jc w:val="left"/>
              <w:rPr>
                <w:rFonts w:ascii="宋体" w:hAnsi="宋体" w:cs="宋体"/>
                <w:kern w:val="0"/>
                <w:sz w:val="24"/>
              </w:rPr>
            </w:pPr>
            <w:r>
              <w:rPr>
                <w:rFonts w:hint="eastAsia" w:ascii="宋体" w:hAnsi="宋体" w:cs="宋体"/>
                <w:kern w:val="0"/>
                <w:sz w:val="24"/>
                <w:lang w:eastAsia="zh-CN"/>
              </w:rPr>
              <w:t>□</w:t>
            </w:r>
            <w:r>
              <w:rPr>
                <w:rFonts w:hint="eastAsia" w:ascii="宋体" w:hAnsi="宋体" w:cs="宋体"/>
                <w:kern w:val="0"/>
                <w:sz w:val="24"/>
              </w:rPr>
              <w:t>技术改造</w:t>
            </w:r>
          </w:p>
        </w:tc>
        <w:tc>
          <w:tcPr>
            <w:tcW w:w="2212" w:type="dxa"/>
            <w:tcBorders>
              <w:tl2br w:val="nil"/>
              <w:tr2bl w:val="nil"/>
            </w:tcBorders>
            <w:vAlign w:val="center"/>
          </w:tcPr>
          <w:p w14:paraId="2F077029">
            <w:pPr>
              <w:adjustRightInd w:val="0"/>
              <w:snapToGrid w:val="0"/>
              <w:jc w:val="center"/>
              <w:rPr>
                <w:rFonts w:ascii="宋体" w:hAnsi="宋体" w:cs="宋体"/>
                <w:kern w:val="0"/>
                <w:sz w:val="24"/>
              </w:rPr>
            </w:pPr>
            <w:r>
              <w:rPr>
                <w:rFonts w:hint="eastAsia" w:ascii="宋体" w:hAnsi="宋体" w:cs="宋体"/>
                <w:kern w:val="0"/>
                <w:sz w:val="24"/>
              </w:rPr>
              <w:t>建设项目</w:t>
            </w:r>
          </w:p>
          <w:p w14:paraId="6FDAF327">
            <w:pPr>
              <w:adjustRightInd w:val="0"/>
              <w:snapToGrid w:val="0"/>
              <w:jc w:val="center"/>
              <w:rPr>
                <w:rFonts w:ascii="宋体" w:hAnsi="宋体" w:cs="宋体"/>
                <w:kern w:val="0"/>
                <w:sz w:val="24"/>
              </w:rPr>
            </w:pPr>
            <w:r>
              <w:rPr>
                <w:rFonts w:hint="eastAsia" w:ascii="宋体" w:hAnsi="宋体" w:cs="宋体"/>
                <w:kern w:val="0"/>
                <w:sz w:val="24"/>
              </w:rPr>
              <w:t>申报情形</w:t>
            </w:r>
          </w:p>
        </w:tc>
        <w:tc>
          <w:tcPr>
            <w:tcW w:w="2639" w:type="dxa"/>
            <w:tcBorders>
              <w:tl2br w:val="nil"/>
              <w:tr2bl w:val="nil"/>
            </w:tcBorders>
            <w:vAlign w:val="center"/>
          </w:tcPr>
          <w:p w14:paraId="64DCC571">
            <w:pPr>
              <w:adjustRightInd w:val="0"/>
              <w:snapToGrid w:val="0"/>
              <w:jc w:val="left"/>
              <w:rPr>
                <w:rFonts w:ascii="宋体" w:hAnsi="宋体" w:cs="宋体"/>
                <w:kern w:val="0"/>
                <w:sz w:val="24"/>
              </w:rPr>
            </w:pPr>
            <w:r>
              <w:rPr>
                <w:rFonts w:hint="eastAsia"/>
                <w:sz w:val="24"/>
              </w:rPr>
              <w:t>☑</w:t>
            </w:r>
            <w:r>
              <w:rPr>
                <w:rFonts w:hint="eastAsia" w:ascii="宋体" w:hAnsi="宋体" w:cs="宋体"/>
                <w:kern w:val="0"/>
                <w:sz w:val="24"/>
              </w:rPr>
              <w:t xml:space="preserve">首次申报项目             </w:t>
            </w:r>
          </w:p>
          <w:p w14:paraId="5ACCC0CE">
            <w:pPr>
              <w:adjustRightInd w:val="0"/>
              <w:snapToGrid w:val="0"/>
              <w:jc w:val="left"/>
              <w:rPr>
                <w:rFonts w:ascii="宋体" w:hAnsi="宋体" w:cs="宋体"/>
                <w:kern w:val="0"/>
                <w:sz w:val="24"/>
              </w:rPr>
            </w:pPr>
            <w:r>
              <w:rPr>
                <w:rFonts w:hint="eastAsia" w:ascii="宋体" w:hAnsi="宋体" w:cs="宋体"/>
                <w:kern w:val="0"/>
                <w:sz w:val="24"/>
              </w:rPr>
              <w:t>□不予批准后再次申报项</w:t>
            </w:r>
          </w:p>
          <w:p w14:paraId="550D1219">
            <w:pPr>
              <w:adjustRightInd w:val="0"/>
              <w:snapToGrid w:val="0"/>
              <w:jc w:val="left"/>
              <w:rPr>
                <w:rFonts w:ascii="宋体" w:hAnsi="宋体" w:cs="宋体"/>
                <w:kern w:val="0"/>
                <w:sz w:val="24"/>
              </w:rPr>
            </w:pPr>
            <w:r>
              <w:rPr>
                <w:rFonts w:hint="eastAsia" w:ascii="宋体" w:hAnsi="宋体" w:cs="宋体"/>
                <w:kern w:val="0"/>
                <w:sz w:val="24"/>
              </w:rPr>
              <w:t xml:space="preserve">□超五年重新审核项目     </w:t>
            </w:r>
          </w:p>
          <w:p w14:paraId="302D4592">
            <w:pPr>
              <w:adjustRightInd w:val="0"/>
              <w:snapToGrid w:val="0"/>
              <w:jc w:val="left"/>
              <w:rPr>
                <w:rFonts w:ascii="宋体" w:hAnsi="宋体" w:cs="宋体"/>
                <w:kern w:val="0"/>
                <w:sz w:val="24"/>
              </w:rPr>
            </w:pPr>
            <w:r>
              <w:rPr>
                <w:rFonts w:hint="eastAsia" w:ascii="宋体" w:hAnsi="宋体" w:cs="宋体"/>
                <w:kern w:val="0"/>
                <w:sz w:val="24"/>
              </w:rPr>
              <w:t>□重大变动重新报批项目</w:t>
            </w:r>
          </w:p>
        </w:tc>
      </w:tr>
      <w:tr w14:paraId="18BE63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0B7F4491">
            <w:pPr>
              <w:adjustRightInd w:val="0"/>
              <w:snapToGrid w:val="0"/>
              <w:jc w:val="center"/>
              <w:rPr>
                <w:rFonts w:ascii="宋体" w:hAnsi="宋体" w:cs="宋体"/>
                <w:color w:val="auto"/>
                <w:kern w:val="0"/>
                <w:sz w:val="24"/>
              </w:rPr>
            </w:pPr>
            <w:r>
              <w:rPr>
                <w:rFonts w:hint="eastAsia" w:ascii="宋体" w:hAnsi="宋体" w:cs="宋体"/>
                <w:color w:val="auto"/>
                <w:kern w:val="0"/>
                <w:sz w:val="24"/>
              </w:rPr>
              <w:t>项目审批（核准/备案）部门（选填）</w:t>
            </w:r>
          </w:p>
        </w:tc>
        <w:tc>
          <w:tcPr>
            <w:tcW w:w="2411" w:type="dxa"/>
            <w:tcBorders>
              <w:tl2br w:val="nil"/>
              <w:tr2bl w:val="nil"/>
            </w:tcBorders>
            <w:vAlign w:val="center"/>
          </w:tcPr>
          <w:p w14:paraId="237CFF9F">
            <w:pPr>
              <w:adjustRightInd w:val="0"/>
              <w:snapToGrid w:val="0"/>
              <w:ind w:left="105" w:leftChars="50" w:right="105" w:rightChars="50"/>
              <w:jc w:val="center"/>
              <w:rPr>
                <w:rFonts w:hint="eastAsia" w:eastAsia="宋体"/>
                <w:color w:val="auto"/>
                <w:kern w:val="0"/>
                <w:sz w:val="24"/>
                <w:lang w:eastAsia="zh-CN"/>
              </w:rPr>
            </w:pPr>
            <w:r>
              <w:rPr>
                <w:rFonts w:hint="eastAsia"/>
                <w:color w:val="auto"/>
                <w:sz w:val="24"/>
                <w:lang w:eastAsia="zh-CN"/>
              </w:rPr>
              <w:t>宿州市埇桥区信息和工业化局</w:t>
            </w:r>
          </w:p>
        </w:tc>
        <w:tc>
          <w:tcPr>
            <w:tcW w:w="2212" w:type="dxa"/>
            <w:tcBorders>
              <w:tl2br w:val="nil"/>
              <w:tr2bl w:val="nil"/>
            </w:tcBorders>
            <w:vAlign w:val="center"/>
          </w:tcPr>
          <w:p w14:paraId="64E2F54A">
            <w:pPr>
              <w:adjustRightInd w:val="0"/>
              <w:snapToGrid w:val="0"/>
              <w:jc w:val="center"/>
              <w:rPr>
                <w:color w:val="auto"/>
                <w:kern w:val="0"/>
                <w:sz w:val="24"/>
              </w:rPr>
            </w:pPr>
            <w:r>
              <w:rPr>
                <w:color w:val="auto"/>
                <w:kern w:val="0"/>
                <w:sz w:val="24"/>
              </w:rPr>
              <w:t>项目审批（核准/</w:t>
            </w:r>
          </w:p>
          <w:p w14:paraId="0C31CD85">
            <w:pPr>
              <w:adjustRightInd w:val="0"/>
              <w:snapToGrid w:val="0"/>
              <w:jc w:val="center"/>
              <w:rPr>
                <w:color w:val="auto"/>
                <w:kern w:val="0"/>
                <w:sz w:val="24"/>
              </w:rPr>
            </w:pPr>
            <w:r>
              <w:rPr>
                <w:color w:val="auto"/>
                <w:kern w:val="0"/>
                <w:sz w:val="24"/>
              </w:rPr>
              <w:t>备案）文号（选填）</w:t>
            </w:r>
          </w:p>
        </w:tc>
        <w:tc>
          <w:tcPr>
            <w:tcW w:w="2639" w:type="dxa"/>
            <w:tcBorders>
              <w:tl2br w:val="nil"/>
              <w:tr2bl w:val="nil"/>
            </w:tcBorders>
            <w:vAlign w:val="center"/>
          </w:tcPr>
          <w:p w14:paraId="71EE503E">
            <w:pPr>
              <w:adjustRightInd w:val="0"/>
              <w:snapToGrid w:val="0"/>
              <w:jc w:val="center"/>
              <w:rPr>
                <w:rFonts w:hint="eastAsia" w:eastAsia="宋体"/>
                <w:color w:val="auto"/>
                <w:kern w:val="0"/>
                <w:sz w:val="24"/>
                <w:lang w:eastAsia="zh-CN"/>
              </w:rPr>
            </w:pPr>
            <w:r>
              <w:rPr>
                <w:rFonts w:hint="eastAsia"/>
                <w:color w:val="auto"/>
                <w:sz w:val="24"/>
                <w:lang w:val="en-US" w:eastAsia="zh-CN"/>
              </w:rPr>
              <w:t>/</w:t>
            </w:r>
          </w:p>
        </w:tc>
      </w:tr>
      <w:tr w14:paraId="7AC91F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53FD49EA">
            <w:pPr>
              <w:adjustRightInd w:val="0"/>
              <w:snapToGrid w:val="0"/>
              <w:jc w:val="center"/>
              <w:rPr>
                <w:rFonts w:ascii="宋体" w:hAnsi="宋体" w:cs="宋体"/>
                <w:color w:val="auto"/>
                <w:kern w:val="0"/>
                <w:sz w:val="24"/>
              </w:rPr>
            </w:pPr>
            <w:r>
              <w:rPr>
                <w:rFonts w:hint="eastAsia" w:ascii="宋体" w:hAnsi="宋体" w:cs="宋体"/>
                <w:color w:val="auto"/>
                <w:kern w:val="0"/>
                <w:sz w:val="24"/>
              </w:rPr>
              <w:t>总投资（万元）</w:t>
            </w:r>
          </w:p>
        </w:tc>
        <w:tc>
          <w:tcPr>
            <w:tcW w:w="2411" w:type="dxa"/>
            <w:tcBorders>
              <w:tl2br w:val="nil"/>
              <w:tr2bl w:val="nil"/>
            </w:tcBorders>
            <w:vAlign w:val="center"/>
          </w:tcPr>
          <w:p w14:paraId="240B3783">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700</w:t>
            </w:r>
          </w:p>
        </w:tc>
        <w:tc>
          <w:tcPr>
            <w:tcW w:w="2212" w:type="dxa"/>
            <w:tcBorders>
              <w:tl2br w:val="nil"/>
              <w:tr2bl w:val="nil"/>
            </w:tcBorders>
            <w:tcMar>
              <w:top w:w="16" w:type="dxa"/>
              <w:left w:w="16" w:type="dxa"/>
              <w:right w:w="16" w:type="dxa"/>
            </w:tcMar>
            <w:vAlign w:val="center"/>
          </w:tcPr>
          <w:p w14:paraId="7FAAAEAE">
            <w:pPr>
              <w:adjustRightInd w:val="0"/>
              <w:snapToGrid w:val="0"/>
              <w:jc w:val="center"/>
              <w:rPr>
                <w:color w:val="auto"/>
                <w:kern w:val="0"/>
                <w:sz w:val="24"/>
              </w:rPr>
            </w:pPr>
            <w:r>
              <w:rPr>
                <w:color w:val="auto"/>
                <w:kern w:val="0"/>
                <w:sz w:val="24"/>
              </w:rPr>
              <w:t>环保投资（万元）</w:t>
            </w:r>
          </w:p>
        </w:tc>
        <w:tc>
          <w:tcPr>
            <w:tcW w:w="2639" w:type="dxa"/>
            <w:tcBorders>
              <w:tl2br w:val="nil"/>
              <w:tr2bl w:val="nil"/>
            </w:tcBorders>
            <w:vAlign w:val="center"/>
          </w:tcPr>
          <w:p w14:paraId="03516D61">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26</w:t>
            </w:r>
          </w:p>
        </w:tc>
      </w:tr>
      <w:tr w14:paraId="186DD9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608" w:type="dxa"/>
            <w:gridSpan w:val="2"/>
            <w:tcBorders>
              <w:tl2br w:val="nil"/>
              <w:tr2bl w:val="nil"/>
            </w:tcBorders>
            <w:tcMar>
              <w:top w:w="16" w:type="dxa"/>
              <w:left w:w="16" w:type="dxa"/>
              <w:right w:w="16" w:type="dxa"/>
            </w:tcMar>
            <w:vAlign w:val="center"/>
          </w:tcPr>
          <w:p w14:paraId="6582CB71">
            <w:pPr>
              <w:adjustRightInd w:val="0"/>
              <w:snapToGrid w:val="0"/>
              <w:jc w:val="center"/>
              <w:rPr>
                <w:rFonts w:ascii="宋体" w:hAnsi="宋体" w:cs="宋体"/>
                <w:color w:val="auto"/>
                <w:kern w:val="0"/>
                <w:sz w:val="24"/>
              </w:rPr>
            </w:pPr>
            <w:r>
              <w:rPr>
                <w:rFonts w:hint="eastAsia" w:ascii="宋体" w:hAnsi="宋体" w:cs="宋体"/>
                <w:color w:val="auto"/>
                <w:kern w:val="0"/>
                <w:sz w:val="24"/>
              </w:rPr>
              <w:t>环保投资占比</w:t>
            </w:r>
            <w:r>
              <w:rPr>
                <w:color w:val="auto"/>
                <w:kern w:val="0"/>
                <w:sz w:val="24"/>
              </w:rPr>
              <w:t>（%）</w:t>
            </w:r>
          </w:p>
        </w:tc>
        <w:tc>
          <w:tcPr>
            <w:tcW w:w="2411" w:type="dxa"/>
            <w:tcBorders>
              <w:tl2br w:val="nil"/>
              <w:tr2bl w:val="nil"/>
            </w:tcBorders>
            <w:vAlign w:val="center"/>
          </w:tcPr>
          <w:p w14:paraId="14CE0CF3">
            <w:pPr>
              <w:adjustRightInd w:val="0"/>
              <w:snapToGrid w:val="0"/>
              <w:jc w:val="center"/>
              <w:rPr>
                <w:color w:val="auto"/>
                <w:kern w:val="0"/>
                <w:sz w:val="24"/>
              </w:rPr>
            </w:pPr>
            <w:r>
              <w:rPr>
                <w:rFonts w:hint="eastAsia"/>
                <w:color w:val="auto"/>
                <w:kern w:val="0"/>
                <w:sz w:val="24"/>
                <w:lang w:val="en-US" w:eastAsia="zh-CN"/>
              </w:rPr>
              <w:t>3.7</w:t>
            </w:r>
            <w:r>
              <w:rPr>
                <w:color w:val="auto"/>
                <w:kern w:val="0"/>
                <w:sz w:val="24"/>
              </w:rPr>
              <w:t>%</w:t>
            </w:r>
          </w:p>
        </w:tc>
        <w:tc>
          <w:tcPr>
            <w:tcW w:w="2212" w:type="dxa"/>
            <w:tcBorders>
              <w:tl2br w:val="nil"/>
              <w:tr2bl w:val="nil"/>
            </w:tcBorders>
            <w:tcMar>
              <w:top w:w="16" w:type="dxa"/>
              <w:left w:w="16" w:type="dxa"/>
              <w:right w:w="16" w:type="dxa"/>
            </w:tcMar>
            <w:vAlign w:val="center"/>
          </w:tcPr>
          <w:p w14:paraId="31136CBA">
            <w:pPr>
              <w:adjustRightInd w:val="0"/>
              <w:snapToGrid w:val="0"/>
              <w:jc w:val="center"/>
              <w:rPr>
                <w:color w:val="auto"/>
                <w:kern w:val="0"/>
                <w:sz w:val="24"/>
              </w:rPr>
            </w:pPr>
            <w:r>
              <w:rPr>
                <w:color w:val="auto"/>
                <w:kern w:val="0"/>
                <w:sz w:val="24"/>
              </w:rPr>
              <w:t>施工工期</w:t>
            </w:r>
          </w:p>
        </w:tc>
        <w:tc>
          <w:tcPr>
            <w:tcW w:w="2639" w:type="dxa"/>
            <w:tcBorders>
              <w:tl2br w:val="nil"/>
              <w:tr2bl w:val="nil"/>
            </w:tcBorders>
            <w:vAlign w:val="center"/>
          </w:tcPr>
          <w:p w14:paraId="085185DC">
            <w:pPr>
              <w:adjustRightInd w:val="0"/>
              <w:snapToGrid w:val="0"/>
              <w:jc w:val="center"/>
              <w:rPr>
                <w:color w:val="auto"/>
                <w:kern w:val="0"/>
                <w:sz w:val="24"/>
              </w:rPr>
            </w:pPr>
            <w:r>
              <w:rPr>
                <w:rFonts w:hint="eastAsia"/>
                <w:color w:val="auto"/>
                <w:kern w:val="0"/>
                <w:sz w:val="24"/>
              </w:rPr>
              <w:t>2个月</w:t>
            </w:r>
          </w:p>
        </w:tc>
      </w:tr>
      <w:tr w14:paraId="734AC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08" w:type="dxa"/>
            <w:gridSpan w:val="2"/>
            <w:tcBorders>
              <w:tl2br w:val="nil"/>
              <w:tr2bl w:val="nil"/>
            </w:tcBorders>
            <w:tcMar>
              <w:top w:w="16" w:type="dxa"/>
              <w:left w:w="16" w:type="dxa"/>
              <w:right w:w="16" w:type="dxa"/>
            </w:tcMar>
            <w:vAlign w:val="center"/>
          </w:tcPr>
          <w:p w14:paraId="07D29CAC">
            <w:pPr>
              <w:adjustRightInd w:val="0"/>
              <w:snapToGrid w:val="0"/>
              <w:jc w:val="center"/>
              <w:rPr>
                <w:rFonts w:ascii="宋体" w:hAnsi="宋体" w:cs="宋体"/>
                <w:color w:val="auto"/>
                <w:kern w:val="0"/>
                <w:sz w:val="24"/>
              </w:rPr>
            </w:pPr>
            <w:r>
              <w:rPr>
                <w:rFonts w:hint="eastAsia" w:ascii="宋体" w:hAnsi="宋体" w:cs="宋体"/>
                <w:color w:val="auto"/>
                <w:kern w:val="0"/>
                <w:sz w:val="24"/>
              </w:rPr>
              <w:t>是否开工建设</w:t>
            </w:r>
          </w:p>
        </w:tc>
        <w:tc>
          <w:tcPr>
            <w:tcW w:w="2411" w:type="dxa"/>
            <w:tcBorders>
              <w:tl2br w:val="nil"/>
              <w:tr2bl w:val="nil"/>
            </w:tcBorders>
            <w:vAlign w:val="center"/>
          </w:tcPr>
          <w:p w14:paraId="69E27928">
            <w:pPr>
              <w:adjustRightInd w:val="0"/>
              <w:snapToGrid w:val="0"/>
              <w:rPr>
                <w:color w:val="auto"/>
                <w:kern w:val="0"/>
                <w:sz w:val="24"/>
              </w:rPr>
            </w:pPr>
            <w:r>
              <w:rPr>
                <w:rFonts w:hint="eastAsia"/>
                <w:color w:val="auto"/>
                <w:sz w:val="24"/>
              </w:rPr>
              <w:t>☑</w:t>
            </w:r>
            <w:r>
              <w:rPr>
                <w:color w:val="auto"/>
                <w:kern w:val="0"/>
                <w:sz w:val="24"/>
              </w:rPr>
              <w:t>否</w:t>
            </w:r>
          </w:p>
          <w:p w14:paraId="5DB350F0">
            <w:pPr>
              <w:adjustRightInd w:val="0"/>
              <w:snapToGrid w:val="0"/>
              <w:rPr>
                <w:color w:val="auto"/>
                <w:kern w:val="0"/>
                <w:sz w:val="24"/>
              </w:rPr>
            </w:pPr>
            <w:r>
              <w:rPr>
                <w:rFonts w:hint="eastAsia" w:ascii="宋体" w:hAnsi="宋体" w:cs="宋体"/>
                <w:color w:val="auto"/>
                <w:kern w:val="0"/>
                <w:sz w:val="24"/>
              </w:rPr>
              <w:t>□</w:t>
            </w:r>
            <w:r>
              <w:rPr>
                <w:color w:val="auto"/>
                <w:kern w:val="0"/>
                <w:sz w:val="24"/>
              </w:rPr>
              <w:t>是：</w:t>
            </w:r>
            <w:r>
              <w:rPr>
                <w:rFonts w:hint="eastAsia"/>
                <w:color w:val="auto"/>
                <w:kern w:val="0"/>
                <w:sz w:val="24"/>
                <w:u w:val="single"/>
              </w:rPr>
              <w:t xml:space="preserve">      </w:t>
            </w:r>
          </w:p>
        </w:tc>
        <w:tc>
          <w:tcPr>
            <w:tcW w:w="2212" w:type="dxa"/>
            <w:tcBorders>
              <w:tl2br w:val="nil"/>
              <w:tr2bl w:val="nil"/>
            </w:tcBorders>
            <w:tcMar>
              <w:top w:w="16" w:type="dxa"/>
              <w:left w:w="16" w:type="dxa"/>
              <w:right w:w="16" w:type="dxa"/>
            </w:tcMar>
            <w:vAlign w:val="center"/>
          </w:tcPr>
          <w:p w14:paraId="145F1C3D">
            <w:pPr>
              <w:adjustRightInd w:val="0"/>
              <w:snapToGrid w:val="0"/>
              <w:jc w:val="center"/>
              <w:rPr>
                <w:color w:val="auto"/>
                <w:kern w:val="0"/>
                <w:sz w:val="24"/>
              </w:rPr>
            </w:pPr>
            <w:r>
              <w:rPr>
                <w:color w:val="auto"/>
                <w:kern w:val="0"/>
                <w:sz w:val="24"/>
              </w:rPr>
              <w:t>用地（用海）</w:t>
            </w:r>
          </w:p>
          <w:p w14:paraId="0E131A21">
            <w:pPr>
              <w:adjustRightInd w:val="0"/>
              <w:snapToGrid w:val="0"/>
              <w:jc w:val="center"/>
              <w:rPr>
                <w:color w:val="auto"/>
                <w:kern w:val="0"/>
                <w:sz w:val="24"/>
              </w:rPr>
            </w:pPr>
            <w:r>
              <w:rPr>
                <w:color w:val="auto"/>
                <w:kern w:val="0"/>
                <w:sz w:val="24"/>
              </w:rPr>
              <w:t>面积（m</w:t>
            </w:r>
            <w:r>
              <w:rPr>
                <w:color w:val="auto"/>
                <w:kern w:val="0"/>
                <w:sz w:val="24"/>
                <w:vertAlign w:val="superscript"/>
              </w:rPr>
              <w:t>2</w:t>
            </w:r>
            <w:r>
              <w:rPr>
                <w:color w:val="auto"/>
                <w:kern w:val="0"/>
                <w:sz w:val="24"/>
              </w:rPr>
              <w:t>）</w:t>
            </w:r>
          </w:p>
        </w:tc>
        <w:tc>
          <w:tcPr>
            <w:tcW w:w="2639" w:type="dxa"/>
            <w:tcBorders>
              <w:tl2br w:val="nil"/>
              <w:tr2bl w:val="nil"/>
            </w:tcBorders>
            <w:vAlign w:val="center"/>
          </w:tcPr>
          <w:p w14:paraId="7E54163D">
            <w:pPr>
              <w:adjustRightInd w:val="0"/>
              <w:snapToGrid w:val="0"/>
              <w:jc w:val="center"/>
              <w:rPr>
                <w:rFonts w:hint="default" w:eastAsia="宋体"/>
                <w:color w:val="auto"/>
                <w:kern w:val="0"/>
                <w:sz w:val="24"/>
                <w:lang w:val="en-US" w:eastAsia="zh-CN"/>
              </w:rPr>
            </w:pPr>
            <w:r>
              <w:rPr>
                <w:rFonts w:hint="eastAsia"/>
                <w:color w:val="auto"/>
                <w:sz w:val="24"/>
                <w:lang w:val="en-US" w:eastAsia="zh-CN"/>
              </w:rPr>
              <w:t>2000</w:t>
            </w:r>
          </w:p>
        </w:tc>
      </w:tr>
      <w:tr w14:paraId="00840E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1608" w:type="dxa"/>
            <w:gridSpan w:val="2"/>
            <w:tcBorders>
              <w:tl2br w:val="nil"/>
              <w:tr2bl w:val="nil"/>
            </w:tcBorders>
            <w:vAlign w:val="center"/>
          </w:tcPr>
          <w:p w14:paraId="6BBB74D4">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7262" w:type="dxa"/>
            <w:gridSpan w:val="3"/>
            <w:tcBorders>
              <w:tl2br w:val="nil"/>
              <w:tr2bl w:val="nil"/>
            </w:tcBorders>
            <w:vAlign w:val="center"/>
          </w:tcPr>
          <w:p w14:paraId="4484B5B9">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14:paraId="60DB01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94" w:hRule="atLeast"/>
          <w:jc w:val="center"/>
        </w:trPr>
        <w:tc>
          <w:tcPr>
            <w:tcW w:w="1608" w:type="dxa"/>
            <w:gridSpan w:val="2"/>
            <w:tcBorders>
              <w:tl2br w:val="nil"/>
              <w:tr2bl w:val="nil"/>
            </w:tcBorders>
            <w:vAlign w:val="center"/>
          </w:tcPr>
          <w:p w14:paraId="3072DA70">
            <w:pPr>
              <w:autoSpaceDE w:val="0"/>
              <w:autoSpaceDN w:val="0"/>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规划情况</w:t>
            </w:r>
          </w:p>
        </w:tc>
        <w:tc>
          <w:tcPr>
            <w:tcW w:w="7262" w:type="dxa"/>
            <w:gridSpan w:val="3"/>
            <w:tcBorders>
              <w:tl2br w:val="nil"/>
              <w:tr2bl w:val="nil"/>
            </w:tcBorders>
            <w:vAlign w:val="center"/>
          </w:tcPr>
          <w:p w14:paraId="7379BEE9">
            <w:pPr>
              <w:autoSpaceDE w:val="0"/>
              <w:autoSpaceDN w:val="0"/>
              <w:adjustRightInd w:val="0"/>
              <w:snapToGrid w:val="0"/>
              <w:jc w:val="center"/>
              <w:rPr>
                <w:rFonts w:hint="eastAsia" w:ascii="宋体" w:hAnsi="宋体" w:eastAsia="宋体" w:cs="宋体"/>
                <w:kern w:val="0"/>
                <w:sz w:val="24"/>
                <w:lang w:eastAsia="zh-CN"/>
              </w:rPr>
            </w:pPr>
            <w:r>
              <w:rPr>
                <w:rFonts w:hint="eastAsia" w:ascii="宋体" w:hAnsi="宋体" w:eastAsia="宋体" w:cs="宋体"/>
                <w:kern w:val="0"/>
                <w:sz w:val="24"/>
                <w:lang w:eastAsia="zh-CN"/>
              </w:rPr>
              <w:t>无</w:t>
            </w:r>
          </w:p>
        </w:tc>
      </w:tr>
      <w:tr w14:paraId="2B267B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2" w:hRule="atLeast"/>
          <w:jc w:val="center"/>
        </w:trPr>
        <w:tc>
          <w:tcPr>
            <w:tcW w:w="1608" w:type="dxa"/>
            <w:gridSpan w:val="2"/>
            <w:tcBorders>
              <w:tl2br w:val="nil"/>
              <w:tr2bl w:val="nil"/>
            </w:tcBorders>
            <w:vAlign w:val="center"/>
          </w:tcPr>
          <w:p w14:paraId="577D2085">
            <w:pPr>
              <w:adjustRightInd w:val="0"/>
              <w:snapToGrid w:val="0"/>
              <w:jc w:val="center"/>
              <w:rPr>
                <w:rFonts w:ascii="宋体" w:hAnsi="宋体" w:cs="宋体"/>
                <w:kern w:val="0"/>
                <w:sz w:val="24"/>
              </w:rPr>
            </w:pPr>
            <w:r>
              <w:rPr>
                <w:rFonts w:hint="eastAsia" w:ascii="宋体" w:hAnsi="宋体" w:cs="宋体"/>
                <w:kern w:val="0"/>
                <w:sz w:val="24"/>
              </w:rPr>
              <w:t>规划环境影响评价情况</w:t>
            </w:r>
          </w:p>
        </w:tc>
        <w:tc>
          <w:tcPr>
            <w:tcW w:w="7262" w:type="dxa"/>
            <w:gridSpan w:val="3"/>
            <w:tcBorders>
              <w:tl2br w:val="nil"/>
              <w:tr2bl w:val="nil"/>
            </w:tcBorders>
            <w:vAlign w:val="center"/>
          </w:tcPr>
          <w:p w14:paraId="03D59C5A">
            <w:pPr>
              <w:autoSpaceDE w:val="0"/>
              <w:autoSpaceDN w:val="0"/>
              <w:adjustRightInd w:val="0"/>
              <w:snapToGrid w:val="0"/>
              <w:spacing w:line="312" w:lineRule="auto"/>
              <w:jc w:val="center"/>
              <w:rPr>
                <w:rFonts w:ascii="宋体" w:hAnsi="宋体" w:cs="宋体"/>
                <w:kern w:val="0"/>
                <w:sz w:val="24"/>
              </w:rPr>
            </w:pPr>
            <w:r>
              <w:rPr>
                <w:rFonts w:hint="eastAsia" w:ascii="宋体" w:hAnsi="宋体" w:cs="宋体"/>
                <w:kern w:val="0"/>
                <w:sz w:val="24"/>
              </w:rPr>
              <w:t>无</w:t>
            </w:r>
          </w:p>
        </w:tc>
      </w:tr>
      <w:tr w14:paraId="746A1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18" w:hRule="atLeast"/>
          <w:jc w:val="center"/>
        </w:trPr>
        <w:tc>
          <w:tcPr>
            <w:tcW w:w="1608" w:type="dxa"/>
            <w:gridSpan w:val="2"/>
            <w:tcBorders>
              <w:tl2br w:val="nil"/>
              <w:tr2bl w:val="nil"/>
            </w:tcBorders>
            <w:vAlign w:val="center"/>
          </w:tcPr>
          <w:p w14:paraId="66348D6A">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规划及规划环境影响评价符合性分析</w:t>
            </w:r>
          </w:p>
        </w:tc>
        <w:tc>
          <w:tcPr>
            <w:tcW w:w="7262" w:type="dxa"/>
            <w:gridSpan w:val="3"/>
            <w:tcBorders>
              <w:tl2br w:val="nil"/>
              <w:tr2bl w:val="nil"/>
            </w:tcBorders>
            <w:vAlign w:val="center"/>
          </w:tcPr>
          <w:p w14:paraId="1A987F78">
            <w:pPr>
              <w:autoSpaceDE w:val="0"/>
              <w:autoSpaceDN w:val="0"/>
              <w:adjustRightInd w:val="0"/>
              <w:snapToGrid w:val="0"/>
              <w:spacing w:line="312" w:lineRule="auto"/>
              <w:jc w:val="center"/>
              <w:rPr>
                <w:rFonts w:hint="eastAsia" w:ascii="宋体" w:hAnsi="宋体" w:eastAsia="宋体" w:cs="宋体"/>
                <w:kern w:val="0"/>
                <w:sz w:val="24"/>
              </w:rPr>
            </w:pPr>
          </w:p>
          <w:p w14:paraId="7069AED3">
            <w:pPr>
              <w:autoSpaceDE w:val="0"/>
              <w:autoSpaceDN w:val="0"/>
              <w:adjustRightInd w:val="0"/>
              <w:snapToGrid w:val="0"/>
              <w:spacing w:line="312" w:lineRule="auto"/>
              <w:jc w:val="center"/>
              <w:rPr>
                <w:rFonts w:hint="eastAsia" w:ascii="宋体" w:hAnsi="宋体" w:eastAsia="宋体" w:cs="宋体"/>
                <w:kern w:val="0"/>
                <w:sz w:val="24"/>
              </w:rPr>
            </w:pPr>
            <w:r>
              <w:rPr>
                <w:rFonts w:hint="eastAsia" w:ascii="宋体" w:hAnsi="宋体" w:eastAsia="宋体" w:cs="宋体"/>
                <w:kern w:val="0"/>
                <w:sz w:val="24"/>
              </w:rPr>
              <w:t>无</w:t>
            </w:r>
          </w:p>
          <w:p w14:paraId="4497F984">
            <w:pPr>
              <w:pStyle w:val="12"/>
              <w:spacing w:line="360" w:lineRule="auto"/>
              <w:jc w:val="center"/>
              <w:rPr>
                <w:rFonts w:hint="eastAsia" w:ascii="宋体" w:hAnsi="宋体" w:eastAsia="宋体" w:cs="宋体"/>
                <w:kern w:val="0"/>
                <w:sz w:val="24"/>
                <w:lang w:val="en-US" w:eastAsia="zh-CN"/>
              </w:rPr>
            </w:pPr>
          </w:p>
        </w:tc>
      </w:tr>
      <w:tr w14:paraId="51202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714" w:hRule="atLeast"/>
          <w:jc w:val="center"/>
        </w:trPr>
        <w:tc>
          <w:tcPr>
            <w:tcW w:w="573" w:type="dxa"/>
            <w:tcBorders>
              <w:tl2br w:val="nil"/>
              <w:tr2bl w:val="nil"/>
            </w:tcBorders>
            <w:vAlign w:val="center"/>
          </w:tcPr>
          <w:p w14:paraId="7E20600C">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8297" w:type="dxa"/>
            <w:gridSpan w:val="4"/>
            <w:tcBorders>
              <w:tl2br w:val="nil"/>
              <w:tr2bl w:val="nil"/>
            </w:tcBorders>
            <w:vAlign w:val="center"/>
          </w:tcPr>
          <w:p w14:paraId="1CDDC75D">
            <w:pPr>
              <w:autoSpaceDE w:val="0"/>
              <w:autoSpaceDN w:val="0"/>
              <w:adjustRightInd w:val="0"/>
              <w:snapToGrid w:val="0"/>
              <w:spacing w:before="120" w:beforeLines="50" w:line="360" w:lineRule="auto"/>
              <w:jc w:val="left"/>
              <w:rPr>
                <w:b/>
                <w:bCs/>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1、分区管控与“三线一单”相符性分析</w:t>
            </w:r>
          </w:p>
          <w:p w14:paraId="6B26C819">
            <w:pPr>
              <w:pStyle w:val="33"/>
              <w:spacing w:line="360" w:lineRule="auto"/>
              <w:ind w:firstLine="480" w:firstLineChars="200"/>
            </w:pPr>
            <w:r>
              <w:rPr>
                <w:rFonts w:hint="eastAsia"/>
              </w:rPr>
              <w:t>安徽省人民政府于2020年7月13日发布了《安徽省人民政府关于加快实施“三线一单”生态环境分区管控的通知》，安徽省生态环境厅发布了《安徽省生态环境厅关于印发安徽省“三线一单”生态环境分区管控管理办法（暂行）的通知》（皖环发〔2022〕5号），明确为贯彻落实《中共中央国务院关于全面加强生态环境保护坚决打好污染防治攻坚战的意见》（中发[2018]17号），就落实生态保护红线、环境质量底线、资源利用上线和生态环境准入清单（统称“三线一单”），实施生态环境分区管控。</w:t>
            </w:r>
          </w:p>
          <w:p w14:paraId="6519C0A2">
            <w:pPr>
              <w:pStyle w:val="33"/>
              <w:spacing w:line="360" w:lineRule="auto"/>
              <w:ind w:firstLine="480" w:firstLineChars="200"/>
            </w:pPr>
            <w:r>
              <w:rPr>
                <w:rFonts w:hint="eastAsia"/>
              </w:rPr>
              <w:t>（1）生</w:t>
            </w:r>
            <w:r>
              <w:t>态保护红线</w:t>
            </w:r>
          </w:p>
          <w:p w14:paraId="4246AA8F">
            <w:pPr>
              <w:pStyle w:val="33"/>
              <w:spacing w:line="360" w:lineRule="auto"/>
              <w:ind w:firstLine="480" w:firstLineChars="200"/>
            </w:pPr>
            <w:r>
              <w:rPr>
                <w:rFonts w:hint="default" w:ascii="Times New Roman" w:hAnsi="Times New Roman" w:eastAsia="宋?" w:cs="宋?"/>
                <w:color w:val="auto"/>
                <w:kern w:val="2"/>
                <w:sz w:val="24"/>
                <w:szCs w:val="24"/>
                <w:lang w:val="en-US" w:eastAsia="zh-CN" w:bidi="ar-SA"/>
              </w:rPr>
              <w:t>本项目位于安徽省宿州市埇桥区桃园镇浍光村</w:t>
            </w:r>
            <w:r>
              <w:rPr>
                <w:color w:val="auto"/>
              </w:rPr>
              <w:t>，</w:t>
            </w:r>
            <w:r>
              <w:rPr>
                <w:rFonts w:hint="eastAsia" w:eastAsia="宋?" w:cs="宋?"/>
                <w:color w:val="auto"/>
                <w:kern w:val="2"/>
                <w:sz w:val="24"/>
                <w:szCs w:val="24"/>
                <w:lang w:val="en-US" w:eastAsia="zh-CN" w:bidi="ar-SA"/>
              </w:rPr>
              <w:t>根</w:t>
            </w:r>
            <w:r>
              <w:rPr>
                <w:rFonts w:hint="default" w:ascii="Times New Roman" w:hAnsi="Times New Roman" w:eastAsia="宋体" w:cs="Times New Roman"/>
                <w:color w:val="auto"/>
                <w:kern w:val="2"/>
                <w:sz w:val="24"/>
                <w:szCs w:val="24"/>
                <w:lang w:val="en-US" w:eastAsia="zh-CN" w:bidi="ar-SA"/>
              </w:rPr>
              <w:t>据</w:t>
            </w:r>
            <w:r>
              <w:rPr>
                <w:rFonts w:hint="eastAsia" w:eastAsia="宋体" w:cs="Times New Roman"/>
                <w:color w:val="auto"/>
                <w:kern w:val="2"/>
                <w:sz w:val="24"/>
                <w:szCs w:val="24"/>
                <w:lang w:val="en-US" w:eastAsia="zh-CN" w:bidi="ar-SA"/>
              </w:rPr>
              <w:t>宿州</w:t>
            </w:r>
            <w:r>
              <w:rPr>
                <w:rFonts w:hint="eastAsia" w:ascii="宋体" w:hAnsi="宋体" w:eastAsia="宋体" w:cs="宋体"/>
                <w:color w:val="auto"/>
                <w:kern w:val="2"/>
                <w:sz w:val="24"/>
                <w:szCs w:val="24"/>
                <w:lang w:val="en-US" w:eastAsia="zh-CN" w:bidi="ar-SA"/>
              </w:rPr>
              <w:t>市“三线一单”文</w:t>
            </w:r>
            <w:r>
              <w:rPr>
                <w:rFonts w:hint="default" w:ascii="Times New Roman" w:hAnsi="Times New Roman" w:eastAsia="宋体" w:cs="Times New Roman"/>
                <w:color w:val="auto"/>
                <w:kern w:val="2"/>
                <w:sz w:val="24"/>
                <w:szCs w:val="24"/>
                <w:lang w:val="en-US" w:eastAsia="zh-CN" w:bidi="ar-SA"/>
              </w:rPr>
              <w:t>本，对照</w:t>
            </w:r>
            <w:r>
              <w:rPr>
                <w:rFonts w:hint="eastAsia" w:eastAsia="宋体" w:cs="Times New Roman"/>
                <w:color w:val="auto"/>
                <w:kern w:val="2"/>
                <w:sz w:val="24"/>
                <w:szCs w:val="24"/>
                <w:lang w:val="en-US" w:eastAsia="zh-CN" w:bidi="ar-SA"/>
              </w:rPr>
              <w:t>宿州</w:t>
            </w:r>
            <w:r>
              <w:rPr>
                <w:rFonts w:hint="default" w:ascii="Times New Roman" w:hAnsi="Times New Roman" w:eastAsia="宋体" w:cs="Times New Roman"/>
                <w:color w:val="auto"/>
                <w:kern w:val="2"/>
                <w:sz w:val="24"/>
                <w:szCs w:val="24"/>
                <w:lang w:val="en-US" w:eastAsia="zh-CN" w:bidi="ar-SA"/>
              </w:rPr>
              <w:t>市生态保护红线区域分布图和</w:t>
            </w:r>
            <w:r>
              <w:rPr>
                <w:rFonts w:hint="eastAsia" w:eastAsia="宋体" w:cs="Times New Roman"/>
                <w:color w:val="auto"/>
                <w:kern w:val="2"/>
                <w:sz w:val="24"/>
                <w:szCs w:val="24"/>
                <w:lang w:val="en-US" w:eastAsia="zh-CN" w:bidi="ar-SA"/>
              </w:rPr>
              <w:t>宿州</w:t>
            </w:r>
            <w:r>
              <w:rPr>
                <w:rFonts w:hint="default" w:ascii="Times New Roman" w:hAnsi="Times New Roman" w:eastAsia="宋体" w:cs="Times New Roman"/>
                <w:color w:val="auto"/>
                <w:kern w:val="2"/>
                <w:sz w:val="24"/>
                <w:szCs w:val="24"/>
                <w:lang w:val="en-US" w:eastAsia="zh-CN" w:bidi="ar-SA"/>
              </w:rPr>
              <w:t>市生态空间图，本项目不涉及生态保护红线。</w:t>
            </w:r>
            <w:r>
              <w:rPr>
                <w:rFonts w:hint="default" w:ascii="Times New Roman" w:hAnsi="Times New Roman" w:eastAsia="宋体" w:cs="Times New Roman"/>
                <w:color w:val="auto"/>
                <w:sz w:val="24"/>
                <w:szCs w:val="24"/>
                <w:lang w:eastAsia="zh-CN"/>
              </w:rPr>
              <w:t>详见附图</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eastAsia="zh-CN"/>
              </w:rPr>
              <w:t xml:space="preserve"> 区域生态红线图</w:t>
            </w:r>
            <w:r>
              <w:rPr>
                <w:rFonts w:hint="default" w:ascii="Times New Roman" w:hAnsi="Times New Roman" w:eastAsia="宋体" w:cs="Times New Roman"/>
                <w:color w:val="auto"/>
                <w:sz w:val="24"/>
                <w:szCs w:val="24"/>
              </w:rPr>
              <w:t>。</w:t>
            </w:r>
          </w:p>
          <w:p w14:paraId="2EC8B6E7">
            <w:pPr>
              <w:pStyle w:val="33"/>
              <w:spacing w:line="360" w:lineRule="auto"/>
              <w:ind w:firstLine="480" w:firstLineChars="200"/>
            </w:pPr>
            <w:r>
              <w:rPr>
                <w:rFonts w:hint="eastAsia"/>
              </w:rPr>
              <w:t>（2）</w:t>
            </w:r>
            <w:r>
              <w:t>环境质量底线</w:t>
            </w:r>
          </w:p>
          <w:p w14:paraId="09FE43AA">
            <w:pPr>
              <w:pStyle w:val="33"/>
              <w:spacing w:line="360" w:lineRule="auto"/>
              <w:ind w:firstLine="480" w:firstLineChars="200"/>
            </w:pPr>
            <w:r>
              <w:t>①大气环境</w:t>
            </w:r>
          </w:p>
          <w:p w14:paraId="37A94B94">
            <w:pPr>
              <w:pStyle w:val="3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lang w:val="en-US" w:eastAsia="zh-CN" w:bidi="ar-SA"/>
              </w:rPr>
              <w:t>根据《宿州市2023年环境质量报告》，PM</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kern w:val="2"/>
                <w:sz w:val="24"/>
                <w:szCs w:val="24"/>
                <w:lang w:val="en-US" w:eastAsia="zh-CN" w:bidi="ar-SA"/>
              </w:rPr>
              <w:t>超过《环境空气质量标准》（GB3095-2012）中二级标准限值，</w:t>
            </w:r>
            <w:r>
              <w:rPr>
                <w:rFonts w:hint="default" w:ascii="Times New Roman" w:hAnsi="Times New Roman" w:eastAsia="宋体" w:cs="Times New Roman"/>
                <w:color w:val="auto"/>
                <w:kern w:val="2"/>
                <w:sz w:val="24"/>
                <w:szCs w:val="24"/>
                <w:highlight w:val="none"/>
                <w:lang w:val="en-US" w:eastAsia="zh-CN" w:bidi="ar-SA"/>
              </w:rPr>
              <w:t>因此，项目所在区域为环境空气质量不达标区。</w:t>
            </w:r>
          </w:p>
          <w:p w14:paraId="7EBCAE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val="0"/>
                <w:color w:val="auto"/>
                <w:sz w:val="24"/>
              </w:rPr>
            </w:pPr>
            <w:r>
              <w:rPr>
                <w:b w:val="0"/>
                <w:bCs w:val="0"/>
                <w:color w:val="auto"/>
                <w:sz w:val="24"/>
              </w:rPr>
              <w:t>本项目涉及主要大气污染物为</w:t>
            </w:r>
            <w:r>
              <w:rPr>
                <w:rFonts w:hint="eastAsia"/>
                <w:b w:val="0"/>
                <w:bCs w:val="0"/>
                <w:color w:val="auto"/>
                <w:sz w:val="24"/>
              </w:rPr>
              <w:t>生产过程中废气主要有</w:t>
            </w:r>
            <w:r>
              <w:rPr>
                <w:rFonts w:hint="eastAsia" w:ascii="Times New Roman" w:hAnsi="Times New Roman" w:eastAsia="宋体" w:cs="Times New Roman"/>
                <w:b w:val="0"/>
                <w:bCs w:val="0"/>
                <w:color w:val="auto"/>
                <w:sz w:val="24"/>
                <w:u w:val="none" w:color="auto"/>
                <w:lang w:eastAsia="zh-CN"/>
              </w:rPr>
              <w:t>原料装卸废气、投料</w:t>
            </w:r>
            <w:r>
              <w:rPr>
                <w:rFonts w:hint="eastAsia" w:ascii="Times New Roman" w:hAnsi="Times New Roman" w:eastAsia="宋体" w:cs="Times New Roman"/>
                <w:b w:val="0"/>
                <w:bCs w:val="0"/>
                <w:color w:val="auto"/>
                <w:sz w:val="24"/>
                <w:u w:val="none" w:color="auto"/>
                <w:lang w:val="en-US" w:eastAsia="zh-CN"/>
              </w:rPr>
              <w:t>输送废气</w:t>
            </w:r>
            <w:r>
              <w:rPr>
                <w:rFonts w:hint="eastAsia"/>
                <w:b w:val="0"/>
                <w:bCs w:val="0"/>
                <w:color w:val="auto"/>
                <w:sz w:val="24"/>
              </w:rPr>
              <w:t>、</w:t>
            </w:r>
            <w:r>
              <w:rPr>
                <w:rFonts w:hint="eastAsia"/>
                <w:b w:val="0"/>
                <w:bCs w:val="0"/>
                <w:color w:val="auto"/>
                <w:sz w:val="24"/>
                <w:lang w:eastAsia="zh-CN"/>
              </w:rPr>
              <w:t>下料废气</w:t>
            </w:r>
            <w:r>
              <w:rPr>
                <w:rFonts w:hint="eastAsia"/>
                <w:b w:val="0"/>
                <w:bCs w:val="0"/>
                <w:color w:val="auto"/>
                <w:sz w:val="24"/>
              </w:rPr>
              <w:t>、</w:t>
            </w:r>
            <w:r>
              <w:rPr>
                <w:rFonts w:hint="eastAsia"/>
                <w:b w:val="0"/>
                <w:bCs w:val="0"/>
                <w:color w:val="auto"/>
                <w:sz w:val="24"/>
                <w:lang w:eastAsia="zh-CN"/>
              </w:rPr>
              <w:t>破碎松散废气、污泥贮存废气</w:t>
            </w:r>
            <w:r>
              <w:rPr>
                <w:rFonts w:hint="eastAsia"/>
                <w:b w:val="0"/>
                <w:bCs w:val="0"/>
                <w:color w:val="auto"/>
                <w:sz w:val="24"/>
              </w:rPr>
              <w:t>、</w:t>
            </w:r>
            <w:r>
              <w:rPr>
                <w:rFonts w:hint="eastAsia"/>
                <w:b w:val="0"/>
                <w:bCs w:val="0"/>
                <w:color w:val="auto"/>
                <w:sz w:val="24"/>
                <w:lang w:eastAsia="zh-CN"/>
              </w:rPr>
              <w:t>运输扬尘</w:t>
            </w:r>
            <w:r>
              <w:rPr>
                <w:rFonts w:hint="eastAsia"/>
                <w:b w:val="0"/>
                <w:bCs w:val="0"/>
                <w:color w:val="auto"/>
                <w:sz w:val="24"/>
              </w:rPr>
              <w:t>。</w:t>
            </w:r>
            <w:r>
              <w:rPr>
                <w:b w:val="0"/>
                <w:bCs w:val="0"/>
                <w:color w:val="auto"/>
                <w:sz w:val="24"/>
              </w:rPr>
              <w:t>本次评价要求</w:t>
            </w:r>
            <w:r>
              <w:rPr>
                <w:rFonts w:hint="eastAsia"/>
                <w:b w:val="0"/>
                <w:bCs w:val="0"/>
                <w:color w:val="auto"/>
                <w:sz w:val="24"/>
                <w:lang w:eastAsia="zh-CN"/>
              </w:rPr>
              <w:t>：筒仓废气经</w:t>
            </w:r>
            <w:r>
              <w:rPr>
                <w:rFonts w:hint="eastAsia"/>
                <w:b w:val="0"/>
                <w:bCs w:val="0"/>
                <w:color w:val="auto"/>
                <w:sz w:val="24"/>
                <w:lang w:val="en-US" w:eastAsia="zh-CN"/>
              </w:rPr>
              <w:t>引风机+</w:t>
            </w:r>
            <w:r>
              <w:rPr>
                <w:rFonts w:hint="eastAsia"/>
                <w:b w:val="0"/>
                <w:bCs w:val="0"/>
                <w:color w:val="auto"/>
                <w:sz w:val="24"/>
                <w:lang w:eastAsia="zh-CN"/>
              </w:rPr>
              <w:t>脉冲除尘器</w:t>
            </w:r>
            <w:r>
              <w:rPr>
                <w:rFonts w:hint="eastAsia"/>
                <w:b w:val="0"/>
                <w:bCs w:val="0"/>
                <w:color w:val="auto"/>
                <w:sz w:val="24"/>
                <w:lang w:val="en-US" w:eastAsia="zh-CN"/>
              </w:rPr>
              <w:t>+</w:t>
            </w:r>
            <w:r>
              <w:rPr>
                <w:rFonts w:hint="eastAsia"/>
                <w:b w:val="0"/>
                <w:bCs w:val="0"/>
                <w:color w:val="auto"/>
                <w:sz w:val="24"/>
                <w:lang w:eastAsia="zh-CN"/>
              </w:rPr>
              <w:t>15m高排气筒（DA002）排放；</w:t>
            </w:r>
            <w:r>
              <w:rPr>
                <w:rFonts w:hint="eastAsia"/>
                <w:b w:val="0"/>
                <w:bCs w:val="0"/>
                <w:color w:val="auto"/>
                <w:sz w:val="24"/>
              </w:rPr>
              <w:t>物料混合搅拌</w:t>
            </w:r>
            <w:r>
              <w:rPr>
                <w:rFonts w:hint="eastAsia"/>
                <w:b w:val="0"/>
                <w:bCs w:val="0"/>
                <w:color w:val="auto"/>
                <w:sz w:val="24"/>
                <w:lang w:eastAsia="zh-CN"/>
              </w:rPr>
              <w:t>和下料废气、破碎松散废气均采用集气罩收集后汇入脉冲</w:t>
            </w:r>
            <w:r>
              <w:rPr>
                <w:rFonts w:hint="eastAsia"/>
                <w:b w:val="0"/>
                <w:bCs w:val="0"/>
                <w:color w:val="auto"/>
                <w:sz w:val="24"/>
              </w:rPr>
              <w:t>除尘器</w:t>
            </w:r>
            <w:r>
              <w:rPr>
                <w:rFonts w:hint="eastAsia"/>
                <w:b w:val="0"/>
                <w:bCs w:val="0"/>
                <w:color w:val="auto"/>
                <w:sz w:val="24"/>
                <w:lang w:eastAsia="zh-CN"/>
              </w:rPr>
              <w:t>处理尾气通过</w:t>
            </w:r>
            <w:r>
              <w:rPr>
                <w:rFonts w:hint="eastAsia"/>
                <w:b w:val="0"/>
                <w:bCs w:val="0"/>
                <w:color w:val="auto"/>
                <w:sz w:val="24"/>
              </w:rPr>
              <w:t>15m</w:t>
            </w:r>
            <w:r>
              <w:rPr>
                <w:rFonts w:hint="eastAsia"/>
                <w:b w:val="0"/>
                <w:bCs w:val="0"/>
                <w:color w:val="auto"/>
                <w:sz w:val="24"/>
                <w:lang w:eastAsia="zh-CN"/>
              </w:rPr>
              <w:t>高</w:t>
            </w:r>
            <w:r>
              <w:rPr>
                <w:rFonts w:hint="eastAsia"/>
                <w:b w:val="0"/>
                <w:bCs w:val="0"/>
                <w:color w:val="auto"/>
                <w:sz w:val="24"/>
              </w:rPr>
              <w:t>排气筒（DA00</w:t>
            </w:r>
            <w:r>
              <w:rPr>
                <w:rFonts w:hint="eastAsia"/>
                <w:b w:val="0"/>
                <w:bCs w:val="0"/>
                <w:color w:val="auto"/>
                <w:sz w:val="24"/>
                <w:lang w:val="en-US" w:eastAsia="zh-CN"/>
              </w:rPr>
              <w:t>3</w:t>
            </w:r>
            <w:r>
              <w:rPr>
                <w:rFonts w:hint="eastAsia"/>
                <w:b w:val="0"/>
                <w:bCs w:val="0"/>
                <w:color w:val="auto"/>
                <w:sz w:val="24"/>
              </w:rPr>
              <w:t>）排放</w:t>
            </w:r>
            <w:r>
              <w:rPr>
                <w:rFonts w:hint="eastAsia"/>
                <w:b w:val="0"/>
                <w:bCs w:val="0"/>
                <w:color w:val="auto"/>
                <w:sz w:val="24"/>
                <w:lang w:val="en-US" w:eastAsia="zh-CN"/>
              </w:rPr>
              <w:t>；卸料起尘采取雾炮除尘等措施后无组织排放；运输扬尘采取运输车辆篷布覆盖，运输过程限速按规定线路行驶后运输扬尘无组织排放；</w:t>
            </w:r>
            <w:r>
              <w:rPr>
                <w:rFonts w:hint="eastAsia"/>
                <w:b w:val="0"/>
                <w:bCs w:val="0"/>
                <w:color w:val="auto"/>
                <w:sz w:val="24"/>
              </w:rPr>
              <w:t>污泥</w:t>
            </w:r>
            <w:r>
              <w:rPr>
                <w:rFonts w:hint="eastAsia"/>
                <w:b w:val="0"/>
                <w:bCs w:val="0"/>
                <w:color w:val="auto"/>
                <w:sz w:val="24"/>
                <w:lang w:eastAsia="zh-CN"/>
              </w:rPr>
              <w:t>预处理产生的</w:t>
            </w:r>
            <w:r>
              <w:rPr>
                <w:rFonts w:hint="eastAsia"/>
                <w:b w:val="0"/>
                <w:bCs w:val="0"/>
                <w:color w:val="auto"/>
                <w:sz w:val="24"/>
              </w:rPr>
              <w:t>废气</w:t>
            </w:r>
            <w:r>
              <w:rPr>
                <w:rFonts w:hint="eastAsia"/>
                <w:b w:val="0"/>
                <w:bCs w:val="0"/>
                <w:color w:val="auto"/>
                <w:sz w:val="24"/>
                <w:lang w:eastAsia="zh-CN"/>
              </w:rPr>
              <w:t>喷洒除臭剂处理</w:t>
            </w:r>
            <w:r>
              <w:rPr>
                <w:rFonts w:hint="eastAsia"/>
                <w:b w:val="0"/>
                <w:bCs w:val="0"/>
                <w:color w:val="auto"/>
                <w:sz w:val="24"/>
              </w:rPr>
              <w:t>。</w:t>
            </w:r>
            <w:r>
              <w:rPr>
                <w:rFonts w:hint="default" w:ascii="Times New Roman" w:hAnsi="Times New Roman" w:eastAsia="宋体" w:cs="Times New Roman"/>
                <w:color w:val="auto"/>
                <w:kern w:val="2"/>
                <w:sz w:val="24"/>
                <w:szCs w:val="24"/>
                <w:highlight w:val="none"/>
                <w:lang w:val="en-US" w:eastAsia="zh-CN" w:bidi="ar-SA"/>
              </w:rPr>
              <w:t>本项</w:t>
            </w:r>
            <w:r>
              <w:rPr>
                <w:rFonts w:hint="default" w:ascii="Times New Roman" w:hAnsi="Times New Roman" w:eastAsia="宋体" w:cs="Times New Roman"/>
                <w:color w:val="auto"/>
                <w:kern w:val="2"/>
                <w:sz w:val="24"/>
                <w:szCs w:val="24"/>
                <w:lang w:val="en-US" w:eastAsia="zh-CN" w:bidi="ar-SA"/>
              </w:rPr>
              <w:t>目废气均采用可行性技术，本项目的建设对大气环境影响较小，符合环境质量底线要求。</w:t>
            </w:r>
          </w:p>
          <w:p w14:paraId="06B8CE33">
            <w:pPr>
              <w:pStyle w:val="33"/>
              <w:spacing w:line="360" w:lineRule="auto"/>
              <w:ind w:firstLine="480" w:firstLineChars="200"/>
              <w:rPr>
                <w:rFonts w:hint="eastAsia" w:eastAsia="宋体"/>
                <w:lang w:eastAsia="zh-CN"/>
              </w:rPr>
            </w:pPr>
            <w:r>
              <w:t>②</w:t>
            </w:r>
            <w:r>
              <w:rPr>
                <w:rFonts w:hint="eastAsia"/>
                <w:lang w:eastAsia="zh-CN"/>
              </w:rPr>
              <w:t>地表水环境</w:t>
            </w:r>
          </w:p>
          <w:p w14:paraId="3D227BC9">
            <w:pPr>
              <w:pStyle w:val="33"/>
              <w:spacing w:line="360" w:lineRule="auto"/>
              <w:ind w:firstLine="480" w:firstLineChars="200"/>
            </w:pPr>
            <w:r>
              <w:t>根据《</w:t>
            </w:r>
            <w:r>
              <w:rPr>
                <w:rFonts w:hint="eastAsia"/>
              </w:rPr>
              <w:t>宿州市202</w:t>
            </w:r>
            <w:r>
              <w:rPr>
                <w:rFonts w:hint="eastAsia"/>
                <w:lang w:val="en-US" w:eastAsia="zh-CN"/>
              </w:rPr>
              <w:t>3</w:t>
            </w:r>
            <w:r>
              <w:rPr>
                <w:rFonts w:hint="eastAsia"/>
              </w:rPr>
              <w:t>年环境质量状况报告</w:t>
            </w:r>
            <w:r>
              <w:t>》，本项目评价区域内地表水</w:t>
            </w:r>
            <w:r>
              <w:rPr>
                <w:rFonts w:hint="eastAsia"/>
              </w:rPr>
              <w:t>浍河</w:t>
            </w:r>
            <w:r>
              <w:t>满足《地表水环境质量标准》（</w:t>
            </w:r>
            <w:r>
              <w:rPr>
                <w:rFonts w:hint="default" w:ascii="Times New Roman" w:hAnsi="Times New Roman" w:cs="Times New Roman"/>
              </w:rPr>
              <w:t>GB3838-2002）中</w:t>
            </w: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 4 \* ROMAN \* MERGEFORMAT </w:instrText>
            </w:r>
            <w:r>
              <w:rPr>
                <w:rFonts w:hint="default" w:ascii="Times New Roman" w:hAnsi="Times New Roman" w:cs="Times New Roman"/>
                <w:b w:val="0"/>
                <w:bCs w:val="0"/>
              </w:rPr>
              <w:fldChar w:fldCharType="separate"/>
            </w:r>
            <w:r>
              <w:rPr>
                <w:b w:val="0"/>
                <w:bCs w:val="0"/>
              </w:rPr>
              <w:t>IV</w:t>
            </w:r>
            <w:r>
              <w:rPr>
                <w:rFonts w:hint="default" w:ascii="Times New Roman" w:hAnsi="Times New Roman" w:cs="Times New Roman"/>
                <w:b w:val="0"/>
                <w:bCs w:val="0"/>
              </w:rPr>
              <w:fldChar w:fldCharType="end"/>
            </w:r>
            <w:r>
              <w:t>类标准要求。</w:t>
            </w:r>
          </w:p>
          <w:p w14:paraId="027540D2">
            <w:pPr>
              <w:pStyle w:val="33"/>
              <w:spacing w:line="360" w:lineRule="auto"/>
              <w:ind w:firstLine="480" w:firstLineChars="200"/>
              <w:rPr>
                <w:rFonts w:hint="eastAsia"/>
              </w:rPr>
            </w:pPr>
            <w:r>
              <w:t>本项目</w:t>
            </w:r>
            <w:r>
              <w:rPr>
                <w:rFonts w:hint="eastAsia"/>
              </w:rPr>
              <w:t>搅拌用水、固化剂配比用水所用水全部进入物料，无废水外排；免烧砖养护用水自然蒸发不外排；</w:t>
            </w:r>
            <w:r>
              <w:rPr>
                <w:rFonts w:hint="eastAsia"/>
                <w:lang w:eastAsia="zh-CN"/>
              </w:rPr>
              <w:t>降尘</w:t>
            </w:r>
            <w:r>
              <w:rPr>
                <w:rFonts w:hint="eastAsia"/>
              </w:rPr>
              <w:t>用水自然蒸发不外排；设备清洗废水、车辆清洗废水经沉淀池沉淀处理后回用于搅拌工序，无废水外排；生活污水经化粪池处理后定期清掏不外排；初期雨水经收集后全部回用于搅拌工序。</w:t>
            </w:r>
          </w:p>
          <w:p w14:paraId="2E3F64DA">
            <w:pPr>
              <w:pStyle w:val="33"/>
              <w:spacing w:line="360" w:lineRule="auto"/>
              <w:ind w:firstLine="480" w:firstLineChars="200"/>
            </w:pPr>
            <w:r>
              <w:t>③土壤环境</w:t>
            </w:r>
          </w:p>
          <w:p w14:paraId="730978C7">
            <w:pPr>
              <w:pStyle w:val="35"/>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本项目对可能产生土壤影响的各项途径均进行有效预防，避免污染土壤，因此本项目不会对区域土壤环境产生影响。</w:t>
            </w:r>
          </w:p>
          <w:p w14:paraId="523AC7A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综上所述，本项目在加强环境管理并落实本评价要求的各项环保措施的情况下，本项目废水、废气、固废均得到合理处置，符合环境质量底线要求。</w:t>
            </w:r>
          </w:p>
          <w:p w14:paraId="55272381">
            <w:pPr>
              <w:autoSpaceDE w:val="0"/>
              <w:autoSpaceDN w:val="0"/>
              <w:adjustRightInd w:val="0"/>
              <w:snapToGrid w:val="0"/>
              <w:spacing w:line="360" w:lineRule="auto"/>
              <w:ind w:firstLine="480" w:firstLineChars="200"/>
              <w:jc w:val="left"/>
            </w:pPr>
            <w:r>
              <w:rPr>
                <w:rFonts w:hint="eastAsia"/>
                <w:sz w:val="24"/>
              </w:rPr>
              <w:t>（</w:t>
            </w:r>
            <w:r>
              <w:rPr>
                <w:sz w:val="24"/>
              </w:rPr>
              <w:t>3</w:t>
            </w:r>
            <w:r>
              <w:rPr>
                <w:rFonts w:hint="eastAsia"/>
                <w:sz w:val="24"/>
              </w:rPr>
              <w:t>）与资源利用上线相符性分析</w:t>
            </w:r>
          </w:p>
          <w:p w14:paraId="31EE89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项目用水、用电由市政供水管网和</w:t>
            </w:r>
            <w:r>
              <w:rPr>
                <w:rFonts w:hint="eastAsia" w:ascii="Times New Roman" w:hAnsi="Times New Roman" w:eastAsia="宋体" w:cs="Times New Roman"/>
                <w:color w:val="auto"/>
                <w:kern w:val="0"/>
                <w:sz w:val="24"/>
                <w:lang w:eastAsia="zh-CN"/>
              </w:rPr>
              <w:t>市政</w:t>
            </w:r>
            <w:r>
              <w:rPr>
                <w:rFonts w:hint="default" w:ascii="Times New Roman" w:hAnsi="Times New Roman" w:eastAsia="宋体" w:cs="Times New Roman"/>
                <w:color w:val="auto"/>
                <w:kern w:val="0"/>
                <w:sz w:val="24"/>
              </w:rPr>
              <w:t>供电提供，用地为工业用地，土地资源消耗符合要求。项目建成运营后资源消耗相对区域资源利用总量较少，符合资源利用上线的要求。</w:t>
            </w:r>
          </w:p>
          <w:p w14:paraId="1A389D62">
            <w:pPr>
              <w:autoSpaceDE w:val="0"/>
              <w:autoSpaceDN w:val="0"/>
              <w:adjustRightInd w:val="0"/>
              <w:snapToGrid w:val="0"/>
              <w:spacing w:line="360" w:lineRule="auto"/>
              <w:ind w:firstLine="480" w:firstLineChars="200"/>
              <w:jc w:val="left"/>
              <w:rPr>
                <w:color w:val="auto"/>
              </w:rPr>
            </w:pPr>
            <w:r>
              <w:rPr>
                <w:rFonts w:hint="eastAsia"/>
                <w:color w:val="auto"/>
                <w:sz w:val="24"/>
              </w:rPr>
              <w:t>（</w:t>
            </w:r>
            <w:r>
              <w:rPr>
                <w:color w:val="auto"/>
                <w:sz w:val="24"/>
              </w:rPr>
              <w:t>4</w:t>
            </w:r>
            <w:r>
              <w:rPr>
                <w:rFonts w:hint="eastAsia"/>
                <w:color w:val="auto"/>
                <w:sz w:val="24"/>
              </w:rPr>
              <w:t>）</w:t>
            </w:r>
            <w:r>
              <w:rPr>
                <w:rFonts w:ascii="宋体" w:hAnsi="宋体" w:eastAsia="宋体" w:cs="宋体"/>
                <w:sz w:val="24"/>
                <w:szCs w:val="24"/>
              </w:rPr>
              <w:t>与环境准入清单相符性分析</w:t>
            </w:r>
          </w:p>
          <w:p w14:paraId="40D7B8A7">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sz w:val="24"/>
              </w:rPr>
            </w:pPr>
            <w:r>
              <w:rPr>
                <w:rFonts w:ascii="宋体" w:hAnsi="宋体" w:eastAsia="宋体" w:cs="宋体"/>
                <w:sz w:val="24"/>
                <w:szCs w:val="24"/>
              </w:rPr>
              <w:t>本项目位于</w:t>
            </w:r>
            <w:r>
              <w:rPr>
                <w:rFonts w:hint="eastAsia"/>
                <w:b w:val="0"/>
                <w:bCs/>
                <w:sz w:val="24"/>
              </w:rPr>
              <w:t>安徽省宿州市埇桥区桃园镇浍光村</w:t>
            </w:r>
            <w:r>
              <w:rPr>
                <w:rFonts w:ascii="宋体" w:hAnsi="宋体" w:eastAsia="宋体" w:cs="宋体"/>
                <w:sz w:val="24"/>
                <w:szCs w:val="24"/>
              </w:rPr>
              <w:t>，对照《宿州市“三线一单”生态环境准入清单》，本项目不在风景名胜区、集中式饮用水水源保护区、自然保护区、湿地公园、森林公园、地质公园、水产种质资源保护区、世界文化遗产地（大运河宿州段）等优先保护单元内，不属于禁止开发建设活动及不符合空间布局要求活动的重点管控单元内。</w:t>
            </w:r>
          </w:p>
          <w:p w14:paraId="59843551">
            <w:pPr>
              <w:pStyle w:val="33"/>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（5）生态环境分区管控相符性分析</w:t>
            </w:r>
          </w:p>
          <w:p w14:paraId="6A26B42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宿州市“三线一单”》，宿州市共划定重点管控单元22个，面积为1641.71平方公里，占全市国土面积的16.52%，一般管控单元5个，面积为7225.23平方公里，占全市国土面积的72.7%。本项目位于宿州市“三线一单”生态环境分区管控的</w:t>
            </w:r>
            <w:r>
              <w:rPr>
                <w:rFonts w:hint="eastAsia" w:ascii="Times New Roman" w:hAnsi="Times New Roman" w:eastAsia="宋体" w:cs="Times New Roman"/>
                <w:color w:val="auto"/>
                <w:kern w:val="0"/>
                <w:sz w:val="24"/>
                <w:lang w:eastAsia="zh-CN"/>
              </w:rPr>
              <w:t>一般</w:t>
            </w:r>
            <w:r>
              <w:rPr>
                <w:rFonts w:hint="default" w:ascii="Times New Roman" w:hAnsi="Times New Roman" w:eastAsia="宋体" w:cs="Times New Roman"/>
                <w:color w:val="auto"/>
                <w:kern w:val="0"/>
                <w:sz w:val="24"/>
              </w:rPr>
              <w:t>管控单元内（环境管控单元编码：ZH34130230003）。详见下图。与宿州市分区管控要求分析内容见</w:t>
            </w:r>
            <w:r>
              <w:rPr>
                <w:rFonts w:hint="default" w:ascii="Times New Roman" w:hAnsi="Times New Roman" w:eastAsia="宋体" w:cs="Times New Roman"/>
                <w:color w:val="auto"/>
                <w:kern w:val="0"/>
                <w:sz w:val="24"/>
                <w:lang w:eastAsia="zh-CN"/>
              </w:rPr>
              <w:t>表</w:t>
            </w:r>
            <w:r>
              <w:rPr>
                <w:rFonts w:hint="default" w:ascii="Times New Roman" w:hAnsi="Times New Roman" w:eastAsia="宋体" w:cs="Times New Roman"/>
                <w:color w:val="auto"/>
                <w:kern w:val="0"/>
                <w:sz w:val="24"/>
                <w:lang w:val="en-US" w:eastAsia="zh-CN"/>
              </w:rPr>
              <w:t>1</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1</w:t>
            </w:r>
            <w:r>
              <w:rPr>
                <w:rFonts w:hint="default" w:ascii="Times New Roman" w:hAnsi="Times New Roman" w:eastAsia="宋体" w:cs="Times New Roman"/>
                <w:color w:val="auto"/>
                <w:kern w:val="0"/>
                <w:sz w:val="24"/>
              </w:rPr>
              <w:t>。</w:t>
            </w:r>
          </w:p>
          <w:p w14:paraId="2DCFA7E1">
            <w:pPr>
              <w:pStyle w:val="33"/>
              <w:jc w:val="center"/>
              <w:rPr>
                <w:rFonts w:hint="default" w:ascii="Times New Roman" w:hAnsi="Times New Roman" w:eastAsia="宋体" w:cs="Times New Roman"/>
                <w:color w:val="0000FF"/>
                <w:sz w:val="24"/>
                <w:lang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1065530</wp:posOffset>
                      </wp:positionH>
                      <wp:positionV relativeFrom="paragraph">
                        <wp:posOffset>1844040</wp:posOffset>
                      </wp:positionV>
                      <wp:extent cx="1152525" cy="371475"/>
                      <wp:effectExtent l="6350" t="386080" r="479425" b="23495"/>
                      <wp:wrapNone/>
                      <wp:docPr id="23" name="矩形标注 23"/>
                      <wp:cNvGraphicFramePr/>
                      <a:graphic xmlns:a="http://schemas.openxmlformats.org/drawingml/2006/main">
                        <a:graphicData uri="http://schemas.microsoft.com/office/word/2010/wordprocessingShape">
                          <wps:wsp>
                            <wps:cNvSpPr/>
                            <wps:spPr>
                              <a:xfrm>
                                <a:off x="2694305" y="6654165"/>
                                <a:ext cx="1152525" cy="371475"/>
                              </a:xfrm>
                              <a:prstGeom prst="wedgeRectCallout">
                                <a:avLst>
                                  <a:gd name="adj1" fmla="val 86033"/>
                                  <a:gd name="adj2" fmla="val -147264"/>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C03B271">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3.9pt;margin-top:145.2pt;height:29.25pt;width:90.75pt;z-index:251669504;v-text-anchor:middle;mso-width-relative:page;mso-height-relative:page;" fillcolor="#FFFFFF [3212]" filled="t" stroked="t" coordsize="21600,21600" o:gfxdata="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m36RXcAAAACwEAAA8AAAAA&#10;AAAAAQAgAAAAIgAAAGRycy9kb3ducmV2LnhtbFBLAQIUABQAAAAIAIdO4kAQLWUGuwIAAHIFAAAO&#10;AAAAAAAAAAEAIAAAACsBAABkcnMvZTJvRG9jLnhtbFBLBQYAAAAABgAGAFkBAABYBgAAAAA=&#10;" adj="29383,-21009">
                      <v:fill on="t" focussize="0,0"/>
                      <v:stroke weight="1pt" color="#000000 [3213]" miterlimit="8" joinstyle="miter"/>
                      <v:imagedata o:title=""/>
                      <o:lock v:ext="edit" aspectratio="f"/>
                      <v:textbox>
                        <w:txbxContent>
                          <w:p w14:paraId="3C03B271">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项目所在地</w:t>
                            </w:r>
                          </w:p>
                        </w:txbxContent>
                      </v:textbox>
                    </v:shape>
                  </w:pict>
                </mc:Fallback>
              </mc:AlternateContent>
            </w:r>
            <w:r>
              <w:drawing>
                <wp:inline distT="0" distB="0" distL="114300" distR="114300">
                  <wp:extent cx="4642485" cy="3667125"/>
                  <wp:effectExtent l="0" t="0" r="5715" b="952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6"/>
                          <a:stretch>
                            <a:fillRect/>
                          </a:stretch>
                        </pic:blipFill>
                        <pic:spPr>
                          <a:xfrm>
                            <a:off x="0" y="0"/>
                            <a:ext cx="4642485" cy="3667125"/>
                          </a:xfrm>
                          <a:prstGeom prst="rect">
                            <a:avLst/>
                          </a:prstGeom>
                          <a:noFill/>
                          <a:ln>
                            <a:noFill/>
                          </a:ln>
                        </pic:spPr>
                      </pic:pic>
                    </a:graphicData>
                  </a:graphic>
                </wp:inline>
              </w:drawing>
            </w:r>
          </w:p>
          <w:p w14:paraId="7E3C8318">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图</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管控单元位置示意图</w:t>
            </w:r>
          </w:p>
          <w:p w14:paraId="6A6F93D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表1</w:t>
            </w:r>
            <w:r>
              <w:rPr>
                <w:rFonts w:hint="eastAsia" w:cs="Times New Roman"/>
                <w:b/>
                <w:bCs/>
                <w:color w:val="auto"/>
                <w:kern w:val="0"/>
                <w:sz w:val="24"/>
                <w:szCs w:val="24"/>
                <w:lang w:val="en-US" w:eastAsia="zh-CN" w:bidi="ar"/>
              </w:rPr>
              <w:t>-1</w:t>
            </w:r>
            <w:r>
              <w:rPr>
                <w:rFonts w:hint="default" w:ascii="Times New Roman" w:hAnsi="Times New Roman"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 xml:space="preserve"> 本项目涉及“三线一单”管控单元及管控要求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7"/>
              <w:gridCol w:w="871"/>
              <w:gridCol w:w="5408"/>
              <w:gridCol w:w="637"/>
            </w:tblGrid>
            <w:tr w14:paraId="5E22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00AD5FA0">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17" w:type="pct"/>
                  <w:noWrap w:val="0"/>
                  <w:vAlign w:val="center"/>
                </w:tcPr>
                <w:p w14:paraId="7A04D4DC">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管控名称</w:t>
                  </w:r>
                </w:p>
              </w:tc>
              <w:tc>
                <w:tcPr>
                  <w:tcW w:w="3849" w:type="pct"/>
                  <w:gridSpan w:val="2"/>
                  <w:noWrap w:val="0"/>
                  <w:vAlign w:val="center"/>
                </w:tcPr>
                <w:p w14:paraId="2EE0A313">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管控要求</w:t>
                  </w:r>
                </w:p>
              </w:tc>
              <w:tc>
                <w:tcPr>
                  <w:tcW w:w="380" w:type="pct"/>
                  <w:noWrap w:val="0"/>
                  <w:vAlign w:val="center"/>
                </w:tcPr>
                <w:p w14:paraId="068A7A17">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相符性分析</w:t>
                  </w:r>
                </w:p>
              </w:tc>
            </w:tr>
            <w:tr w14:paraId="051B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38974EA2">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517" w:type="pct"/>
                  <w:vMerge w:val="restart"/>
                  <w:noWrap w:val="0"/>
                  <w:vAlign w:val="center"/>
                </w:tcPr>
                <w:p w14:paraId="7A576180">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一般</w:t>
                  </w:r>
                  <w:r>
                    <w:rPr>
                      <w:rFonts w:hint="default" w:ascii="Times New Roman" w:hAnsi="Times New Roman" w:eastAsia="宋体" w:cs="Times New Roman"/>
                      <w:color w:val="auto"/>
                      <w:sz w:val="21"/>
                      <w:szCs w:val="21"/>
                      <w:vertAlign w:val="baseline"/>
                      <w:lang w:val="en-US" w:eastAsia="zh-CN"/>
                    </w:rPr>
                    <w:t>管控单元</w:t>
                  </w:r>
                </w:p>
              </w:tc>
              <w:tc>
                <w:tcPr>
                  <w:tcW w:w="538" w:type="pct"/>
                  <w:noWrap w:val="0"/>
                  <w:vAlign w:val="center"/>
                </w:tcPr>
                <w:p w14:paraId="2D08F575">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空间布局约束</w:t>
                  </w:r>
                </w:p>
              </w:tc>
              <w:tc>
                <w:tcPr>
                  <w:tcW w:w="3310" w:type="pct"/>
                  <w:noWrap w:val="0"/>
                  <w:vAlign w:val="center"/>
                </w:tcPr>
                <w:p w14:paraId="0B92F7B0">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禁止开发建设活动的要求：1禁止任何单位和个人在基本农田保护区内建 窑、建房、建坟、挖砂、采石、采矿、取土、堆放固体废弃物或者进行其 他破坏基本农田的活动。 2禁止任何单位和个人占用基本农田发展林果业和挖塘养鱼。 3禁止生产、销售、使用国家明令禁止的农业投入品。农业投入品生产者 、销售者和使用者应当及时回收农药、肥料等农业投入品的包装废弃物和 农用薄膜，并将农药包装废弃物交由专门的机构或者组织进行无害化处理 。 4在永久基本农田集中区域，不得规划新建可能造成土壤污染的建设项目 。 5 基本农田保护区内禁止下列行为: (一)擅自将耕地改为非耕地; (二)闲置、荒芜耕地; (三)建窑、建房、建坟; (四)擅自挖沙、采石、采矿、取土; (五)排放污染性的废水、废气，堆放固体废弃物; (六)向基本农田提供不符合国家有关标准的肥料、农药; (七)毁坏水利排灌设施; (八)擅自砍伐农田防护林和水土保持林; (九)破坏或擅自改变基本农田保护区标志; (十)其他破坏基本农田的行为。 6在基本农田保护区内不得设立非农业开发区和工业小区。 7各级人民政府应当采取措施对耕地实行特殊保护，禁止违法占用耕地从 事非农业建设，严格控制耕地转为林地、草地、园地等其他农用地，确保 耕地优先用于粮食和蔬菜、油、棉、糖等农产品生产。实行耕地保护补偿 激励制度，具体按照国家和省有关规定执行。 允许开发建设活动的特殊要求：8加大优先保护类耕地保护力度，综合采 取占补数量和质量平衡、高标准农田建设、周边污染企业搬迁整治等措施 。 9提倡和鼓励农业生产者对其经营的基本农田施用有机肥料，合理施用化 肥和农药。利用基本农田从事农业生产的单位和个人应当保持和培肥地力</w:t>
                  </w:r>
                  <w:r>
                    <w:rPr>
                      <w:rFonts w:hint="eastAsia" w:ascii="Times New Roman" w:hAnsi="Times New Roman" w:eastAsia="宋体" w:cs="Times New Roman"/>
                      <w:color w:val="auto"/>
                      <w:sz w:val="21"/>
                      <w:szCs w:val="21"/>
                      <w:vertAlign w:val="baseline"/>
                      <w:lang w:val="en-US" w:eastAsia="zh-CN"/>
                    </w:rPr>
                    <w:t>。。 限制开发建设活动的要求：10严格控制在优先保护类耕地集中区域新建有 色金属冶炼、石油加工、化工、焦化、电镀、制革等行业企业，有关环境 保护主管部门依法不予审批可能造成耕地土壤污染的建设项目环境影响报 告书或者报告表。优先保护类耕地集中区域现有可能造成土壤污染的相关 行业企业应当按照有关规定采取措施，防止对耕地造成污染。 11设施农业用地选址应当按照保护耕地、节约集约利用土地的原则，少占 或者不占耕地。确需占用耕地的，应当采取措施加强对耕地耕作层的保护 ；设施农业用地不再使用的，应当及时组织恢复种植条件。 不符合空间布局要求活动的退出要求：12在永久基本农田集中区域，已建 成可能造成土壤污染的建设项目，应当限期关闭拆除。 其他空间布局约束要求：13禁止任何单位和个人闲置、荒芜基本农田。 1一般管控单元内，执行现有法律法规和政策文件。禁止开发建设活动的 要求：1 禁止在淮河流域新建化学制浆造纸企业和印染、制革、化工、电 镀、酿造等污染严重的小型企业。 2 在饮用水水源保护区内，禁止设置排污口。在风景名胜区水体、重要渔 业水体和其他具有特殊经济文化价值的水体的保护区内，不得新建排污口 。 3 禁止下列行为：(一)向水体排放或者倾倒油类、酸液、碱液和其他有毒 有害液体；(二)在水体中清洗装贮过有毒有害污染物的车辆、船舶和容器 ；(三)向水体排放、倾倒含有汞、镉、砷、铬、铅、氰化物、黄磷等可溶 性剧毒废液或者将上述物质直接埋入地下；(四)向水体排放、倾倒工业废 渣、城镇垃圾和其他废弃物；(五)向水体排放、倾倒放射性固体废弃物或 者放射性废水；(六)利用渗井、渗坑、裂隙、溶洞、塌陷区和废弃矿坑排 放、倾倒，或者利用无防渗措施的沟渠、坑塘输送或者存贮含毒污染物或 者病原体的废水和其他废弃物；(七)在河流、湖泊、运河、渠道、水库最 高水位线以下的滩地和岸坡堆放、贮存固体废弃物和其他污染物；(八)围 湖和其他破坏水环境生态平衡的活动；(九)引进不符合国家环境保护规定 要求的技术和设备；(十)法律、法规禁止的其他行为。 4 在淮河水域航行的船舶，应当遵守国家和省有关内河的船舶污染物排放 标准，禁止向水体排放残油、废油、不符合规定的船舶压载水和倾倒船舶 垃圾。 5 全面停止天然林商业性采伐。 6 坚持节约优先、保护优先、自然恢复为主的方针，依法有序推进新建露 天矿山开采，严禁在自然保护区、风景名胜区、地质公园等禁止开采区域 内新设矿权。7 坚持水资源水生态水环境水灾害统筹治理，严格落实水产种质资源保护 区和自然保护区全面禁捕措施。 限制开发建设活动的要求：8 严格限制在淮河流域新建印染、制革、化工 、电镀、酿造等大中型项目或者其他污染严重的项目；建设该类项目的，应当事前征得省人民政府生态环境行政主管部门的同意，并按照规定办 理有关手续。 9 新建、改建、扩建直接或者间接向水体排放污染物的建设项目和其他水上设施，应当依法进行环境影响评价。建设项目的水污染防治设施，应当符合经批准或者备案的环境影响评价文件的要求，并与主体工程同时设计 、同时施工、同时投入使用。新建、扩建、改建项目，除执行前款规定外，还应当遵守下列规定：（一）新建项目的选址应符合城市总体规划，避 开饮用水水源地和对环境有特殊要求的功能区；（二）采用资源利用率高 、污染物排放量少的先进设备和先进工艺；（三）改建、扩建项目和技改项目应当把水污染治理纳入项目内容。工程配套建设的水污染防治设施竣 工后，建设单位应当按照国务院生态环境行政主管部门规定的标准和程序 进行验收。验收合格后，方可投入使用；未经验收或者验收不合格的，不 得投入生产或者使用。10 在保护区附近新建排污口，应当保证保护区水体不受污染。11 严格环境准入，在水污染防治重点控制单元的区域内，限制新建耗水量 大、废水排放量大的项目和单纯扩大产能的项目。严格控制缺水地区、水 污染严重地区和敏感区域高耗水、高污染行业发展。 12 严格管控重污染耕地，划定农产品禁止生产区，加强对严格管控类耕地 的用途管理。实施建设用地准入管理，城市控制性详细规划涉及疑似污染 地块或污染地块的，应根据规划用途明确其土壤环境质量要求并作为规划 许可条件。 13 完善规模畜禽养殖场污染治理设施，科学划定畜禽养殖禁养区、限养区 ，实行适度规模养殖。 不符合空间布局要求活动的退出要求：14 加强重金属污染源头控制和重金 属重点防控区域治理，对重要粮食生产区域周边的工矿企业实施重金属排 放总量控制，对达不到环保要求的企业要限期升级改造或依法关闭、搬迁。15 依法开展环境影响评价工作，严格落实生态环境损害责任追究问责制度，对不符合要求占用的岸线、河段、土地和布局的产业，必须无条件退出 。 其他空间布局约束要求16 推进农业水价综合改革，推广节水灌溉水肥一体 化技术，提高农业灌溉水利用效率。在缺水地区试行退地减水，有序调整种植业结构与布局。加快产业升级，降低单位工业增加值用水量，大力开展节水型载体建设。提高城镇水资源重复利用率，促进再生水利用。</w:t>
                  </w:r>
                </w:p>
              </w:tc>
              <w:tc>
                <w:tcPr>
                  <w:tcW w:w="380" w:type="pct"/>
                  <w:noWrap w:val="0"/>
                  <w:vAlign w:val="center"/>
                </w:tcPr>
                <w:p w14:paraId="2EEE3DCD">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本项目不涉及禁止或限制行为，符合相关管控要求</w:t>
                  </w:r>
                </w:p>
              </w:tc>
            </w:tr>
            <w:tr w14:paraId="7D4C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5A86A6DD">
                  <w:pPr>
                    <w:keepNext w:val="0"/>
                    <w:keepLines w:val="0"/>
                    <w:pageBreakBefore w:val="0"/>
                    <w:widowControl/>
                    <w:suppressLineNumbers w:val="0"/>
                    <w:kinsoku/>
                    <w:wordWrap/>
                    <w:overflowPunct/>
                    <w:topLinePunct w:val="0"/>
                    <w:bidi w:val="0"/>
                    <w:snapToGrid/>
                    <w:ind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w:t>
                  </w:r>
                </w:p>
              </w:tc>
              <w:tc>
                <w:tcPr>
                  <w:tcW w:w="517" w:type="pct"/>
                  <w:vMerge w:val="continue"/>
                  <w:noWrap w:val="0"/>
                  <w:vAlign w:val="center"/>
                </w:tcPr>
                <w:p w14:paraId="5040CA14">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0000FF"/>
                      <w:sz w:val="21"/>
                      <w:szCs w:val="21"/>
                      <w:vertAlign w:val="baseline"/>
                      <w:lang w:val="en-US" w:eastAsia="zh-CN"/>
                    </w:rPr>
                  </w:pPr>
                </w:p>
              </w:tc>
              <w:tc>
                <w:tcPr>
                  <w:tcW w:w="538" w:type="pct"/>
                  <w:noWrap w:val="0"/>
                  <w:vAlign w:val="center"/>
                </w:tcPr>
                <w:p w14:paraId="00611289">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污染物排放管控</w:t>
                  </w:r>
                </w:p>
              </w:tc>
              <w:tc>
                <w:tcPr>
                  <w:tcW w:w="3310" w:type="pct"/>
                  <w:noWrap w:val="0"/>
                  <w:vAlign w:val="center"/>
                </w:tcPr>
                <w:p w14:paraId="38503B9F">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1一般管控单元内，执行现有法律法规和政策文件。允许排放量要求：1按 照省政府下达给区域各市的允许排放量相关要求执行。 现有源提标升级改造：2全面排查并淘汰经整改环保仍不达标的落后产能 ，集中治理产业集聚区水污染，全面建成污水集中处理及重污染企业污水 预处理设施。实施重污染行业专项整治，加强清洁生产审核和工业用水循 环利用。 其他污染物排放管控要求：3完善大气污染物排放总量控制制度，加强对 工业烟尘、粉尘、城市扬尘和有毒有害空气污染物排放的协同控制。严格 煤炭消费总量，增加清洁能源供给和使用，力争实现煤炭消费负增长。强 化机动车尾气治理，优先发展公共交通，严禁秸秆露天焚烧，推进秸秆综 合利用，全面推行“绿色施工”。 4加快城镇污水垃圾处理设施和配套管网建设，提升污泥处理处置水平。 逐步推进老城区雨污分流改造，新建城区严格实行雨污分流。推进村庄生 活污水治理，因村制宜选择接入市政管网、建设小型设施相对集中处理、 分散处理等模式，提高生活污水处理水平。 5加强船舶港口污染控制，增强港口码头污染防治能力。 6建立农业面源污染监测体系，严格控制农业面源污染。加强秸秆、农膜 、农产品加工剩余物等农业废弃物综合利用，推进种养结合的废弃物无害 化处理、资源化利用，构建废弃物收集、转化、应用全链条污染防治与资 源化利用体系。推进农业面源污染综合防治示范区建设，加快发展循环农 业，实施化肥农药使用量零增长行动，加大测土配方施肥推广力度，引导 科学施肥，提高化肥利用效率，强化病虫害统防统治，推广绿色防控技术</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广泛使用高效低毒低残留农药。 7向淮河流域水体排放含病原体废水的，应当经过消毒处理，符合国家和 省规定的有关标准后，方可排放。向水体排放含热废水，应当采取措施</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保证水体的水温符合水环境质量标准。 8船舶装载运输油类或者有毒货物，应当采取防止散落、溢流和渗漏措施 ，防止货物落水造成水污染。 9省及淮河流域县级以上人民政府应当推广精准施肥、生物防治病虫害等 先进适用的农业生产技术，推广使用高效、低毒、低残留农药，减少化肥 、农药使用量，支持秸秆综合利用和畜禽粪污处理设施建设，调整农业产 业结构，发展绿色生态农业，开展清洁小流域建设，有效控制农业面源污染。</w:t>
                  </w:r>
                </w:p>
              </w:tc>
              <w:tc>
                <w:tcPr>
                  <w:tcW w:w="380" w:type="pct"/>
                  <w:noWrap w:val="0"/>
                  <w:vAlign w:val="center"/>
                </w:tcPr>
                <w:p w14:paraId="10E29260">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本项目不涉及禁止或限</w:t>
                  </w:r>
                </w:p>
                <w:p w14:paraId="22E09497">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制行为，符合相关管控</w:t>
                  </w:r>
                </w:p>
                <w:p w14:paraId="2E16003E">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要求</w:t>
                  </w:r>
                </w:p>
              </w:tc>
            </w:tr>
            <w:tr w14:paraId="2534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06CA9823">
                  <w:pPr>
                    <w:keepNext w:val="0"/>
                    <w:keepLines w:val="0"/>
                    <w:pageBreakBefore w:val="0"/>
                    <w:widowControl/>
                    <w:suppressLineNumbers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p>
              </w:tc>
              <w:tc>
                <w:tcPr>
                  <w:tcW w:w="517" w:type="pct"/>
                  <w:vMerge w:val="continue"/>
                  <w:noWrap w:val="0"/>
                  <w:vAlign w:val="center"/>
                </w:tcPr>
                <w:p w14:paraId="4D1C39CD">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38" w:type="pct"/>
                  <w:noWrap w:val="0"/>
                  <w:vAlign w:val="center"/>
                </w:tcPr>
                <w:p w14:paraId="63F2897D">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资源开发效率要求</w:t>
                  </w:r>
                </w:p>
              </w:tc>
              <w:tc>
                <w:tcPr>
                  <w:tcW w:w="3310" w:type="pct"/>
                  <w:noWrap w:val="0"/>
                  <w:vAlign w:val="center"/>
                </w:tcPr>
                <w:p w14:paraId="53676816">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1一般管控单元内，执行现有法律法规和政策文件。水资源利用总量及效 率要求：1按照省政府下达给区域各市的水资源利用总量及效率要求执行 。 地下水开采要求：2兴建地下工程设施或者进行地下勘探、采矿等活动 ，应当采取防护性措施，防止地下水污染。 3开采地下水时，对下列含水层应当分层开采，不得混合开采：（一）半 咸水、咸水、卤水层；（二）已受污染的含水层；（三）含有毒有害元素 ，超过生活饮用水卫生标准的水层；（四）有医疗价值和特殊经济价值的 地下热水、温泉水和矿泉水。 4淮河流域地下水开采区应当依靠降雨、地下径流、河流和湖泊、水库渗 漏等补给地下水。人工回灌补给地下水，不得恶化地下水质。 能源利用总量及效率要求：5按照省政府下达给区域各市能源利用总量及 效率要求执行。 禁燃区要求：6按照省级清单中禁燃区要求执行。 其他资源利用效率要求：7土地资源利用效率按照省政府下达给区域各市 的要求执行。</w:t>
                  </w:r>
                </w:p>
              </w:tc>
              <w:tc>
                <w:tcPr>
                  <w:tcW w:w="380" w:type="pct"/>
                  <w:noWrap w:val="0"/>
                  <w:vAlign w:val="center"/>
                </w:tcPr>
                <w:p w14:paraId="63DC5DD7">
                  <w:pPr>
                    <w:pStyle w:val="33"/>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本项目不涉及禁止或限制行为，符合相关管控要求</w:t>
                  </w:r>
                </w:p>
              </w:tc>
            </w:tr>
          </w:tbl>
          <w:p w14:paraId="24E514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综上所述，本项目建设满足生态保护红线、环境质量底线、资源利用上线，且不在环境准入负面清单中，符合“三线一单与分区管控”要求。</w:t>
            </w:r>
          </w:p>
          <w:p w14:paraId="46D6603B">
            <w:pPr>
              <w:adjustRightInd w:val="0"/>
              <w:snapToGrid w:val="0"/>
              <w:spacing w:line="360" w:lineRule="auto"/>
              <w:rPr>
                <w:rFonts w:hint="eastAsia" w:eastAsia="宋体"/>
                <w:b/>
                <w:bCs/>
                <w:sz w:val="24"/>
                <w:lang w:eastAsia="zh-CN"/>
              </w:rPr>
            </w:pPr>
            <w:r>
              <w:rPr>
                <w:rFonts w:hint="eastAsia"/>
                <w:b/>
                <w:bCs/>
                <w:sz w:val="24"/>
                <w:lang w:val="en-US" w:eastAsia="zh-CN"/>
              </w:rPr>
              <w:t>2</w:t>
            </w:r>
            <w:r>
              <w:rPr>
                <w:b/>
                <w:bCs/>
                <w:sz w:val="24"/>
              </w:rPr>
              <w:t>、</w:t>
            </w:r>
            <w:r>
              <w:rPr>
                <w:rFonts w:hint="eastAsia"/>
                <w:b/>
                <w:bCs/>
                <w:sz w:val="24"/>
              </w:rPr>
              <w:t>其他政策符合性分析</w:t>
            </w:r>
          </w:p>
          <w:p w14:paraId="55890FE7">
            <w:pPr>
              <w:pStyle w:val="4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b w:val="0"/>
                <w:bCs/>
                <w:color w:val="auto"/>
                <w:sz w:val="24"/>
              </w:rPr>
            </w:pPr>
            <w:r>
              <w:rPr>
                <w:rFonts w:hint="eastAsia"/>
                <w:b w:val="0"/>
                <w:bCs/>
                <w:sz w:val="24"/>
              </w:rPr>
              <w:t>（1）项</w:t>
            </w:r>
            <w:r>
              <w:rPr>
                <w:rFonts w:hint="eastAsia"/>
                <w:b w:val="0"/>
                <w:bCs/>
                <w:color w:val="auto"/>
                <w:sz w:val="24"/>
              </w:rPr>
              <w:t>目与《中共中央国务院关于深入打好污染防治攻坚战的意见》相符性分析</w:t>
            </w:r>
          </w:p>
          <w:p w14:paraId="053926DD">
            <w:pPr>
              <w:pStyle w:val="41"/>
              <w:keepNext w:val="0"/>
              <w:keepLines w:val="0"/>
              <w:pageBreakBefore w:val="0"/>
              <w:widowControl w:val="0"/>
              <w:kinsoku/>
              <w:wordWrap/>
              <w:overflowPunct/>
              <w:topLinePunct w:val="0"/>
              <w:autoSpaceDE/>
              <w:autoSpaceDN/>
              <w:bidi w:val="0"/>
              <w:adjustRightInd/>
              <w:snapToGrid/>
              <w:spacing w:line="360" w:lineRule="auto"/>
              <w:textAlignment w:val="auto"/>
            </w:pPr>
            <w:r>
              <w:rPr>
                <w:bCs/>
                <w:color w:val="auto"/>
                <w:sz w:val="24"/>
              </w:rPr>
              <w:t>表1</w:t>
            </w:r>
            <w:r>
              <w:rPr>
                <w:rFonts w:hint="eastAsia"/>
                <w:bCs/>
                <w:color w:val="auto"/>
                <w:sz w:val="24"/>
                <w:lang w:val="en-US" w:eastAsia="zh-CN"/>
              </w:rPr>
              <w:t>-2</w:t>
            </w:r>
            <w:r>
              <w:rPr>
                <w:bCs/>
                <w:color w:val="auto"/>
                <w:sz w:val="24"/>
              </w:rPr>
              <w:t xml:space="preserve">  </w:t>
            </w:r>
            <w:r>
              <w:rPr>
                <w:rFonts w:hint="eastAsia"/>
                <w:color w:val="auto"/>
                <w:sz w:val="24"/>
              </w:rPr>
              <w:t>与</w:t>
            </w:r>
            <w:r>
              <w:rPr>
                <w:rFonts w:hint="eastAsia" w:ascii="宋体" w:hAnsi="宋体"/>
                <w:color w:val="auto"/>
                <w:sz w:val="24"/>
              </w:rPr>
              <w:t>《中共中央国务院关于深入打</w:t>
            </w:r>
            <w:r>
              <w:rPr>
                <w:rFonts w:hint="eastAsia" w:ascii="宋体" w:hAnsi="宋体"/>
                <w:sz w:val="24"/>
              </w:rPr>
              <w:t>好污染防治攻坚战的意见》</w:t>
            </w:r>
            <w:r>
              <w:rPr>
                <w:rFonts w:hint="eastAsia"/>
                <w:sz w:val="24"/>
              </w:rPr>
              <w:t>相符性分析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999"/>
              <w:gridCol w:w="3459"/>
              <w:gridCol w:w="998"/>
            </w:tblGrid>
            <w:tr w14:paraId="0E47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Align w:val="center"/>
                </w:tcPr>
                <w:p w14:paraId="41F2CD5C">
                  <w:pPr>
                    <w:adjustRightInd w:val="0"/>
                    <w:snapToGrid w:val="0"/>
                    <w:jc w:val="center"/>
                  </w:pPr>
                  <w:r>
                    <w:t>序号</w:t>
                  </w:r>
                </w:p>
              </w:tc>
              <w:tc>
                <w:tcPr>
                  <w:tcW w:w="2999" w:type="dxa"/>
                  <w:vAlign w:val="center"/>
                </w:tcPr>
                <w:p w14:paraId="00A116A7">
                  <w:pPr>
                    <w:adjustRightInd w:val="0"/>
                    <w:snapToGrid w:val="0"/>
                    <w:jc w:val="center"/>
                    <w:rPr>
                      <w:szCs w:val="21"/>
                    </w:rPr>
                  </w:pPr>
                  <w:r>
                    <w:rPr>
                      <w:rFonts w:hint="eastAsia" w:ascii="宋体" w:hAnsi="宋体"/>
                      <w:szCs w:val="21"/>
                    </w:rPr>
                    <w:t>中共中央国务院关于深入打好污染防治攻坚战的意见</w:t>
                  </w:r>
                </w:p>
              </w:tc>
              <w:tc>
                <w:tcPr>
                  <w:tcW w:w="3459" w:type="dxa"/>
                  <w:vAlign w:val="center"/>
                </w:tcPr>
                <w:p w14:paraId="177BBB6E">
                  <w:pPr>
                    <w:adjustRightInd w:val="0"/>
                    <w:snapToGrid w:val="0"/>
                    <w:jc w:val="center"/>
                  </w:pPr>
                  <w:r>
                    <w:t>项目情况</w:t>
                  </w:r>
                </w:p>
              </w:tc>
              <w:tc>
                <w:tcPr>
                  <w:tcW w:w="998" w:type="dxa"/>
                  <w:vAlign w:val="center"/>
                </w:tcPr>
                <w:p w14:paraId="20F81F5E">
                  <w:pPr>
                    <w:adjustRightInd w:val="0"/>
                    <w:snapToGrid w:val="0"/>
                    <w:jc w:val="center"/>
                  </w:pPr>
                  <w:r>
                    <w:t>相符性</w:t>
                  </w:r>
                </w:p>
              </w:tc>
            </w:tr>
            <w:tr w14:paraId="4CA6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9" w:type="dxa"/>
                  <w:vAlign w:val="center"/>
                </w:tcPr>
                <w:p w14:paraId="0E49ED4D">
                  <w:pPr>
                    <w:adjustRightInd w:val="0"/>
                    <w:snapToGrid w:val="0"/>
                    <w:jc w:val="center"/>
                    <w:rPr>
                      <w:rFonts w:hint="default" w:ascii="Times New Roman" w:hAnsi="Times New Roman" w:cs="Times New Roman"/>
                    </w:rPr>
                  </w:pPr>
                  <w:r>
                    <w:rPr>
                      <w:rFonts w:hint="default" w:ascii="Times New Roman" w:hAnsi="Times New Roman" w:cs="Times New Roman"/>
                    </w:rPr>
                    <w:t>1</w:t>
                  </w:r>
                </w:p>
              </w:tc>
              <w:tc>
                <w:tcPr>
                  <w:tcW w:w="2999" w:type="dxa"/>
                  <w:vAlign w:val="center"/>
                </w:tcPr>
                <w:p w14:paraId="788BC5D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shd w:val="clear" w:color="auto" w:fill="FFFFFF"/>
                    </w:rPr>
                    <w:t>着力打好重污染天气消除攻坚战。聚焦秋冬季细颗粒物污染，加大重点区域、重点行业结构调整和污染治理力度。京津冀及周边地区、汾渭平原持续开展秋冬季大气污染综合治理专项行动。东北地区加强秸秆禁烧管控和采暖燃煤污染治理。天山北坡城市群加强兵地协作，钢铁、有色金属、化工等行业参照重点区域执行重污染天气应急减排措施。科学调整大气污染防治重点区域范围，构建省市县三级重污染天气应急预案体系，实施重点行业企业绩效分级管理，依法严厉打击不落实应急减排措施行为。到2025年，全国重度及以上污染天数比率控制在1%以内。</w:t>
                  </w:r>
                </w:p>
              </w:tc>
              <w:tc>
                <w:tcPr>
                  <w:tcW w:w="3459" w:type="dxa"/>
                  <w:vAlign w:val="center"/>
                </w:tcPr>
                <w:p w14:paraId="6FE34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lang w:eastAsia="zh-CN"/>
                    </w:rPr>
                  </w:pPr>
                  <w:r>
                    <w:rPr>
                      <w:rFonts w:hint="eastAsia" w:eastAsia="宋体"/>
                      <w:color w:val="auto"/>
                      <w:lang w:eastAsia="zh-CN"/>
                    </w:rPr>
                    <w:t>本项目涉及主要大气污染物为生产过程中废气主要有原料装卸废气、投料</w:t>
                  </w:r>
                  <w:r>
                    <w:rPr>
                      <w:rFonts w:hint="eastAsia" w:eastAsia="宋体"/>
                      <w:color w:val="auto"/>
                      <w:lang w:val="en-US" w:eastAsia="zh-CN"/>
                    </w:rPr>
                    <w:t>输送废气</w:t>
                  </w:r>
                  <w:r>
                    <w:rPr>
                      <w:rFonts w:hint="eastAsia" w:eastAsia="宋体"/>
                      <w:color w:val="auto"/>
                      <w:lang w:eastAsia="zh-CN"/>
                    </w:rPr>
                    <w:t>、物料混合搅拌和下料废气、破碎松散废气、污泥贮存废气、运输扬尘。本次评价要求</w:t>
                  </w:r>
                  <w:r>
                    <w:rPr>
                      <w:rFonts w:hint="eastAsia"/>
                      <w:color w:val="auto"/>
                      <w:lang w:eastAsia="zh-CN"/>
                    </w:rPr>
                    <w:t>筒仓废气经</w:t>
                  </w:r>
                  <w:r>
                    <w:rPr>
                      <w:rFonts w:hint="eastAsia" w:eastAsia="宋体"/>
                      <w:color w:val="auto"/>
                      <w:lang w:val="en-US" w:eastAsia="zh-CN"/>
                    </w:rPr>
                    <w:t>引风机+</w:t>
                  </w:r>
                  <w:r>
                    <w:rPr>
                      <w:rFonts w:hint="eastAsia" w:eastAsia="宋体"/>
                      <w:color w:val="auto"/>
                      <w:lang w:eastAsia="zh-CN"/>
                    </w:rPr>
                    <w:t>脉冲除尘器</w:t>
                  </w:r>
                  <w:r>
                    <w:rPr>
                      <w:rFonts w:hint="eastAsia" w:eastAsia="宋体"/>
                      <w:color w:val="auto"/>
                      <w:lang w:val="en-US" w:eastAsia="zh-CN"/>
                    </w:rPr>
                    <w:t>+</w:t>
                  </w:r>
                  <w:r>
                    <w:rPr>
                      <w:rFonts w:hint="eastAsia" w:eastAsia="宋体"/>
                      <w:color w:val="auto"/>
                      <w:lang w:eastAsia="zh-CN"/>
                    </w:rPr>
                    <w:t>15m高排气筒（DA002）</w:t>
                  </w:r>
                  <w:r>
                    <w:rPr>
                      <w:rFonts w:hint="eastAsia"/>
                      <w:color w:val="auto"/>
                      <w:lang w:eastAsia="zh-CN"/>
                    </w:rPr>
                    <w:t>排放，</w:t>
                  </w:r>
                  <w:r>
                    <w:rPr>
                      <w:rFonts w:hint="eastAsia" w:eastAsia="宋体"/>
                      <w:color w:val="auto"/>
                      <w:lang w:eastAsia="zh-CN"/>
                    </w:rPr>
                    <w:t>物料混合搅拌和下料废气、破碎松散废气均采用集气罩收集后汇入脉冲除尘器处理尾气通过15m高排气筒（DA00</w:t>
                  </w:r>
                  <w:r>
                    <w:rPr>
                      <w:rFonts w:hint="eastAsia"/>
                      <w:color w:val="auto"/>
                      <w:lang w:val="en-US" w:eastAsia="zh-CN"/>
                    </w:rPr>
                    <w:t>3</w:t>
                  </w:r>
                  <w:r>
                    <w:rPr>
                      <w:rFonts w:hint="eastAsia" w:eastAsia="宋体"/>
                      <w:color w:val="auto"/>
                      <w:lang w:eastAsia="zh-CN"/>
                    </w:rPr>
                    <w:t>）排放</w:t>
                  </w:r>
                  <w:r>
                    <w:rPr>
                      <w:rFonts w:hint="eastAsia" w:eastAsia="宋体"/>
                      <w:color w:val="auto"/>
                      <w:lang w:val="en-US" w:eastAsia="zh-CN"/>
                    </w:rPr>
                    <w:t>；卸料起尘采取雾炮除尘等措施后无组织排放；运输扬尘采取运输车辆篷布覆盖，运输过程限速按规定线路行驶后运输扬尘无组织排放；</w:t>
                  </w:r>
                  <w:r>
                    <w:rPr>
                      <w:rFonts w:hint="eastAsia" w:eastAsia="宋体"/>
                      <w:color w:val="auto"/>
                      <w:lang w:eastAsia="zh-CN"/>
                    </w:rPr>
                    <w:t>污泥预处理产生的废气喷洒除臭剂处理。</w:t>
                  </w:r>
                </w:p>
              </w:tc>
              <w:tc>
                <w:tcPr>
                  <w:tcW w:w="998" w:type="dxa"/>
                  <w:vAlign w:val="center"/>
                </w:tcPr>
                <w:p w14:paraId="013A2D01">
                  <w:pPr>
                    <w:adjustRightInd w:val="0"/>
                    <w:snapToGrid w:val="0"/>
                    <w:jc w:val="center"/>
                  </w:pPr>
                  <w:r>
                    <w:t>相符</w:t>
                  </w:r>
                </w:p>
              </w:tc>
            </w:tr>
          </w:tbl>
          <w:p w14:paraId="03758B38">
            <w:pPr>
              <w:pStyle w:val="9"/>
              <w:snapToGrid w:val="0"/>
              <w:spacing w:before="120" w:beforeLines="50" w:line="360" w:lineRule="auto"/>
              <w:ind w:left="0" w:firstLine="480" w:firstLineChars="200"/>
              <w:rPr>
                <w:sz w:val="24"/>
                <w:szCs w:val="24"/>
              </w:rPr>
            </w:pPr>
            <w:r>
              <w:rPr>
                <w:sz w:val="24"/>
                <w:szCs w:val="24"/>
              </w:rPr>
              <w:t>（</w:t>
            </w:r>
            <w:r>
              <w:rPr>
                <w:rFonts w:hint="eastAsia"/>
                <w:sz w:val="24"/>
                <w:szCs w:val="24"/>
                <w:lang w:val="en-US" w:eastAsia="zh-CN"/>
              </w:rPr>
              <w:t>2</w:t>
            </w:r>
            <w:r>
              <w:rPr>
                <w:sz w:val="24"/>
                <w:szCs w:val="24"/>
              </w:rPr>
              <w:t>）</w:t>
            </w:r>
            <w:r>
              <w:rPr>
                <w:rFonts w:hint="eastAsia"/>
                <w:sz w:val="24"/>
                <w:szCs w:val="24"/>
              </w:rPr>
              <w:t>项目与国家环境保护部</w:t>
            </w:r>
            <w:r>
              <w:rPr>
                <w:sz w:val="24"/>
                <w:szCs w:val="24"/>
              </w:rPr>
              <w:t>2013</w:t>
            </w:r>
            <w:r>
              <w:rPr>
                <w:rFonts w:hint="eastAsia"/>
                <w:sz w:val="24"/>
                <w:szCs w:val="24"/>
              </w:rPr>
              <w:t>年第</w:t>
            </w:r>
            <w:r>
              <w:rPr>
                <w:sz w:val="24"/>
                <w:szCs w:val="24"/>
              </w:rPr>
              <w:t>59</w:t>
            </w:r>
            <w:r>
              <w:rPr>
                <w:rFonts w:hint="eastAsia"/>
                <w:sz w:val="24"/>
                <w:szCs w:val="24"/>
              </w:rPr>
              <w:t>号令《环境空气细颗粒物污染综合防治技术政策》</w:t>
            </w:r>
          </w:p>
          <w:p w14:paraId="54F77A86">
            <w:pPr>
              <w:spacing w:line="360" w:lineRule="auto"/>
              <w:jc w:val="center"/>
            </w:pPr>
            <w:r>
              <w:rPr>
                <w:b/>
                <w:bCs/>
                <w:sz w:val="24"/>
              </w:rPr>
              <w:t>表1</w:t>
            </w:r>
            <w:r>
              <w:rPr>
                <w:rFonts w:hint="eastAsia"/>
                <w:b/>
                <w:bCs/>
                <w:sz w:val="24"/>
                <w:lang w:val="en-US" w:eastAsia="zh-CN"/>
              </w:rPr>
              <w:t>-3</w:t>
            </w:r>
            <w:r>
              <w:rPr>
                <w:b/>
                <w:bCs/>
                <w:sz w:val="24"/>
              </w:rPr>
              <w:t xml:space="preserve">  与《环境空气细颗粒物污染综合防治技术政策》相符性分析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861"/>
              <w:gridCol w:w="3814"/>
              <w:gridCol w:w="858"/>
            </w:tblGrid>
            <w:tr w14:paraId="78AD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dxa"/>
                  <w:vAlign w:val="center"/>
                </w:tcPr>
                <w:p w14:paraId="2673956C">
                  <w:pPr>
                    <w:adjustRightInd w:val="0"/>
                    <w:snapToGrid w:val="0"/>
                    <w:jc w:val="center"/>
                    <w:rPr>
                      <w:szCs w:val="21"/>
                    </w:rPr>
                  </w:pPr>
                  <w:r>
                    <w:rPr>
                      <w:szCs w:val="21"/>
                    </w:rPr>
                    <w:t>序号</w:t>
                  </w:r>
                </w:p>
              </w:tc>
              <w:tc>
                <w:tcPr>
                  <w:tcW w:w="2861" w:type="dxa"/>
                  <w:vAlign w:val="center"/>
                </w:tcPr>
                <w:p w14:paraId="4CF86256">
                  <w:pPr>
                    <w:adjustRightInd w:val="0"/>
                    <w:snapToGrid w:val="0"/>
                    <w:jc w:val="center"/>
                    <w:rPr>
                      <w:szCs w:val="21"/>
                    </w:rPr>
                  </w:pPr>
                  <w:r>
                    <w:rPr>
                      <w:szCs w:val="21"/>
                    </w:rPr>
                    <w:t>环境空气细颗粒物污染综合防治技术政策</w:t>
                  </w:r>
                </w:p>
              </w:tc>
              <w:tc>
                <w:tcPr>
                  <w:tcW w:w="3814" w:type="dxa"/>
                  <w:vAlign w:val="center"/>
                </w:tcPr>
                <w:p w14:paraId="2EADE61D">
                  <w:pPr>
                    <w:adjustRightInd w:val="0"/>
                    <w:snapToGrid w:val="0"/>
                    <w:jc w:val="center"/>
                    <w:rPr>
                      <w:szCs w:val="21"/>
                    </w:rPr>
                  </w:pPr>
                  <w:r>
                    <w:rPr>
                      <w:szCs w:val="21"/>
                    </w:rPr>
                    <w:t>项目情况</w:t>
                  </w:r>
                </w:p>
              </w:tc>
              <w:tc>
                <w:tcPr>
                  <w:tcW w:w="858" w:type="dxa"/>
                  <w:vAlign w:val="center"/>
                </w:tcPr>
                <w:p w14:paraId="67D80F91">
                  <w:pPr>
                    <w:adjustRightInd w:val="0"/>
                    <w:snapToGrid w:val="0"/>
                    <w:jc w:val="center"/>
                    <w:rPr>
                      <w:szCs w:val="21"/>
                    </w:rPr>
                  </w:pPr>
                  <w:r>
                    <w:rPr>
                      <w:szCs w:val="21"/>
                    </w:rPr>
                    <w:t>相符性</w:t>
                  </w:r>
                </w:p>
              </w:tc>
            </w:tr>
            <w:tr w14:paraId="6A54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dxa"/>
                  <w:vAlign w:val="center"/>
                </w:tcPr>
                <w:p w14:paraId="70AC2A62">
                  <w:pPr>
                    <w:adjustRightInd w:val="0"/>
                    <w:snapToGrid w:val="0"/>
                    <w:jc w:val="center"/>
                    <w:rPr>
                      <w:szCs w:val="21"/>
                    </w:rPr>
                  </w:pPr>
                  <w:r>
                    <w:rPr>
                      <w:szCs w:val="21"/>
                    </w:rPr>
                    <w:t>1</w:t>
                  </w:r>
                </w:p>
              </w:tc>
              <w:tc>
                <w:tcPr>
                  <w:tcW w:w="2861" w:type="dxa"/>
                  <w:vAlign w:val="center"/>
                </w:tcPr>
                <w:p w14:paraId="223E0A9A">
                  <w:pPr>
                    <w:pStyle w:val="33"/>
                    <w:snapToGrid w:val="0"/>
                    <w:spacing w:before="48" w:beforeLines="20"/>
                    <w:jc w:val="center"/>
                    <w:rPr>
                      <w:sz w:val="21"/>
                      <w:szCs w:val="21"/>
                    </w:rPr>
                  </w:pPr>
                  <w:r>
                    <w:rPr>
                      <w:sz w:val="21"/>
                      <w:szCs w:val="21"/>
                    </w:rPr>
                    <w:t>（十）应将排放细颗粒物和前体污染物排放量较大的行业作为工业污染源治理的重点，包括：火电、冶金、建材、石油化工、合成材料、制药、塑料加工、表面涂装、电子产品与设备制造、包装 印刷等。工业污染源的污染防治，应参照燃煤二氧化硫、火电厂氮氧化物和冶金、建材、化工等污染防治技术政策的具体内容，开展相关工作。</w:t>
                  </w:r>
                </w:p>
              </w:tc>
              <w:tc>
                <w:tcPr>
                  <w:tcW w:w="3814" w:type="dxa"/>
                  <w:vAlign w:val="center"/>
                </w:tcPr>
                <w:p w14:paraId="03D0D10F">
                  <w:pPr>
                    <w:pStyle w:val="33"/>
                    <w:snapToGrid w:val="0"/>
                    <w:spacing w:before="48" w:beforeLines="20"/>
                    <w:jc w:val="center"/>
                    <w:rPr>
                      <w:sz w:val="21"/>
                      <w:szCs w:val="21"/>
                    </w:rPr>
                  </w:pPr>
                  <w:r>
                    <w:rPr>
                      <w:rFonts w:hint="eastAsia"/>
                      <w:color w:val="000000" w:themeColor="text1"/>
                      <w:sz w:val="21"/>
                      <w:szCs w:val="21"/>
                      <w14:textFill>
                        <w14:solidFill>
                          <w14:schemeClr w14:val="tx1"/>
                        </w14:solidFill>
                      </w14:textFill>
                    </w:rPr>
                    <w:t>项目属于固体废物治理，不属于污染源治理重点管控行业。</w:t>
                  </w:r>
                </w:p>
              </w:tc>
              <w:tc>
                <w:tcPr>
                  <w:tcW w:w="858" w:type="dxa"/>
                  <w:vAlign w:val="center"/>
                </w:tcPr>
                <w:p w14:paraId="234895DC">
                  <w:pPr>
                    <w:adjustRightInd w:val="0"/>
                    <w:snapToGrid w:val="0"/>
                    <w:jc w:val="center"/>
                    <w:rPr>
                      <w:szCs w:val="21"/>
                    </w:rPr>
                  </w:pPr>
                  <w:r>
                    <w:rPr>
                      <w:szCs w:val="21"/>
                    </w:rPr>
                    <w:t>相符</w:t>
                  </w:r>
                </w:p>
              </w:tc>
            </w:tr>
            <w:tr w14:paraId="378D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dxa"/>
                  <w:vAlign w:val="center"/>
                </w:tcPr>
                <w:p w14:paraId="1A13DC9C">
                  <w:pPr>
                    <w:adjustRightInd w:val="0"/>
                    <w:snapToGrid w:val="0"/>
                    <w:jc w:val="center"/>
                    <w:rPr>
                      <w:szCs w:val="21"/>
                    </w:rPr>
                  </w:pPr>
                  <w:r>
                    <w:rPr>
                      <w:rFonts w:hint="eastAsia"/>
                      <w:szCs w:val="21"/>
                    </w:rPr>
                    <w:t>2</w:t>
                  </w:r>
                </w:p>
              </w:tc>
              <w:tc>
                <w:tcPr>
                  <w:tcW w:w="2861" w:type="dxa"/>
                  <w:vAlign w:val="center"/>
                </w:tcPr>
                <w:p w14:paraId="752008BB">
                  <w:pPr>
                    <w:pStyle w:val="33"/>
                    <w:snapToGrid w:val="0"/>
                    <w:spacing w:before="48" w:beforeLines="20"/>
                    <w:jc w:val="center"/>
                    <w:rPr>
                      <w:sz w:val="21"/>
                      <w:szCs w:val="21"/>
                    </w:rPr>
                  </w:pPr>
                  <w:r>
                    <w:rPr>
                      <w:sz w:val="21"/>
                      <w:szCs w:val="21"/>
                    </w:rPr>
                    <w:t>（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3814" w:type="dxa"/>
                  <w:vAlign w:val="center"/>
                </w:tcPr>
                <w:p w14:paraId="60905625">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本项目属于固体废物治理。本次评价本项目涉及主要大气污染物为生产过程中废气主要有</w:t>
                  </w:r>
                  <w:r>
                    <w:rPr>
                      <w:rFonts w:hint="eastAsia" w:cs="Times New Roman"/>
                      <w:color w:val="000000" w:themeColor="text1"/>
                      <w:kern w:val="2"/>
                      <w:sz w:val="21"/>
                      <w:szCs w:val="21"/>
                      <w:lang w:val="en-US" w:eastAsia="zh-CN" w:bidi="ar-SA"/>
                      <w14:textFill>
                        <w14:solidFill>
                          <w14:schemeClr w14:val="tx1"/>
                        </w14:solidFill>
                      </w14:textFill>
                    </w:rPr>
                    <w:t>筒仓废气、</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原料装卸废气、投料输送废气、物料混合搅拌和下料废气、破碎松散废气、污泥贮存废气、运输扬尘。本次评价要求；</w:t>
                  </w:r>
                  <w:r>
                    <w:rPr>
                      <w:rFonts w:hint="eastAsia"/>
                      <w:color w:val="auto"/>
                      <w:lang w:eastAsia="zh-CN"/>
                    </w:rPr>
                    <w:t>筒仓废气经</w:t>
                  </w:r>
                  <w:r>
                    <w:rPr>
                      <w:rFonts w:hint="eastAsia" w:eastAsia="宋体"/>
                      <w:color w:val="auto"/>
                      <w:lang w:val="en-US" w:eastAsia="zh-CN"/>
                    </w:rPr>
                    <w:t>引风机+</w:t>
                  </w:r>
                  <w:r>
                    <w:rPr>
                      <w:rFonts w:hint="eastAsia" w:eastAsia="宋体"/>
                      <w:color w:val="auto"/>
                      <w:lang w:eastAsia="zh-CN"/>
                    </w:rPr>
                    <w:t>脉冲除尘器</w:t>
                  </w:r>
                  <w:r>
                    <w:rPr>
                      <w:rFonts w:hint="eastAsia" w:eastAsia="宋体"/>
                      <w:color w:val="auto"/>
                      <w:lang w:val="en-US" w:eastAsia="zh-CN"/>
                    </w:rPr>
                    <w:t>+</w:t>
                  </w:r>
                  <w:r>
                    <w:rPr>
                      <w:rFonts w:hint="eastAsia" w:eastAsia="宋体"/>
                      <w:color w:val="auto"/>
                      <w:lang w:eastAsia="zh-CN"/>
                    </w:rPr>
                    <w:t>15m高排气筒（DA002）</w:t>
                  </w:r>
                  <w:r>
                    <w:rPr>
                      <w:rFonts w:hint="eastAsia"/>
                      <w:color w:val="auto"/>
                      <w:lang w:eastAsia="zh-CN"/>
                    </w:rPr>
                    <w:t>排放；</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物料混合搅拌和下料废气、破碎松散废气均采用集气罩收集后汇入脉冲除尘器处理尾气通过15m高排气筒（DA00</w:t>
                  </w:r>
                  <w:r>
                    <w:rPr>
                      <w:rFonts w:hint="eastAsia" w:cs="Times New Roman"/>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）排放；卸料起尘采取雾炮除尘等措施后无组织排放；运输扬尘采取运输车辆篷布覆盖，运输过程限速按规定线路行驶后运输扬尘无组织排放；污泥预处理产生的废气喷洒除臭剂处理。</w:t>
                  </w:r>
                </w:p>
              </w:tc>
              <w:tc>
                <w:tcPr>
                  <w:tcW w:w="858" w:type="dxa"/>
                  <w:vAlign w:val="center"/>
                </w:tcPr>
                <w:p w14:paraId="63E9EA08">
                  <w:pPr>
                    <w:adjustRightInd w:val="0"/>
                    <w:snapToGrid w:val="0"/>
                    <w:jc w:val="center"/>
                    <w:rPr>
                      <w:szCs w:val="21"/>
                    </w:rPr>
                  </w:pPr>
                  <w:r>
                    <w:rPr>
                      <w:rFonts w:hint="eastAsia"/>
                      <w:szCs w:val="21"/>
                    </w:rPr>
                    <w:t>相符</w:t>
                  </w:r>
                </w:p>
              </w:tc>
            </w:tr>
            <w:tr w14:paraId="4898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dxa"/>
                  <w:vAlign w:val="center"/>
                </w:tcPr>
                <w:p w14:paraId="54178282">
                  <w:pPr>
                    <w:adjustRightInd w:val="0"/>
                    <w:snapToGrid w:val="0"/>
                    <w:jc w:val="center"/>
                    <w:rPr>
                      <w:szCs w:val="21"/>
                    </w:rPr>
                  </w:pPr>
                  <w:r>
                    <w:rPr>
                      <w:rFonts w:hint="eastAsia"/>
                      <w:szCs w:val="21"/>
                    </w:rPr>
                    <w:t>4</w:t>
                  </w:r>
                </w:p>
              </w:tc>
              <w:tc>
                <w:tcPr>
                  <w:tcW w:w="2861" w:type="dxa"/>
                  <w:vAlign w:val="center"/>
                </w:tcPr>
                <w:p w14:paraId="513088C5">
                  <w:pPr>
                    <w:pStyle w:val="33"/>
                    <w:snapToGrid w:val="0"/>
                    <w:spacing w:before="48" w:beforeLines="20"/>
                    <w:jc w:val="center"/>
                    <w:rPr>
                      <w:sz w:val="21"/>
                      <w:szCs w:val="21"/>
                    </w:rPr>
                  </w:pPr>
                  <w:r>
                    <w:rPr>
                      <w:sz w:val="21"/>
                      <w:szCs w:val="21"/>
                    </w:rPr>
                    <w:t>（十五）产生大气颗粒物及其前体物污染物的生产活动应尽量采用密闭装置，避免无组织排放；无法完全密闭的，应安装集气装置收集逸散的污染物，经净化后排放。</w:t>
                  </w:r>
                </w:p>
              </w:tc>
              <w:tc>
                <w:tcPr>
                  <w:tcW w:w="3814" w:type="dxa"/>
                  <w:vAlign w:val="center"/>
                </w:tcPr>
                <w:p w14:paraId="1586B252">
                  <w:pPr>
                    <w:pStyle w:val="33"/>
                    <w:snapToGrid w:val="0"/>
                    <w:spacing w:before="48" w:beforeLines="2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本项目属于固体废物治理。本次评价本项目涉及主要大气污染物为生产过程中废气主要有</w:t>
                  </w:r>
                  <w:r>
                    <w:rPr>
                      <w:rFonts w:hint="eastAsia" w:cs="Times New Roman"/>
                      <w:color w:val="000000" w:themeColor="text1"/>
                      <w:kern w:val="2"/>
                      <w:sz w:val="21"/>
                      <w:szCs w:val="21"/>
                      <w:lang w:val="en-US" w:eastAsia="zh-CN" w:bidi="ar-SA"/>
                      <w14:textFill>
                        <w14:solidFill>
                          <w14:schemeClr w14:val="tx1"/>
                        </w14:solidFill>
                      </w14:textFill>
                    </w:rPr>
                    <w:t>筒仓废气、</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原料装卸废气、投料输送废气、物料混合搅拌和下料废气、破碎松散废气、污泥贮存废气、运输扬尘。本次评价要求；筒仓废气经引风机+脉冲除尘器+15m高排气筒（DA002）排放</w:t>
                  </w:r>
                  <w:r>
                    <w:rPr>
                      <w:rFonts w:hint="eastAsia"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物料混合搅拌和下料废气、破碎松散废气均采用集气罩收集后汇入脉冲除尘器处理尾气通过15m高排气筒（DA00</w:t>
                  </w:r>
                  <w:r>
                    <w:rPr>
                      <w:rFonts w:hint="eastAsia" w:cs="Times New Roman"/>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）排放；卸料起尘采取雾炮除尘等措施后无组织排放；运输扬尘采取运输车辆篷布覆盖，运输过程限速按规定线路行驶后运输扬尘无组织排放；污泥预处理产生的废气喷洒除臭剂处理。</w:t>
                  </w:r>
                </w:p>
              </w:tc>
              <w:tc>
                <w:tcPr>
                  <w:tcW w:w="858" w:type="dxa"/>
                  <w:vAlign w:val="center"/>
                </w:tcPr>
                <w:p w14:paraId="1713CEDC">
                  <w:pPr>
                    <w:adjustRightInd w:val="0"/>
                    <w:snapToGrid w:val="0"/>
                    <w:jc w:val="center"/>
                    <w:rPr>
                      <w:szCs w:val="21"/>
                    </w:rPr>
                  </w:pPr>
                  <w:r>
                    <w:rPr>
                      <w:rFonts w:hint="eastAsia"/>
                      <w:szCs w:val="21"/>
                    </w:rPr>
                    <w:t>相符</w:t>
                  </w:r>
                </w:p>
              </w:tc>
            </w:tr>
          </w:tbl>
          <w:p w14:paraId="1C8EC582">
            <w:pPr>
              <w:pStyle w:val="68"/>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ascii="Times New Roman" w:hAnsi="Times New Roman" w:cs="Times New Roman"/>
                <w:b w:val="0"/>
                <w:bCs/>
                <w:szCs w:val="24"/>
              </w:rPr>
            </w:pPr>
            <w:r>
              <w:rPr>
                <w:rFonts w:hint="eastAsia" w:ascii="Times New Roman" w:hAnsi="Times New Roman" w:cs="Times New Roman"/>
                <w:b w:val="0"/>
                <w:bCs/>
                <w:szCs w:val="24"/>
                <w:lang w:eastAsia="zh-CN"/>
              </w:rPr>
              <w:t>（</w:t>
            </w:r>
            <w:r>
              <w:rPr>
                <w:rFonts w:hint="eastAsia" w:ascii="Times New Roman" w:hAnsi="Times New Roman" w:cs="Times New Roman"/>
                <w:b w:val="0"/>
                <w:bCs/>
                <w:szCs w:val="24"/>
                <w:lang w:val="en-US" w:eastAsia="zh-CN"/>
              </w:rPr>
              <w:t>3</w:t>
            </w:r>
            <w:r>
              <w:rPr>
                <w:rFonts w:hint="eastAsia" w:ascii="Times New Roman" w:hAnsi="Times New Roman" w:cs="Times New Roman"/>
                <w:b w:val="0"/>
                <w:bCs/>
                <w:szCs w:val="24"/>
                <w:lang w:eastAsia="zh-CN"/>
              </w:rPr>
              <w:t>）</w:t>
            </w:r>
            <w:r>
              <w:rPr>
                <w:rFonts w:hint="default" w:ascii="Times New Roman" w:hAnsi="Times New Roman" w:cs="Times New Roman"/>
                <w:b w:val="0"/>
                <w:bCs/>
                <w:szCs w:val="24"/>
              </w:rPr>
              <w:t>与《宿州市</w:t>
            </w:r>
            <w:r>
              <w:rPr>
                <w:rFonts w:hint="eastAsia" w:ascii="宋体" w:hAnsi="宋体" w:eastAsia="宋体" w:cs="宋体"/>
                <w:b w:val="0"/>
                <w:bCs/>
                <w:szCs w:val="24"/>
              </w:rPr>
              <w:t>“</w:t>
            </w:r>
            <w:r>
              <w:rPr>
                <w:rFonts w:hint="default" w:ascii="Times New Roman" w:hAnsi="Times New Roman" w:cs="Times New Roman"/>
                <w:b w:val="0"/>
                <w:bCs/>
                <w:szCs w:val="24"/>
              </w:rPr>
              <w:t>十四五</w:t>
            </w:r>
            <w:r>
              <w:rPr>
                <w:rFonts w:hint="eastAsia" w:ascii="宋体" w:hAnsi="宋体" w:eastAsia="宋体" w:cs="宋体"/>
                <w:b w:val="0"/>
                <w:bCs/>
                <w:szCs w:val="24"/>
              </w:rPr>
              <w:t>”</w:t>
            </w:r>
            <w:r>
              <w:rPr>
                <w:rFonts w:hint="default" w:ascii="Times New Roman" w:hAnsi="Times New Roman" w:cs="Times New Roman"/>
                <w:b w:val="0"/>
                <w:bCs/>
                <w:szCs w:val="24"/>
              </w:rPr>
              <w:t>生态环境保护规划》的符合性分析</w:t>
            </w:r>
          </w:p>
          <w:p w14:paraId="3244F986">
            <w:pPr>
              <w:keepNext w:val="0"/>
              <w:keepLines w:val="0"/>
              <w:pageBreakBefore w:val="0"/>
              <w:widowControl w:val="0"/>
              <w:kinsoku/>
              <w:wordWrap/>
              <w:overflowPunct/>
              <w:topLinePunct w:val="0"/>
              <w:bidi w:val="0"/>
              <w:adjustRightInd/>
              <w:snapToGrid/>
              <w:spacing w:line="360" w:lineRule="auto"/>
              <w:ind w:firstLine="482" w:firstLineChars="200"/>
              <w:jc w:val="center"/>
              <w:textAlignment w:val="auto"/>
              <w:rPr>
                <w:rFonts w:hint="eastAsia"/>
                <w:b/>
                <w:kern w:val="0"/>
                <w:sz w:val="24"/>
              </w:rPr>
            </w:pPr>
            <w:r>
              <w:rPr>
                <w:rFonts w:hint="eastAsia"/>
                <w:b/>
                <w:sz w:val="24"/>
              </w:rPr>
              <w:t>表</w:t>
            </w:r>
            <w:r>
              <w:rPr>
                <w:rFonts w:hint="eastAsia"/>
                <w:b/>
                <w:sz w:val="24"/>
                <w:lang w:val="en-US" w:eastAsia="zh-CN"/>
              </w:rPr>
              <w:t>1-4</w:t>
            </w:r>
            <w:r>
              <w:rPr>
                <w:rFonts w:hint="eastAsia"/>
                <w:b/>
                <w:kern w:val="0"/>
                <w:sz w:val="24"/>
              </w:rPr>
              <w:t xml:space="preserve">  与</w:t>
            </w:r>
            <w:r>
              <w:rPr>
                <w:rFonts w:hint="eastAsia" w:ascii="宋体" w:hAnsi="宋体" w:cs="宋体"/>
                <w:b/>
                <w:color w:val="000000"/>
                <w:sz w:val="24"/>
              </w:rPr>
              <w:t>《宿州市“十四五”生态环境保护规划》</w:t>
            </w:r>
            <w:r>
              <w:rPr>
                <w:rFonts w:hint="eastAsia"/>
                <w:b/>
                <w:kern w:val="0"/>
                <w:sz w:val="24"/>
              </w:rPr>
              <w:t>相符性分析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79"/>
              <w:gridCol w:w="3293"/>
              <w:gridCol w:w="1411"/>
              <w:gridCol w:w="1078"/>
            </w:tblGrid>
            <w:tr w14:paraId="0FD3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2" w:type="pct"/>
                  <w:noWrap w:val="0"/>
                  <w:vAlign w:val="center"/>
                </w:tcPr>
                <w:p w14:paraId="172A9C7C">
                  <w:pPr>
                    <w:jc w:val="center"/>
                    <w:rPr>
                      <w:b w:val="0"/>
                      <w:bCs w:val="0"/>
                      <w:color w:val="auto"/>
                      <w:szCs w:val="21"/>
                    </w:rPr>
                  </w:pPr>
                  <w:r>
                    <w:rPr>
                      <w:b w:val="0"/>
                      <w:bCs w:val="0"/>
                      <w:color w:val="auto"/>
                      <w:szCs w:val="21"/>
                    </w:rPr>
                    <w:t>序号</w:t>
                  </w:r>
                </w:p>
              </w:tc>
              <w:tc>
                <w:tcPr>
                  <w:tcW w:w="1026" w:type="pct"/>
                  <w:noWrap w:val="0"/>
                  <w:vAlign w:val="center"/>
                </w:tcPr>
                <w:p w14:paraId="19890001">
                  <w:pPr>
                    <w:jc w:val="center"/>
                    <w:rPr>
                      <w:b w:val="0"/>
                      <w:bCs w:val="0"/>
                      <w:color w:val="auto"/>
                      <w:szCs w:val="21"/>
                    </w:rPr>
                  </w:pPr>
                  <w:r>
                    <w:rPr>
                      <w:b w:val="0"/>
                      <w:bCs w:val="0"/>
                      <w:color w:val="auto"/>
                      <w:szCs w:val="21"/>
                    </w:rPr>
                    <w:t>政策名称</w:t>
                  </w:r>
                </w:p>
              </w:tc>
              <w:tc>
                <w:tcPr>
                  <w:tcW w:w="2012" w:type="pct"/>
                  <w:noWrap w:val="0"/>
                  <w:vAlign w:val="center"/>
                </w:tcPr>
                <w:p w14:paraId="22119E1C">
                  <w:pPr>
                    <w:jc w:val="center"/>
                    <w:rPr>
                      <w:b w:val="0"/>
                      <w:bCs w:val="0"/>
                      <w:color w:val="auto"/>
                      <w:szCs w:val="21"/>
                    </w:rPr>
                  </w:pPr>
                  <w:r>
                    <w:rPr>
                      <w:b w:val="0"/>
                      <w:bCs w:val="0"/>
                      <w:color w:val="auto"/>
                      <w:szCs w:val="21"/>
                    </w:rPr>
                    <w:t>政策相关内容要求</w:t>
                  </w:r>
                </w:p>
              </w:tc>
              <w:tc>
                <w:tcPr>
                  <w:tcW w:w="862" w:type="pct"/>
                  <w:noWrap w:val="0"/>
                  <w:vAlign w:val="center"/>
                </w:tcPr>
                <w:p w14:paraId="45AC10A2">
                  <w:pPr>
                    <w:jc w:val="center"/>
                    <w:rPr>
                      <w:b w:val="0"/>
                      <w:bCs w:val="0"/>
                      <w:color w:val="auto"/>
                      <w:szCs w:val="21"/>
                    </w:rPr>
                  </w:pPr>
                  <w:r>
                    <w:rPr>
                      <w:b w:val="0"/>
                      <w:bCs w:val="0"/>
                      <w:color w:val="auto"/>
                      <w:szCs w:val="21"/>
                    </w:rPr>
                    <w:t>相符性分析</w:t>
                  </w:r>
                </w:p>
              </w:tc>
              <w:tc>
                <w:tcPr>
                  <w:tcW w:w="658" w:type="pct"/>
                  <w:noWrap w:val="0"/>
                  <w:vAlign w:val="center"/>
                </w:tcPr>
                <w:p w14:paraId="1D818ABC">
                  <w:pPr>
                    <w:jc w:val="center"/>
                    <w:rPr>
                      <w:b w:val="0"/>
                      <w:bCs w:val="0"/>
                      <w:color w:val="auto"/>
                      <w:szCs w:val="21"/>
                    </w:rPr>
                  </w:pPr>
                  <w:r>
                    <w:rPr>
                      <w:b w:val="0"/>
                      <w:bCs w:val="0"/>
                      <w:color w:val="auto"/>
                      <w:szCs w:val="21"/>
                    </w:rPr>
                    <w:t>是否相符</w:t>
                  </w:r>
                </w:p>
              </w:tc>
            </w:tr>
            <w:tr w14:paraId="14B7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2" w:type="pct"/>
                  <w:noWrap w:val="0"/>
                  <w:vAlign w:val="center"/>
                </w:tcPr>
                <w:p w14:paraId="5DFAE94C">
                  <w:pPr>
                    <w:jc w:val="center"/>
                    <w:rPr>
                      <w:b w:val="0"/>
                      <w:bCs w:val="0"/>
                      <w:szCs w:val="21"/>
                    </w:rPr>
                  </w:pPr>
                  <w:r>
                    <w:rPr>
                      <w:rFonts w:hint="eastAsia"/>
                      <w:b w:val="0"/>
                      <w:bCs w:val="0"/>
                      <w:szCs w:val="21"/>
                    </w:rPr>
                    <w:t>1</w:t>
                  </w:r>
                </w:p>
              </w:tc>
              <w:tc>
                <w:tcPr>
                  <w:tcW w:w="1026" w:type="pct"/>
                  <w:noWrap w:val="0"/>
                  <w:vAlign w:val="center"/>
                </w:tcPr>
                <w:p w14:paraId="615240FD">
                  <w:pPr>
                    <w:jc w:val="center"/>
                    <w:rPr>
                      <w:b w:val="0"/>
                      <w:bCs w:val="0"/>
                      <w:szCs w:val="21"/>
                    </w:rPr>
                  </w:pPr>
                  <w:r>
                    <w:rPr>
                      <w:rFonts w:hint="eastAsia" w:ascii="宋体" w:hAnsi="宋体" w:cs="宋体"/>
                      <w:b w:val="0"/>
                      <w:bCs w:val="0"/>
                      <w:color w:val="000000"/>
                      <w:szCs w:val="21"/>
                    </w:rPr>
                    <w:t>《宿州市“十四五”生态环境保护规划》</w:t>
                  </w:r>
                </w:p>
              </w:tc>
              <w:tc>
                <w:tcPr>
                  <w:tcW w:w="2012" w:type="pct"/>
                  <w:noWrap w:val="0"/>
                  <w:vAlign w:val="center"/>
                </w:tcPr>
                <w:p w14:paraId="03A941ED">
                  <w:pPr>
                    <w:jc w:val="center"/>
                    <w:rPr>
                      <w:b w:val="0"/>
                      <w:bCs w:val="0"/>
                      <w:szCs w:val="21"/>
                    </w:rPr>
                  </w:pPr>
                  <w:r>
                    <w:rPr>
                      <w:rFonts w:hint="eastAsia"/>
                      <w:b w:val="0"/>
                      <w:bCs w:val="0"/>
                      <w:szCs w:val="21"/>
                    </w:rPr>
                    <w:t>监督固体废物产生单位和利用、处置单位建立规范环境管理制度和管理台账，严格落实固体废物污染防治责任。加强固体废物产生、利用和处置单位日常执法监管，开展固体废物排查整治行动，督促落实固体废物源头控制措施。实施固体废物非法贮存、倾倒和填埋情况专项排查，严厉打击违法违规行为。</w:t>
                  </w:r>
                </w:p>
              </w:tc>
              <w:tc>
                <w:tcPr>
                  <w:tcW w:w="862" w:type="pct"/>
                  <w:noWrap w:val="0"/>
                  <w:vAlign w:val="center"/>
                </w:tcPr>
                <w:p w14:paraId="53F8B839">
                  <w:pPr>
                    <w:jc w:val="center"/>
                    <w:rPr>
                      <w:b w:val="0"/>
                      <w:bCs w:val="0"/>
                      <w:szCs w:val="21"/>
                    </w:rPr>
                  </w:pPr>
                  <w:r>
                    <w:rPr>
                      <w:b w:val="0"/>
                      <w:bCs w:val="0"/>
                      <w:szCs w:val="21"/>
                    </w:rPr>
                    <w:t>本项目</w:t>
                  </w:r>
                  <w:r>
                    <w:rPr>
                      <w:rFonts w:hint="eastAsia"/>
                      <w:b w:val="0"/>
                      <w:bCs w:val="0"/>
                      <w:szCs w:val="21"/>
                    </w:rPr>
                    <w:t>为利用一般工业固废进行</w:t>
                  </w:r>
                  <w:r>
                    <w:rPr>
                      <w:rFonts w:hint="eastAsia"/>
                      <w:b w:val="0"/>
                      <w:bCs w:val="0"/>
                      <w:szCs w:val="21"/>
                      <w:lang w:eastAsia="zh-CN"/>
                    </w:rPr>
                    <w:t>固化土、回填土、绿化营养土、污泥颗粒</w:t>
                  </w:r>
                  <w:r>
                    <w:rPr>
                      <w:rFonts w:hint="eastAsia"/>
                      <w:b w:val="0"/>
                      <w:bCs w:val="0"/>
                      <w:szCs w:val="21"/>
                    </w:rPr>
                    <w:t>生产项目，减少资源浪费。</w:t>
                  </w:r>
                </w:p>
              </w:tc>
              <w:tc>
                <w:tcPr>
                  <w:tcW w:w="658" w:type="pct"/>
                  <w:noWrap w:val="0"/>
                  <w:vAlign w:val="center"/>
                </w:tcPr>
                <w:p w14:paraId="02D7733A">
                  <w:pPr>
                    <w:jc w:val="center"/>
                    <w:rPr>
                      <w:b w:val="0"/>
                      <w:bCs w:val="0"/>
                      <w:szCs w:val="21"/>
                    </w:rPr>
                  </w:pPr>
                  <w:r>
                    <w:rPr>
                      <w:b w:val="0"/>
                      <w:bCs w:val="0"/>
                      <w:szCs w:val="21"/>
                    </w:rPr>
                    <w:t>符合</w:t>
                  </w:r>
                </w:p>
              </w:tc>
            </w:tr>
          </w:tbl>
          <w:p w14:paraId="5DA73605">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480" w:firstLineChars="200"/>
              <w:textAlignment w:val="auto"/>
              <w:rPr>
                <w:rFonts w:hint="default" w:ascii="Times New Roman" w:hAnsi="Times New Roman" w:cs="Times New Roman"/>
                <w:b w:val="0"/>
                <w:bCs/>
                <w:color w:val="auto"/>
                <w:sz w:val="24"/>
                <w:szCs w:val="24"/>
              </w:rPr>
            </w:pPr>
            <w:r>
              <w:rPr>
                <w:rFonts w:hint="eastAsia"/>
                <w:color w:val="auto"/>
                <w:sz w:val="24"/>
                <w:szCs w:val="24"/>
                <w:lang w:val="en-US" w:eastAsia="zh-CN"/>
              </w:rPr>
              <w:t>（4）与</w:t>
            </w:r>
            <w:r>
              <w:rPr>
                <w:rFonts w:hint="default" w:ascii="Times New Roman" w:hAnsi="Times New Roman" w:cs="Times New Roman"/>
                <w:b w:val="0"/>
                <w:bCs/>
                <w:color w:val="auto"/>
                <w:sz w:val="24"/>
                <w:szCs w:val="24"/>
              </w:rPr>
              <w:t>《关于坚决遏制固体废物非法转移和倾倒进一步加强危险废物全过程监管的通知》的符合性分析</w:t>
            </w:r>
            <w:r>
              <w:rPr>
                <w:rFonts w:hint="eastAsia" w:cs="Times New Roman"/>
                <w:b w:val="0"/>
                <w:bCs/>
                <w:color w:val="auto"/>
                <w:sz w:val="24"/>
                <w:szCs w:val="24"/>
                <w:lang w:eastAsia="zh-CN"/>
              </w:rPr>
              <w:t>。</w:t>
            </w:r>
          </w:p>
          <w:p w14:paraId="59F6BCF3">
            <w:pPr>
              <w:pStyle w:val="14"/>
              <w:numPr>
                <w:ilvl w:val="0"/>
                <w:numId w:val="0"/>
              </w:numPr>
              <w:ind w:right="113" w:rightChars="0"/>
              <w:jc w:val="center"/>
              <w:rPr>
                <w:rFonts w:hint="default" w:eastAsia="宋体"/>
                <w:b/>
                <w:bCs/>
                <w:color w:val="auto"/>
                <w:lang w:val="en-US" w:eastAsia="zh-CN"/>
              </w:rPr>
            </w:pPr>
            <w:r>
              <w:rPr>
                <w:rFonts w:hint="eastAsia" w:ascii="Times New Roman" w:hAnsi="Times New Roman" w:eastAsia="宋体" w:cs="Times New Roman"/>
                <w:b/>
                <w:kern w:val="2"/>
                <w:sz w:val="24"/>
                <w:szCs w:val="24"/>
                <w:lang w:val="en-US" w:eastAsia="zh-CN" w:bidi="ar-SA"/>
              </w:rPr>
              <w:t>表1</w:t>
            </w:r>
            <w:r>
              <w:rPr>
                <w:rFonts w:hint="eastAsia" w:cs="Times New Roman"/>
                <w:b/>
                <w:kern w:val="2"/>
                <w:sz w:val="24"/>
                <w:szCs w:val="24"/>
                <w:lang w:val="en-US" w:eastAsia="zh-CN" w:bidi="ar-SA"/>
              </w:rPr>
              <w:t>-</w:t>
            </w:r>
            <w:r>
              <w:rPr>
                <w:rFonts w:hint="eastAsia" w:ascii="Times New Roman" w:hAnsi="Times New Roman" w:eastAsia="宋体" w:cs="Times New Roman"/>
                <w:b/>
                <w:kern w:val="2"/>
                <w:sz w:val="24"/>
                <w:szCs w:val="24"/>
                <w:lang w:val="en-US" w:eastAsia="zh-CN" w:bidi="ar-SA"/>
              </w:rPr>
              <w:t xml:space="preserve">5 </w:t>
            </w:r>
            <w:r>
              <w:rPr>
                <w:rFonts w:hint="eastAsia"/>
                <w:b/>
                <w:bCs/>
                <w:color w:val="auto"/>
                <w:lang w:val="en-US" w:eastAsia="zh-CN"/>
              </w:rPr>
              <w:t xml:space="preserve"> </w:t>
            </w:r>
            <w:r>
              <w:rPr>
                <w:rFonts w:hint="eastAsia"/>
                <w:b/>
                <w:bCs/>
                <w:color w:val="auto"/>
                <w:sz w:val="24"/>
                <w:szCs w:val="24"/>
                <w:lang w:val="en-US" w:eastAsia="zh-CN"/>
              </w:rPr>
              <w:t>与</w:t>
            </w:r>
            <w:r>
              <w:rPr>
                <w:rFonts w:hint="default" w:ascii="Times New Roman" w:hAnsi="Times New Roman" w:cs="Times New Roman"/>
                <w:b/>
                <w:bCs/>
                <w:color w:val="auto"/>
                <w:sz w:val="24"/>
                <w:szCs w:val="24"/>
              </w:rPr>
              <w:t>《关于坚决遏制固体废物非法转移和倾倒进一步加强危险废物全过程监管的通知》</w:t>
            </w:r>
            <w:r>
              <w:rPr>
                <w:rFonts w:hint="eastAsia"/>
                <w:b/>
                <w:bCs/>
                <w:color w:val="auto"/>
                <w:kern w:val="0"/>
                <w:sz w:val="24"/>
              </w:rPr>
              <w:t>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3290"/>
              <w:gridCol w:w="2963"/>
              <w:gridCol w:w="1041"/>
            </w:tblGrid>
            <w:tr w14:paraId="4457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38A922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 w:val="21"/>
                      <w:szCs w:val="21"/>
                    </w:rPr>
                    <w:t>序号</w:t>
                  </w:r>
                </w:p>
              </w:tc>
              <w:tc>
                <w:tcPr>
                  <w:tcW w:w="2010" w:type="pct"/>
                  <w:vAlign w:val="center"/>
                </w:tcPr>
                <w:p w14:paraId="1FECB4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关于坚决遏制固体废物非法转移和倾倒进一步加强危险废物全过程监管的通知</w:t>
                  </w:r>
                </w:p>
              </w:tc>
              <w:tc>
                <w:tcPr>
                  <w:tcW w:w="1810" w:type="pct"/>
                  <w:vAlign w:val="center"/>
                </w:tcPr>
                <w:p w14:paraId="7F3B78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 w:val="21"/>
                      <w:szCs w:val="21"/>
                    </w:rPr>
                    <w:t>项目情况</w:t>
                  </w:r>
                </w:p>
              </w:tc>
              <w:tc>
                <w:tcPr>
                  <w:tcW w:w="636" w:type="pct"/>
                  <w:vAlign w:val="center"/>
                </w:tcPr>
                <w:p w14:paraId="7B7F30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 w:val="21"/>
                      <w:szCs w:val="21"/>
                    </w:rPr>
                    <w:t>相符性</w:t>
                  </w:r>
                </w:p>
              </w:tc>
            </w:tr>
            <w:tr w14:paraId="4119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34BB7F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1</w:t>
                  </w:r>
                </w:p>
              </w:tc>
              <w:tc>
                <w:tcPr>
                  <w:tcW w:w="2010" w:type="pct"/>
                  <w:vAlign w:val="center"/>
                </w:tcPr>
                <w:p w14:paraId="310C0E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重点掌握跨省转移的主要固体废物类别、转移量及主要的接收地。对于最终处置去向明确的，抽查核实处置方式的合法性；对于最终处置去向不明确的，严格追查去向，依法追究企业主体责任。</w:t>
                  </w:r>
                </w:p>
              </w:tc>
              <w:tc>
                <w:tcPr>
                  <w:tcW w:w="1810" w:type="pct"/>
                  <w:vAlign w:val="center"/>
                </w:tcPr>
                <w:p w14:paraId="5D0837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本项目所利用的固废均来自于宿州市</w:t>
                  </w:r>
                  <w:r>
                    <w:rPr>
                      <w:rFonts w:hint="eastAsia" w:cs="Times New Roman"/>
                      <w:b w:val="0"/>
                      <w:bCs/>
                      <w:color w:val="auto"/>
                      <w:sz w:val="21"/>
                      <w:szCs w:val="21"/>
                      <w:vertAlign w:val="baseline"/>
                      <w:lang w:val="en-US" w:eastAsia="zh-CN"/>
                    </w:rPr>
                    <w:t>及淮北市</w:t>
                  </w:r>
                  <w:r>
                    <w:rPr>
                      <w:rFonts w:hint="eastAsia" w:ascii="Times New Roman" w:hAnsi="Times New Roman" w:cs="Times New Roman"/>
                      <w:b w:val="0"/>
                      <w:bCs/>
                      <w:color w:val="auto"/>
                      <w:sz w:val="21"/>
                      <w:szCs w:val="21"/>
                      <w:vertAlign w:val="baseline"/>
                      <w:lang w:val="en-US" w:eastAsia="zh-CN"/>
                    </w:rPr>
                    <w:t>辖区内，不存在跨省转移固废的情况。</w:t>
                  </w:r>
                </w:p>
              </w:tc>
              <w:tc>
                <w:tcPr>
                  <w:tcW w:w="636" w:type="pct"/>
                  <w:vAlign w:val="center"/>
                </w:tcPr>
                <w:p w14:paraId="1CBA1E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Cs w:val="21"/>
                    </w:rPr>
                    <w:t>相符</w:t>
                  </w:r>
                </w:p>
              </w:tc>
            </w:tr>
          </w:tbl>
          <w:p w14:paraId="4C2696BC">
            <w:pPr>
              <w:keepNext w:val="0"/>
              <w:keepLines w:val="0"/>
              <w:pageBreakBefore w:val="0"/>
              <w:widowControl w:val="0"/>
              <w:numPr>
                <w:ilvl w:val="0"/>
                <w:numId w:val="0"/>
              </w:numPr>
              <w:kinsoku/>
              <w:wordWrap/>
              <w:overflowPunct/>
              <w:topLinePunct w:val="0"/>
              <w:autoSpaceDE/>
              <w:autoSpaceDN/>
              <w:bidi w:val="0"/>
              <w:adjustRightInd w:val="0"/>
              <w:snapToGrid w:val="0"/>
              <w:spacing w:before="120" w:beforeLines="50" w:line="360" w:lineRule="auto"/>
              <w:ind w:leftChars="0"/>
              <w:textAlignment w:val="auto"/>
              <w:rPr>
                <w:rFonts w:hint="default" w:ascii="Times New Roman" w:hAnsi="Times New Roman" w:cs="Times New Roman"/>
                <w:b w:val="0"/>
                <w:bCs w:val="0"/>
                <w:color w:val="auto"/>
                <w:sz w:val="24"/>
                <w:szCs w:val="24"/>
              </w:rPr>
            </w:pPr>
            <w:r>
              <w:rPr>
                <w:rFonts w:hint="eastAsia"/>
                <w:b w:val="0"/>
                <w:bCs w:val="0"/>
                <w:color w:val="auto"/>
                <w:sz w:val="24"/>
                <w:lang w:val="en-US" w:eastAsia="zh-CN"/>
              </w:rPr>
              <w:t>（5）与</w:t>
            </w:r>
            <w:r>
              <w:rPr>
                <w:rFonts w:hint="default" w:ascii="Times New Roman" w:hAnsi="Times New Roman" w:cs="Times New Roman"/>
                <w:b w:val="0"/>
                <w:bCs w:val="0"/>
                <w:color w:val="auto"/>
                <w:sz w:val="24"/>
                <w:szCs w:val="24"/>
              </w:rPr>
              <w:t>《</w:t>
            </w:r>
            <w:r>
              <w:rPr>
                <w:rFonts w:hint="eastAsia"/>
                <w:b w:val="0"/>
                <w:bCs w:val="0"/>
                <w:color w:val="auto"/>
                <w:sz w:val="24"/>
                <w:lang w:val="en-US" w:eastAsia="zh-CN"/>
              </w:rPr>
              <w:t>关于“十四五”大宗固体废弃物综合利用的指导意见</w:t>
            </w:r>
            <w:r>
              <w:rPr>
                <w:rFonts w:hint="default" w:ascii="Times New Roman" w:hAnsi="Times New Roman" w:cs="Times New Roman"/>
                <w:b w:val="0"/>
                <w:bCs w:val="0"/>
                <w:color w:val="auto"/>
                <w:sz w:val="24"/>
                <w:szCs w:val="24"/>
              </w:rPr>
              <w:t>》的符合性分析</w:t>
            </w:r>
            <w:r>
              <w:rPr>
                <w:rFonts w:hint="eastAsia" w:cs="Times New Roman"/>
                <w:b w:val="0"/>
                <w:bCs w:val="0"/>
                <w:color w:val="auto"/>
                <w:sz w:val="24"/>
                <w:szCs w:val="24"/>
                <w:lang w:eastAsia="zh-CN"/>
              </w:rPr>
              <w:t>。</w:t>
            </w:r>
          </w:p>
          <w:p w14:paraId="4C62F78E">
            <w:pPr>
              <w:pStyle w:val="14"/>
              <w:numPr>
                <w:ilvl w:val="0"/>
                <w:numId w:val="0"/>
              </w:numPr>
              <w:ind w:right="113" w:rightChars="0"/>
              <w:jc w:val="center"/>
              <w:rPr>
                <w:rFonts w:hint="default" w:eastAsia="宋体"/>
                <w:b/>
                <w:bCs/>
                <w:color w:val="auto"/>
                <w:lang w:val="en-US" w:eastAsia="zh-CN"/>
              </w:rPr>
            </w:pPr>
            <w:r>
              <w:rPr>
                <w:rFonts w:hint="eastAsia" w:ascii="Times New Roman" w:hAnsi="Times New Roman" w:eastAsia="宋体" w:cs="Times New Roman"/>
                <w:b/>
                <w:kern w:val="2"/>
                <w:sz w:val="24"/>
                <w:szCs w:val="24"/>
                <w:lang w:val="en-US" w:eastAsia="zh-CN" w:bidi="ar-SA"/>
              </w:rPr>
              <w:t>表1</w:t>
            </w:r>
            <w:r>
              <w:rPr>
                <w:rFonts w:hint="eastAsia" w:cs="Times New Roman"/>
                <w:b/>
                <w:kern w:val="2"/>
                <w:sz w:val="24"/>
                <w:szCs w:val="24"/>
                <w:lang w:val="en-US" w:eastAsia="zh-CN" w:bidi="ar-SA"/>
              </w:rPr>
              <w:t>-</w:t>
            </w:r>
            <w:r>
              <w:rPr>
                <w:rFonts w:hint="eastAsia" w:ascii="Times New Roman" w:hAnsi="Times New Roman" w:eastAsia="宋体" w:cs="Times New Roman"/>
                <w:b/>
                <w:kern w:val="2"/>
                <w:sz w:val="24"/>
                <w:szCs w:val="24"/>
                <w:lang w:val="en-US" w:eastAsia="zh-CN" w:bidi="ar-SA"/>
              </w:rPr>
              <w:t>6</w:t>
            </w:r>
            <w:r>
              <w:rPr>
                <w:rFonts w:hint="eastAsia"/>
                <w:b/>
                <w:bCs/>
                <w:color w:val="auto"/>
                <w:lang w:val="en-US" w:eastAsia="zh-CN"/>
              </w:rPr>
              <w:t xml:space="preserve"> </w:t>
            </w:r>
            <w:r>
              <w:rPr>
                <w:rFonts w:hint="eastAsia"/>
                <w:b/>
                <w:bCs/>
                <w:color w:val="auto"/>
                <w:sz w:val="24"/>
                <w:lang w:val="en-US" w:eastAsia="zh-CN"/>
              </w:rPr>
              <w:t>与</w:t>
            </w:r>
            <w:r>
              <w:rPr>
                <w:rFonts w:hint="default" w:ascii="Times New Roman" w:hAnsi="Times New Roman" w:cs="Times New Roman"/>
                <w:b/>
                <w:bCs/>
                <w:color w:val="auto"/>
                <w:sz w:val="24"/>
                <w:szCs w:val="24"/>
              </w:rPr>
              <w:t>《</w:t>
            </w:r>
            <w:r>
              <w:rPr>
                <w:rFonts w:hint="eastAsia"/>
                <w:b/>
                <w:bCs/>
                <w:color w:val="auto"/>
                <w:sz w:val="24"/>
                <w:lang w:val="en-US" w:eastAsia="zh-CN"/>
              </w:rPr>
              <w:t>关于“十四五”大宗固体废弃物综合利用的指导意见</w:t>
            </w:r>
            <w:r>
              <w:rPr>
                <w:rFonts w:hint="default" w:ascii="Times New Roman" w:hAnsi="Times New Roman" w:cs="Times New Roman"/>
                <w:b/>
                <w:bCs/>
                <w:color w:val="auto"/>
                <w:sz w:val="24"/>
                <w:szCs w:val="24"/>
              </w:rPr>
              <w:t>》</w:t>
            </w:r>
            <w:r>
              <w:rPr>
                <w:rFonts w:hint="eastAsia"/>
                <w:b/>
                <w:bCs/>
                <w:color w:val="auto"/>
                <w:kern w:val="0"/>
                <w:sz w:val="24"/>
              </w:rPr>
              <w:t>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3605"/>
              <w:gridCol w:w="2648"/>
              <w:gridCol w:w="1041"/>
            </w:tblGrid>
            <w:tr w14:paraId="572D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2F5A78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 w:val="21"/>
                      <w:szCs w:val="21"/>
                    </w:rPr>
                    <w:t>序号</w:t>
                  </w:r>
                </w:p>
              </w:tc>
              <w:tc>
                <w:tcPr>
                  <w:tcW w:w="2203" w:type="pct"/>
                  <w:vAlign w:val="center"/>
                </w:tcPr>
                <w:p w14:paraId="08DC9D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关于“十四五”大宗固体废弃物综合利用的指导意见</w:t>
                  </w:r>
                </w:p>
              </w:tc>
              <w:tc>
                <w:tcPr>
                  <w:tcW w:w="1618" w:type="pct"/>
                  <w:vAlign w:val="center"/>
                </w:tcPr>
                <w:p w14:paraId="7D916F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 w:val="21"/>
                      <w:szCs w:val="21"/>
                    </w:rPr>
                    <w:t>项目情况</w:t>
                  </w:r>
                </w:p>
              </w:tc>
              <w:tc>
                <w:tcPr>
                  <w:tcW w:w="636" w:type="pct"/>
                  <w:vAlign w:val="center"/>
                </w:tcPr>
                <w:p w14:paraId="671D79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 w:val="21"/>
                      <w:szCs w:val="21"/>
                    </w:rPr>
                    <w:t>相符性</w:t>
                  </w:r>
                </w:p>
              </w:tc>
            </w:tr>
            <w:tr w14:paraId="4EA5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317E5E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1</w:t>
                  </w:r>
                </w:p>
              </w:tc>
              <w:tc>
                <w:tcPr>
                  <w:tcW w:w="2203" w:type="pct"/>
                  <w:vAlign w:val="center"/>
                </w:tcPr>
                <w:p w14:paraId="6C0828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到2025年，煤矸石、</w:t>
                  </w:r>
                  <w:r>
                    <w:rPr>
                      <w:rFonts w:hint="eastAsia" w:cs="Times New Roman"/>
                      <w:b w:val="0"/>
                      <w:bCs/>
                      <w:color w:val="auto"/>
                      <w:sz w:val="21"/>
                      <w:szCs w:val="21"/>
                      <w:vertAlign w:val="baseline"/>
                      <w:lang w:val="en-US" w:eastAsia="zh-CN"/>
                    </w:rPr>
                    <w:t>草木灰</w:t>
                  </w:r>
                  <w:r>
                    <w:rPr>
                      <w:rFonts w:hint="eastAsia" w:ascii="Times New Roman" w:hAnsi="Times New Roman" w:cs="Times New Roman"/>
                      <w:b w:val="0"/>
                      <w:bCs/>
                      <w:color w:val="auto"/>
                      <w:sz w:val="21"/>
                      <w:szCs w:val="21"/>
                      <w:vertAlign w:val="baseline"/>
                      <w:lang w:val="en-US" w:eastAsia="zh-CN"/>
                    </w:rPr>
                    <w:t>、尾矿（共伴生矿）、冶炼渣、工业副产石膏、建筑垃圾、农作物秸秆等大宗固废的综合利用能力显著提升，利用规模不断扩大，新增大宗固废综合利用率达到60%，存量大宗固废有序减少。</w:t>
                  </w:r>
                </w:p>
              </w:tc>
              <w:tc>
                <w:tcPr>
                  <w:tcW w:w="1618" w:type="pct"/>
                  <w:vAlign w:val="center"/>
                </w:tcPr>
                <w:p w14:paraId="2C52A1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本项目利用矿渣污泥等一般固废作原料。</w:t>
                  </w:r>
                </w:p>
              </w:tc>
              <w:tc>
                <w:tcPr>
                  <w:tcW w:w="636" w:type="pct"/>
                  <w:vAlign w:val="center"/>
                </w:tcPr>
                <w:p w14:paraId="582B1C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color w:val="auto"/>
                      <w:szCs w:val="21"/>
                    </w:rPr>
                  </w:pPr>
                  <w:r>
                    <w:rPr>
                      <w:color w:val="auto"/>
                      <w:szCs w:val="21"/>
                    </w:rPr>
                    <w:t>相符</w:t>
                  </w:r>
                </w:p>
              </w:tc>
            </w:tr>
            <w:tr w14:paraId="2FEA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2" w:type="pct"/>
                  <w:vAlign w:val="center"/>
                </w:tcPr>
                <w:p w14:paraId="61F28B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w:t>
                  </w:r>
                </w:p>
              </w:tc>
              <w:tc>
                <w:tcPr>
                  <w:tcW w:w="2203" w:type="pct"/>
                  <w:vAlign w:val="center"/>
                </w:tcPr>
                <w:p w14:paraId="2EAA42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加强大宗固废贮存及处置管理，强化主体责任，推动建设符合有关国家标准的贮存设施，实现安全分类存放，杜绝混排混堆。统筹兼顾大宗固废增量消纳和存量治理，加大重点流域和重点区域大宗固废的综合整治力度，健全环保长效监督管理制度。</w:t>
                  </w:r>
                </w:p>
              </w:tc>
              <w:tc>
                <w:tcPr>
                  <w:tcW w:w="1618" w:type="pct"/>
                  <w:vAlign w:val="center"/>
                </w:tcPr>
                <w:p w14:paraId="4BD456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本项目设置污泥暂存区用于污泥的储存，设置一般固废暂存区用于炉渣、尾矿等的储存。项目做到了固废的分类存放。</w:t>
                  </w:r>
                </w:p>
              </w:tc>
              <w:tc>
                <w:tcPr>
                  <w:tcW w:w="636" w:type="pct"/>
                  <w:vAlign w:val="center"/>
                </w:tcPr>
                <w:p w14:paraId="7B261E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cs="Times New Roman"/>
                      <w:b w:val="0"/>
                      <w:bCs/>
                      <w:color w:val="auto"/>
                      <w:sz w:val="21"/>
                      <w:szCs w:val="21"/>
                      <w:vertAlign w:val="baseline"/>
                      <w:lang w:val="en-US" w:eastAsia="zh-CN"/>
                    </w:rPr>
                  </w:pPr>
                  <w:r>
                    <w:rPr>
                      <w:color w:val="auto"/>
                      <w:szCs w:val="21"/>
                    </w:rPr>
                    <w:t>相符</w:t>
                  </w:r>
                </w:p>
              </w:tc>
            </w:tr>
          </w:tbl>
          <w:p w14:paraId="57B45E64">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textAlignment w:val="auto"/>
              <w:rPr>
                <w:b/>
                <w:bCs/>
                <w:sz w:val="24"/>
              </w:rPr>
            </w:pPr>
            <w:r>
              <w:rPr>
                <w:rFonts w:hint="eastAsia"/>
                <w:b/>
                <w:bCs/>
                <w:sz w:val="24"/>
                <w:lang w:val="en-US" w:eastAsia="zh-CN"/>
              </w:rPr>
              <w:t>4</w:t>
            </w:r>
            <w:r>
              <w:rPr>
                <w:rFonts w:hint="eastAsia"/>
                <w:b/>
                <w:bCs/>
                <w:sz w:val="24"/>
              </w:rPr>
              <w:t>、</w:t>
            </w:r>
            <w:r>
              <w:rPr>
                <w:b/>
                <w:bCs/>
                <w:sz w:val="24"/>
              </w:rPr>
              <w:t>环境相容性分析</w:t>
            </w:r>
          </w:p>
          <w:p w14:paraId="62BDACB1">
            <w:pPr>
              <w:adjustRightInd w:val="0"/>
              <w:snapToGrid w:val="0"/>
              <w:spacing w:line="360" w:lineRule="auto"/>
              <w:ind w:firstLine="480" w:firstLineChars="200"/>
              <w:rPr>
                <w:sz w:val="24"/>
              </w:rPr>
            </w:pPr>
            <w:r>
              <w:rPr>
                <w:sz w:val="24"/>
              </w:rPr>
              <w:t>（1）选址合理性</w:t>
            </w:r>
          </w:p>
          <w:p w14:paraId="415B06C4">
            <w:pPr>
              <w:adjustRightInd w:val="0"/>
              <w:snapToGrid w:val="0"/>
              <w:spacing w:line="360" w:lineRule="auto"/>
              <w:ind w:firstLine="480" w:firstLineChars="200"/>
              <w:rPr>
                <w:sz w:val="24"/>
              </w:rPr>
            </w:pPr>
            <w:r>
              <w:rPr>
                <w:rFonts w:hint="eastAsia"/>
                <w:b w:val="0"/>
                <w:bCs/>
                <w:color w:val="auto"/>
                <w:sz w:val="24"/>
              </w:rPr>
              <w:t>本项目所在地位于安徽省宿州市埇桥区桃园镇浍光村。</w:t>
            </w:r>
            <w:r>
              <w:rPr>
                <w:rFonts w:hint="eastAsia"/>
                <w:color w:val="auto"/>
                <w:kern w:val="0"/>
                <w:sz w:val="24"/>
              </w:rPr>
              <w:t>安徽</w:t>
            </w:r>
            <w:r>
              <w:rPr>
                <w:rFonts w:hint="eastAsia"/>
                <w:color w:val="auto"/>
                <w:kern w:val="0"/>
                <w:sz w:val="24"/>
                <w:lang w:eastAsia="zh-CN"/>
              </w:rPr>
              <w:t>省</w:t>
            </w:r>
            <w:r>
              <w:rPr>
                <w:rFonts w:hint="eastAsia"/>
                <w:color w:val="auto"/>
                <w:kern w:val="0"/>
                <w:sz w:val="24"/>
              </w:rPr>
              <w:t>红跃环保科技有限公司</w:t>
            </w:r>
            <w:r>
              <w:rPr>
                <w:rFonts w:hint="eastAsia"/>
                <w:color w:val="auto"/>
                <w:kern w:val="0"/>
                <w:sz w:val="24"/>
                <w:lang w:eastAsia="zh-CN"/>
              </w:rPr>
              <w:t>宿州分公司</w:t>
            </w:r>
            <w:r>
              <w:rPr>
                <w:rFonts w:hint="eastAsia"/>
                <w:b w:val="0"/>
                <w:bCs/>
                <w:color w:val="auto"/>
                <w:sz w:val="24"/>
              </w:rPr>
              <w:t>已取得</w:t>
            </w:r>
            <w:r>
              <w:rPr>
                <w:rFonts w:hint="eastAsia"/>
                <w:b w:val="0"/>
                <w:bCs/>
                <w:color w:val="auto"/>
                <w:sz w:val="24"/>
                <w:lang w:eastAsia="zh-CN"/>
              </w:rPr>
              <w:t>宿州市埇桥区桃园镇自然资源和规划所</w:t>
            </w:r>
            <w:r>
              <w:rPr>
                <w:rFonts w:hint="eastAsia"/>
                <w:b w:val="0"/>
                <w:bCs/>
                <w:color w:val="auto"/>
                <w:sz w:val="24"/>
              </w:rPr>
              <w:t>出具证明（详见附件</w:t>
            </w:r>
            <w:r>
              <w:rPr>
                <w:rFonts w:hint="eastAsia"/>
                <w:b w:val="0"/>
                <w:bCs/>
                <w:color w:val="auto"/>
                <w:sz w:val="24"/>
                <w:lang w:val="en-US" w:eastAsia="zh-CN"/>
              </w:rPr>
              <w:t>5.1及5.2</w:t>
            </w:r>
            <w:r>
              <w:rPr>
                <w:rFonts w:hint="eastAsia"/>
                <w:b w:val="0"/>
                <w:bCs/>
                <w:color w:val="auto"/>
                <w:sz w:val="24"/>
              </w:rPr>
              <w:t>）</w:t>
            </w:r>
            <w:r>
              <w:rPr>
                <w:rFonts w:hint="eastAsia"/>
                <w:b w:val="0"/>
                <w:bCs/>
                <w:color w:val="auto"/>
                <w:sz w:val="24"/>
                <w:lang w:eastAsia="zh-CN"/>
              </w:rPr>
              <w:t>：兹有安徽省红跃环保科技有限公司宿州分公司投资建设的环保道路建养材料项目，位于安徽省宿州市埇桥区桃园镇烩光村原东坪乡政府旧址，该项目占地面积</w:t>
            </w:r>
            <w:r>
              <w:rPr>
                <w:rFonts w:hint="eastAsia"/>
                <w:b w:val="0"/>
                <w:bCs/>
                <w:color w:val="auto"/>
                <w:sz w:val="24"/>
                <w:lang w:val="en-US" w:eastAsia="zh-CN"/>
              </w:rPr>
              <w:t>2000平方米</w:t>
            </w:r>
            <w:r>
              <w:rPr>
                <w:rFonts w:hint="eastAsia"/>
                <w:b w:val="0"/>
                <w:bCs/>
                <w:color w:val="auto"/>
                <w:sz w:val="24"/>
                <w:lang w:eastAsia="zh-CN"/>
              </w:rPr>
              <w:t>。该地块（三调）土地利用总体现状为</w:t>
            </w:r>
            <w:r>
              <w:rPr>
                <w:rFonts w:hint="eastAsia"/>
                <w:b w:val="0"/>
                <w:bCs/>
                <w:color w:val="auto"/>
                <w:sz w:val="24"/>
                <w:lang w:val="en-US" w:eastAsia="zh-CN"/>
              </w:rPr>
              <w:t>0601（工业用地），不占用基本农田，不在宿州市生态红线范围内。</w:t>
            </w:r>
            <w:r>
              <w:rPr>
                <w:rFonts w:hint="eastAsia"/>
                <w:b w:val="0"/>
                <w:bCs/>
                <w:color w:val="auto"/>
                <w:sz w:val="24"/>
              </w:rPr>
              <w:t>因此，项目选址基本合理。</w:t>
            </w:r>
            <w:r>
              <w:rPr>
                <w:color w:val="auto"/>
                <w:sz w:val="24"/>
              </w:rPr>
              <w:t>建设项目厂址</w:t>
            </w:r>
            <w:r>
              <w:rPr>
                <w:sz w:val="24"/>
              </w:rPr>
              <w:t>地理位置优越，交通便利，评价范围内无自然保护区、风景名胜区、其他著名旅游景点和文物古迹等需要特殊保护的环境敏感对象，从环境保护角度而言，项目选址合适、可行。</w:t>
            </w:r>
          </w:p>
          <w:p w14:paraId="2FE32681">
            <w:pPr>
              <w:pStyle w:val="33"/>
              <w:numPr>
                <w:ilvl w:val="0"/>
                <w:numId w:val="1"/>
              </w:numPr>
              <w:spacing w:line="360" w:lineRule="auto"/>
              <w:ind w:firstLine="480" w:firstLineChars="200"/>
            </w:pPr>
            <w:r>
              <w:t>环境相容性</w:t>
            </w:r>
          </w:p>
          <w:p w14:paraId="7CE387F6">
            <w:pPr>
              <w:snapToGrid w:val="0"/>
              <w:spacing w:line="360" w:lineRule="auto"/>
              <w:ind w:firstLine="480" w:firstLineChars="200"/>
              <w:rPr>
                <w:color w:val="auto"/>
                <w:sz w:val="24"/>
              </w:rPr>
            </w:pPr>
            <w:r>
              <w:rPr>
                <w:color w:val="auto"/>
                <w:sz w:val="24"/>
              </w:rPr>
              <w:t>项目位于安徽省宿州市埇桥区桃园镇</w:t>
            </w:r>
            <w:r>
              <w:rPr>
                <w:rFonts w:hint="eastAsia"/>
                <w:color w:val="auto"/>
                <w:sz w:val="24"/>
              </w:rPr>
              <w:t>浍光村</w:t>
            </w:r>
            <w:r>
              <w:rPr>
                <w:color w:val="auto"/>
                <w:sz w:val="24"/>
              </w:rPr>
              <w:t>，</w:t>
            </w:r>
            <w:r>
              <w:rPr>
                <w:rFonts w:hint="eastAsia"/>
                <w:color w:val="auto"/>
                <w:sz w:val="24"/>
                <w:lang w:eastAsia="zh-CN"/>
              </w:rPr>
              <w:t>项目东北侧为水泥制品生产工厂，东南西北侧</w:t>
            </w:r>
            <w:r>
              <w:rPr>
                <w:rFonts w:hint="eastAsia"/>
                <w:color w:val="auto"/>
                <w:sz w:val="24"/>
              </w:rPr>
              <w:t>均为农田。周边环境对项目产生影响较小</w:t>
            </w:r>
            <w:r>
              <w:rPr>
                <w:color w:val="auto"/>
                <w:sz w:val="24"/>
              </w:rPr>
              <w:t>。本项目属于</w:t>
            </w:r>
            <w:r>
              <w:rPr>
                <w:rFonts w:hint="eastAsia" w:ascii="Times New Roman" w:hAnsi="Times New Roman" w:eastAsia="宋体" w:cs="Times New Roman"/>
                <w:sz w:val="24"/>
                <w:szCs w:val="24"/>
                <w:u w:val="none" w:color="auto"/>
                <w:lang w:eastAsia="zh-CN"/>
              </w:rPr>
              <w:t>固体废物治理</w:t>
            </w:r>
            <w:r>
              <w:rPr>
                <w:color w:val="auto"/>
                <w:sz w:val="24"/>
              </w:rPr>
              <w:t>项目，项目运营期产生的各类污染物</w:t>
            </w:r>
            <w:r>
              <w:rPr>
                <w:color w:val="auto"/>
                <w:sz w:val="24"/>
                <w:lang w:val="zh-CN"/>
              </w:rPr>
              <w:t>在采取相应处理处置措施后，均可做到综合利用或无害化处置，不会对区域环境造成不利影响。</w:t>
            </w:r>
            <w:r>
              <w:rPr>
                <w:color w:val="auto"/>
                <w:sz w:val="24"/>
              </w:rPr>
              <w:t>因此，本项目建设对周边环境影响较小。</w:t>
            </w:r>
          </w:p>
          <w:p w14:paraId="4A767483">
            <w:pPr>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综上所述，本项目与周边环境相容。</w:t>
            </w:r>
          </w:p>
          <w:p w14:paraId="51BB41AC">
            <w:pPr>
              <w:pStyle w:val="35"/>
              <w:rPr>
                <w:rFonts w:ascii="宋体" w:hAnsi="宋体" w:cs="宋体"/>
                <w:color w:val="auto"/>
              </w:rPr>
            </w:pPr>
          </w:p>
          <w:p w14:paraId="7E29CABB">
            <w:pPr>
              <w:pStyle w:val="35"/>
              <w:rPr>
                <w:rFonts w:ascii="宋体" w:hAnsi="宋体" w:cs="宋体"/>
                <w:color w:val="auto"/>
              </w:rPr>
            </w:pPr>
          </w:p>
          <w:p w14:paraId="106DAD45">
            <w:pPr>
              <w:pStyle w:val="35"/>
              <w:rPr>
                <w:rFonts w:ascii="宋体" w:hAnsi="宋体" w:cs="宋体"/>
                <w:color w:val="auto"/>
              </w:rPr>
            </w:pPr>
          </w:p>
          <w:p w14:paraId="0F350CEB">
            <w:pPr>
              <w:pStyle w:val="35"/>
              <w:rPr>
                <w:rFonts w:ascii="宋体" w:hAnsi="宋体" w:cs="宋体"/>
                <w:color w:val="auto"/>
              </w:rPr>
            </w:pPr>
          </w:p>
          <w:p w14:paraId="330D67EC">
            <w:pPr>
              <w:pStyle w:val="35"/>
              <w:rPr>
                <w:rFonts w:ascii="宋体" w:hAnsi="宋体" w:cs="宋体"/>
                <w:color w:val="auto"/>
              </w:rPr>
            </w:pPr>
          </w:p>
          <w:p w14:paraId="4F478A31">
            <w:pPr>
              <w:pStyle w:val="35"/>
              <w:rPr>
                <w:rFonts w:ascii="宋体" w:hAnsi="宋体" w:cs="宋体"/>
                <w:color w:val="auto"/>
              </w:rPr>
            </w:pPr>
          </w:p>
          <w:p w14:paraId="12ABF79E">
            <w:pPr>
              <w:pStyle w:val="35"/>
              <w:rPr>
                <w:rFonts w:ascii="宋体" w:hAnsi="宋体" w:cs="宋体"/>
                <w:color w:val="auto"/>
              </w:rPr>
            </w:pPr>
          </w:p>
          <w:p w14:paraId="1B45ED75">
            <w:pPr>
              <w:pStyle w:val="35"/>
              <w:rPr>
                <w:rFonts w:ascii="宋体" w:hAnsi="宋体" w:cs="宋体"/>
                <w:color w:val="auto"/>
              </w:rPr>
            </w:pPr>
          </w:p>
          <w:p w14:paraId="32EC5153">
            <w:pPr>
              <w:pStyle w:val="35"/>
              <w:rPr>
                <w:rFonts w:ascii="宋体" w:hAnsi="宋体" w:cs="宋体"/>
                <w:color w:val="auto"/>
              </w:rPr>
            </w:pPr>
          </w:p>
        </w:tc>
      </w:tr>
    </w:tbl>
    <w:p w14:paraId="2118BCB4">
      <w:pPr>
        <w:tabs>
          <w:tab w:val="left" w:pos="558"/>
        </w:tabs>
        <w:jc w:val="left"/>
        <w:rPr>
          <w:kern w:val="0"/>
        </w:rPr>
        <w:sectPr>
          <w:footerReference r:id="rId3" w:type="default"/>
          <w:pgSz w:w="11906" w:h="16838"/>
          <w:pgMar w:top="1440" w:right="1803" w:bottom="1440" w:left="1803" w:header="851" w:footer="1077" w:gutter="0"/>
          <w:cols w:space="720" w:num="1"/>
          <w:docGrid w:linePitch="312" w:charSpace="0"/>
        </w:sectPr>
      </w:pPr>
    </w:p>
    <w:p w14:paraId="51AE9A4C">
      <w:pPr>
        <w:pStyle w:val="24"/>
        <w:snapToGrid w:val="0"/>
        <w:spacing w:before="0" w:beforeAutospacing="0" w:after="0" w:afterAutospacing="0" w:line="360" w:lineRule="auto"/>
        <w:jc w:val="center"/>
        <w:outlineLvl w:val="0"/>
        <w:rPr>
          <w:rFonts w:cs="宋体"/>
          <w:b/>
          <w:bCs/>
          <w:sz w:val="30"/>
          <w:szCs w:val="30"/>
        </w:rPr>
      </w:pPr>
      <w:r>
        <w:rPr>
          <w:rFonts w:hint="eastAsia" w:cs="宋体"/>
          <w:b/>
          <w:bCs/>
          <w:sz w:val="30"/>
          <w:szCs w:val="30"/>
        </w:rPr>
        <w:t>二、建设项目工程分析</w:t>
      </w:r>
    </w:p>
    <w:tbl>
      <w:tblPr>
        <w:tblStyle w:val="27"/>
        <w:tblW w:w="899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39"/>
        <w:gridCol w:w="341"/>
        <w:gridCol w:w="227"/>
        <w:gridCol w:w="8184"/>
      </w:tblGrid>
      <w:tr w14:paraId="4E1264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138" w:hRule="atLeast"/>
          <w:jc w:val="center"/>
        </w:trPr>
        <w:tc>
          <w:tcPr>
            <w:tcW w:w="565" w:type="dxa"/>
            <w:gridSpan w:val="2"/>
            <w:tcBorders>
              <w:tl2br w:val="nil"/>
              <w:tr2bl w:val="nil"/>
            </w:tcBorders>
            <w:vAlign w:val="center"/>
          </w:tcPr>
          <w:p w14:paraId="12575B71">
            <w:pPr>
              <w:pStyle w:val="24"/>
              <w:adjustRightInd w:val="0"/>
              <w:snapToGrid w:val="0"/>
              <w:spacing w:before="0" w:beforeAutospacing="0" w:after="0" w:afterAutospacing="0"/>
              <w:jc w:val="center"/>
              <w:rPr>
                <w:rFonts w:cs="宋体"/>
                <w:szCs w:val="24"/>
              </w:rPr>
            </w:pPr>
            <w:r>
              <w:rPr>
                <w:rFonts w:hint="eastAsia" w:cs="宋体"/>
                <w:szCs w:val="24"/>
              </w:rPr>
              <w:t>建</w:t>
            </w:r>
          </w:p>
          <w:p w14:paraId="7FB6A5C2">
            <w:pPr>
              <w:pStyle w:val="24"/>
              <w:adjustRightInd w:val="0"/>
              <w:snapToGrid w:val="0"/>
              <w:spacing w:before="0" w:beforeAutospacing="0" w:after="0" w:afterAutospacing="0"/>
              <w:jc w:val="center"/>
              <w:rPr>
                <w:rFonts w:cs="宋体"/>
                <w:szCs w:val="24"/>
              </w:rPr>
            </w:pPr>
            <w:r>
              <w:rPr>
                <w:rFonts w:hint="eastAsia" w:cs="宋体"/>
                <w:szCs w:val="24"/>
              </w:rPr>
              <w:t>设</w:t>
            </w:r>
          </w:p>
          <w:p w14:paraId="69D5FEA8">
            <w:pPr>
              <w:pStyle w:val="24"/>
              <w:adjustRightInd w:val="0"/>
              <w:snapToGrid w:val="0"/>
              <w:spacing w:before="0" w:beforeAutospacing="0" w:after="0" w:afterAutospacing="0"/>
              <w:jc w:val="center"/>
              <w:rPr>
                <w:rFonts w:cs="宋体"/>
                <w:szCs w:val="24"/>
              </w:rPr>
            </w:pPr>
            <w:r>
              <w:rPr>
                <w:rFonts w:hint="eastAsia" w:cs="宋体"/>
                <w:szCs w:val="24"/>
              </w:rPr>
              <w:t>内</w:t>
            </w:r>
          </w:p>
          <w:p w14:paraId="13FFC301">
            <w:pPr>
              <w:pStyle w:val="24"/>
              <w:adjustRightInd w:val="0"/>
              <w:snapToGrid w:val="0"/>
              <w:spacing w:before="0" w:beforeAutospacing="0" w:after="0" w:afterAutospacing="0"/>
              <w:jc w:val="center"/>
              <w:rPr>
                <w:rFonts w:cs="宋体"/>
                <w:szCs w:val="24"/>
              </w:rPr>
            </w:pPr>
            <w:r>
              <w:rPr>
                <w:rFonts w:hint="eastAsia" w:cs="宋体"/>
                <w:szCs w:val="24"/>
              </w:rPr>
              <w:t>容</w:t>
            </w:r>
          </w:p>
        </w:tc>
        <w:tc>
          <w:tcPr>
            <w:tcW w:w="8196" w:type="dxa"/>
            <w:gridSpan w:val="2"/>
            <w:tcBorders>
              <w:tl2br w:val="nil"/>
              <w:tr2bl w:val="nil"/>
            </w:tcBorders>
          </w:tcPr>
          <w:p w14:paraId="5B0A46DB">
            <w:pPr>
              <w:adjustRightInd w:val="0"/>
              <w:snapToGrid w:val="0"/>
              <w:spacing w:before="120" w:beforeLines="50" w:line="360" w:lineRule="auto"/>
              <w:rPr>
                <w:b/>
                <w:bCs/>
                <w:sz w:val="24"/>
              </w:rPr>
            </w:pPr>
            <w:r>
              <w:rPr>
                <w:rFonts w:hint="eastAsia"/>
                <w:b/>
                <w:bCs/>
                <w:sz w:val="24"/>
              </w:rPr>
              <w:t>1、项目建设基本情况</w:t>
            </w:r>
          </w:p>
          <w:p w14:paraId="30EB9D1B">
            <w:pPr>
              <w:adjustRightInd w:val="0"/>
              <w:snapToGrid w:val="0"/>
              <w:spacing w:line="360" w:lineRule="auto"/>
              <w:ind w:firstLine="480" w:firstLineChars="200"/>
              <w:rPr>
                <w:kern w:val="0"/>
                <w:sz w:val="24"/>
              </w:rPr>
            </w:pPr>
            <w:r>
              <w:rPr>
                <w:rFonts w:hint="eastAsia"/>
                <w:kern w:val="0"/>
                <w:sz w:val="24"/>
              </w:rPr>
              <w:t>（1）项目由来</w:t>
            </w:r>
          </w:p>
          <w:p w14:paraId="41AD2A5B">
            <w:pPr>
              <w:adjustRightInd w:val="0"/>
              <w:snapToGrid w:val="0"/>
              <w:spacing w:line="360" w:lineRule="auto"/>
              <w:ind w:firstLine="480" w:firstLineChars="200"/>
              <w:rPr>
                <w:sz w:val="24"/>
              </w:rPr>
            </w:pPr>
            <w:r>
              <w:rPr>
                <w:rFonts w:hint="eastAsia"/>
                <w:color w:val="000000" w:themeColor="text1"/>
                <w:kern w:val="0"/>
                <w:sz w:val="24"/>
                <w14:textFill>
                  <w14:solidFill>
                    <w14:schemeClr w14:val="tx1"/>
                  </w14:solidFill>
                </w14:textFill>
              </w:rPr>
              <w:t>安徽</w:t>
            </w:r>
            <w:r>
              <w:rPr>
                <w:rFonts w:hint="eastAsia"/>
                <w:color w:val="000000" w:themeColor="text1"/>
                <w:kern w:val="0"/>
                <w:sz w:val="24"/>
                <w:lang w:eastAsia="zh-CN"/>
                <w14:textFill>
                  <w14:solidFill>
                    <w14:schemeClr w14:val="tx1"/>
                  </w14:solidFill>
                </w14:textFill>
              </w:rPr>
              <w:t>省</w:t>
            </w:r>
            <w:r>
              <w:rPr>
                <w:rFonts w:hint="eastAsia"/>
                <w:color w:val="000000" w:themeColor="text1"/>
                <w:kern w:val="0"/>
                <w:sz w:val="24"/>
                <w14:textFill>
                  <w14:solidFill>
                    <w14:schemeClr w14:val="tx1"/>
                  </w14:solidFill>
                </w14:textFill>
              </w:rPr>
              <w:t>红跃环保科技有限公司</w:t>
            </w:r>
            <w:r>
              <w:rPr>
                <w:rFonts w:hint="eastAsia"/>
                <w:color w:val="000000" w:themeColor="text1"/>
                <w:kern w:val="0"/>
                <w:sz w:val="24"/>
                <w:lang w:eastAsia="zh-CN"/>
                <w14:textFill>
                  <w14:solidFill>
                    <w14:schemeClr w14:val="tx1"/>
                  </w14:solidFill>
                </w14:textFill>
              </w:rPr>
              <w:t>宿州分公司</w:t>
            </w:r>
            <w:r>
              <w:rPr>
                <w:kern w:val="0"/>
                <w:sz w:val="24"/>
              </w:rPr>
              <w:t>成立于20</w:t>
            </w:r>
            <w:r>
              <w:rPr>
                <w:rFonts w:hint="eastAsia"/>
                <w:kern w:val="0"/>
                <w:sz w:val="24"/>
                <w:lang w:val="en-US" w:eastAsia="zh-CN"/>
              </w:rPr>
              <w:t>22</w:t>
            </w:r>
            <w:r>
              <w:rPr>
                <w:kern w:val="0"/>
                <w:sz w:val="24"/>
              </w:rPr>
              <w:t>年</w:t>
            </w:r>
            <w:r>
              <w:rPr>
                <w:rFonts w:hint="eastAsia"/>
                <w:kern w:val="0"/>
                <w:sz w:val="24"/>
                <w:lang w:val="en-US" w:eastAsia="zh-CN"/>
              </w:rPr>
              <w:t>11</w:t>
            </w:r>
            <w:r>
              <w:rPr>
                <w:kern w:val="0"/>
                <w:sz w:val="24"/>
              </w:rPr>
              <w:t>月</w:t>
            </w:r>
            <w:r>
              <w:rPr>
                <w:rFonts w:hint="eastAsia"/>
                <w:kern w:val="0"/>
                <w:sz w:val="24"/>
                <w:lang w:val="en-US" w:eastAsia="zh-CN"/>
              </w:rPr>
              <w:t>15</w:t>
            </w:r>
            <w:r>
              <w:rPr>
                <w:kern w:val="0"/>
                <w:sz w:val="24"/>
              </w:rPr>
              <w:t>日，</w:t>
            </w:r>
            <w:r>
              <w:rPr>
                <w:sz w:val="24"/>
              </w:rPr>
              <w:t>选址位于安徽省宿州市埇桥区桃园镇</w:t>
            </w:r>
            <w:r>
              <w:rPr>
                <w:rFonts w:hint="eastAsia"/>
                <w:sz w:val="24"/>
              </w:rPr>
              <w:t>浍光村</w:t>
            </w:r>
            <w:r>
              <w:rPr>
                <w:sz w:val="24"/>
              </w:rPr>
              <w:t>。20</w:t>
            </w:r>
            <w:r>
              <w:rPr>
                <w:rFonts w:hint="eastAsia"/>
                <w:sz w:val="24"/>
                <w:lang w:val="en-US" w:eastAsia="zh-CN"/>
              </w:rPr>
              <w:t>23</w:t>
            </w:r>
            <w:r>
              <w:rPr>
                <w:sz w:val="24"/>
              </w:rPr>
              <w:t>年，</w:t>
            </w:r>
            <w:r>
              <w:rPr>
                <w:rFonts w:hint="eastAsia"/>
                <w:color w:val="000000" w:themeColor="text1"/>
                <w:kern w:val="0"/>
                <w:sz w:val="24"/>
                <w14:textFill>
                  <w14:solidFill>
                    <w14:schemeClr w14:val="tx1"/>
                  </w14:solidFill>
                </w14:textFill>
              </w:rPr>
              <w:t>安徽</w:t>
            </w:r>
            <w:r>
              <w:rPr>
                <w:rFonts w:hint="eastAsia"/>
                <w:color w:val="000000" w:themeColor="text1"/>
                <w:kern w:val="0"/>
                <w:sz w:val="24"/>
                <w:lang w:eastAsia="zh-CN"/>
                <w14:textFill>
                  <w14:solidFill>
                    <w14:schemeClr w14:val="tx1"/>
                  </w14:solidFill>
                </w14:textFill>
              </w:rPr>
              <w:t>省</w:t>
            </w:r>
            <w:r>
              <w:rPr>
                <w:rFonts w:hint="eastAsia"/>
                <w:color w:val="000000" w:themeColor="text1"/>
                <w:kern w:val="0"/>
                <w:sz w:val="24"/>
                <w14:textFill>
                  <w14:solidFill>
                    <w14:schemeClr w14:val="tx1"/>
                  </w14:solidFill>
                </w14:textFill>
              </w:rPr>
              <w:t>红跃环保科技有限公司</w:t>
            </w:r>
            <w:r>
              <w:rPr>
                <w:rFonts w:hint="eastAsia"/>
                <w:color w:val="000000" w:themeColor="text1"/>
                <w:kern w:val="0"/>
                <w:sz w:val="24"/>
                <w:lang w:eastAsia="zh-CN"/>
                <w14:textFill>
                  <w14:solidFill>
                    <w14:schemeClr w14:val="tx1"/>
                  </w14:solidFill>
                </w14:textFill>
              </w:rPr>
              <w:t>宿州分公司</w:t>
            </w:r>
            <w:r>
              <w:rPr>
                <w:sz w:val="24"/>
              </w:rPr>
              <w:t>投资</w:t>
            </w:r>
            <w:r>
              <w:rPr>
                <w:rFonts w:hint="eastAsia"/>
                <w:sz w:val="24"/>
                <w:lang w:val="en-US" w:eastAsia="zh-CN"/>
              </w:rPr>
              <w:t>2000</w:t>
            </w:r>
            <w:r>
              <w:rPr>
                <w:sz w:val="24"/>
              </w:rPr>
              <w:t>万元建设</w:t>
            </w:r>
            <w:r>
              <w:rPr>
                <w:rFonts w:hint="eastAsia" w:ascii="宋体" w:hAnsi="宋体" w:cs="宋体"/>
                <w:sz w:val="24"/>
              </w:rPr>
              <w:t>“</w:t>
            </w:r>
            <w:r>
              <w:rPr>
                <w:rFonts w:hint="eastAsia"/>
                <w:color w:val="000000" w:themeColor="text1"/>
                <w:kern w:val="0"/>
                <w:sz w:val="24"/>
                <w14:textFill>
                  <w14:solidFill>
                    <w14:schemeClr w14:val="tx1"/>
                  </w14:solidFill>
                </w14:textFill>
              </w:rPr>
              <w:t>道路建养材料生产项目</w:t>
            </w:r>
            <w:r>
              <w:rPr>
                <w:rFonts w:hint="eastAsia" w:ascii="宋体" w:hAnsi="宋体" w:cs="宋体"/>
                <w:sz w:val="24"/>
              </w:rPr>
              <w:t>”</w:t>
            </w:r>
            <w:r>
              <w:rPr>
                <w:sz w:val="24"/>
              </w:rPr>
              <w:t>。</w:t>
            </w:r>
            <w:r>
              <w:rPr>
                <w:rFonts w:hint="eastAsia"/>
                <w:sz w:val="24"/>
              </w:rPr>
              <w:t>项</w:t>
            </w:r>
            <w:r>
              <w:rPr>
                <w:rFonts w:hint="eastAsia"/>
                <w:sz w:val="24"/>
                <w:highlight w:val="none"/>
              </w:rPr>
              <w:t>目于</w:t>
            </w:r>
            <w:r>
              <w:rPr>
                <w:sz w:val="24"/>
                <w:highlight w:val="none"/>
              </w:rPr>
              <w:t>20</w:t>
            </w:r>
            <w:r>
              <w:rPr>
                <w:rFonts w:hint="eastAsia"/>
                <w:sz w:val="24"/>
                <w:highlight w:val="none"/>
                <w:lang w:val="en-US" w:eastAsia="zh-CN"/>
              </w:rPr>
              <w:t>24</w:t>
            </w:r>
            <w:r>
              <w:rPr>
                <w:sz w:val="24"/>
                <w:highlight w:val="none"/>
              </w:rPr>
              <w:t>年</w:t>
            </w:r>
            <w:r>
              <w:rPr>
                <w:rFonts w:hint="eastAsia"/>
                <w:sz w:val="24"/>
                <w:highlight w:val="none"/>
                <w:lang w:val="en-US" w:eastAsia="zh-CN"/>
              </w:rPr>
              <w:t>1</w:t>
            </w:r>
            <w:r>
              <w:rPr>
                <w:sz w:val="24"/>
                <w:highlight w:val="none"/>
              </w:rPr>
              <w:t>月</w:t>
            </w:r>
            <w:r>
              <w:rPr>
                <w:rFonts w:hint="eastAsia"/>
                <w:sz w:val="24"/>
                <w:highlight w:val="none"/>
                <w:lang w:val="en-US" w:eastAsia="zh-CN"/>
              </w:rPr>
              <w:t>9日</w:t>
            </w:r>
            <w:r>
              <w:rPr>
                <w:rFonts w:hint="eastAsia" w:ascii="宋体" w:hAnsi="宋体" w:cs="宋体"/>
                <w:sz w:val="24"/>
                <w:highlight w:val="none"/>
              </w:rPr>
              <w:t>取得</w:t>
            </w:r>
            <w:r>
              <w:rPr>
                <w:rFonts w:hint="eastAsia" w:ascii="宋体" w:hAnsi="宋体" w:cs="宋体"/>
                <w:sz w:val="24"/>
                <w:highlight w:val="none"/>
                <w:lang w:eastAsia="zh-CN"/>
              </w:rPr>
              <w:t>宿州市埇桥区生态环境分局埇环建字</w:t>
            </w:r>
            <w:r>
              <w:rPr>
                <w:rFonts w:hint="eastAsia" w:ascii="宋体" w:hAnsi="宋体" w:cs="宋体"/>
                <w:sz w:val="24"/>
                <w:highlight w:val="none"/>
              </w:rPr>
              <w:t>【</w:t>
            </w:r>
            <w:r>
              <w:rPr>
                <w:sz w:val="24"/>
                <w:highlight w:val="none"/>
              </w:rPr>
              <w:t>20</w:t>
            </w:r>
            <w:r>
              <w:rPr>
                <w:rFonts w:hint="eastAsia"/>
                <w:sz w:val="24"/>
                <w:highlight w:val="none"/>
                <w:lang w:val="en-US" w:eastAsia="zh-CN"/>
              </w:rPr>
              <w:t>24</w:t>
            </w:r>
            <w:r>
              <w:rPr>
                <w:sz w:val="24"/>
                <w:highlight w:val="none"/>
              </w:rPr>
              <w:t>】</w:t>
            </w:r>
            <w:r>
              <w:rPr>
                <w:rFonts w:hint="eastAsia"/>
                <w:sz w:val="24"/>
                <w:highlight w:val="none"/>
                <w:lang w:val="en-US" w:eastAsia="zh-CN"/>
              </w:rPr>
              <w:t>3</w:t>
            </w:r>
            <w:r>
              <w:rPr>
                <w:sz w:val="24"/>
                <w:highlight w:val="none"/>
              </w:rPr>
              <w:t>号</w:t>
            </w:r>
            <w:r>
              <w:rPr>
                <w:rFonts w:hint="eastAsia"/>
                <w:kern w:val="0"/>
                <w:sz w:val="24"/>
                <w:highlight w:val="none"/>
                <w:lang w:bidi="ar"/>
              </w:rPr>
              <w:t>《</w:t>
            </w:r>
            <w:r>
              <w:rPr>
                <w:rFonts w:hint="eastAsia"/>
                <w:kern w:val="0"/>
                <w:sz w:val="24"/>
                <w:highlight w:val="none"/>
                <w:lang w:val="en-US" w:eastAsia="zh-CN" w:bidi="ar"/>
              </w:rPr>
              <w:t>关于对</w:t>
            </w:r>
            <w:r>
              <w:rPr>
                <w:rFonts w:hint="eastAsia"/>
                <w:kern w:val="0"/>
                <w:sz w:val="24"/>
                <w:lang w:val="en-US" w:eastAsia="zh-CN" w:bidi="ar"/>
              </w:rPr>
              <w:t>安徽省红跃环保科技有限公司宿州分公司道路建养材料生产项目（阶段性）环境影响报告表的批复</w:t>
            </w:r>
            <w:r>
              <w:rPr>
                <w:rFonts w:hint="eastAsia"/>
                <w:kern w:val="0"/>
                <w:sz w:val="24"/>
                <w:lang w:bidi="ar"/>
              </w:rPr>
              <w:t>》，</w:t>
            </w:r>
            <w:r>
              <w:rPr>
                <w:rFonts w:hint="default" w:ascii="Times New Roman" w:hAnsi="Times New Roman" w:eastAsia="宋体" w:cs="Times New Roman"/>
                <w:sz w:val="24"/>
                <w:lang w:eastAsia="zh-CN"/>
              </w:rPr>
              <w:t>202</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lang w:eastAsia="zh-CN"/>
              </w:rPr>
              <w:t>年</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月</w:t>
            </w:r>
            <w:r>
              <w:rPr>
                <w:rFonts w:hint="default" w:ascii="Times New Roman" w:hAnsi="Times New Roman" w:eastAsia="宋体" w:cs="Times New Roman"/>
                <w:sz w:val="24"/>
                <w:lang w:val="en-US" w:eastAsia="zh-CN"/>
              </w:rPr>
              <w:t>28</w:t>
            </w:r>
            <w:r>
              <w:rPr>
                <w:rFonts w:hint="default" w:ascii="Times New Roman" w:hAnsi="Times New Roman" w:eastAsia="宋体" w:cs="Times New Roman"/>
                <w:sz w:val="24"/>
                <w:lang w:eastAsia="zh-CN"/>
              </w:rPr>
              <w:t>日</w:t>
            </w:r>
            <w:r>
              <w:rPr>
                <w:rFonts w:hint="default" w:ascii="宋体" w:hAnsi="宋体" w:eastAsia="宋体" w:cs="宋体"/>
                <w:sz w:val="24"/>
                <w:lang w:eastAsia="zh-CN"/>
              </w:rPr>
              <w:t>取得《</w:t>
            </w:r>
            <w:r>
              <w:rPr>
                <w:rFonts w:hint="eastAsia" w:ascii="宋体" w:hAnsi="宋体" w:eastAsia="宋体" w:cs="宋体"/>
                <w:sz w:val="24"/>
                <w:lang w:val="en-US" w:eastAsia="zh-CN"/>
              </w:rPr>
              <w:t>道路建养材料生产项目</w:t>
            </w:r>
            <w:r>
              <w:rPr>
                <w:rFonts w:hint="default" w:ascii="宋体" w:hAnsi="宋体" w:eastAsia="宋体" w:cs="宋体"/>
                <w:sz w:val="24"/>
                <w:lang w:eastAsia="zh-CN"/>
              </w:rPr>
              <w:t>》（阶段性）验收备案（项目因设备未完全安装、产能未达到环评设计要求故进行阶段性验收</w:t>
            </w:r>
            <w:r>
              <w:rPr>
                <w:rFonts w:hint="eastAsia" w:ascii="宋体" w:hAnsi="宋体" w:eastAsia="宋体" w:cs="宋体"/>
                <w:sz w:val="24"/>
                <w:lang w:eastAsia="zh-CN"/>
              </w:rPr>
              <w:t>，环评设计三条生产线，实际建设一条生产线</w:t>
            </w:r>
            <w:r>
              <w:rPr>
                <w:rFonts w:hint="default" w:ascii="宋体" w:hAnsi="宋体" w:eastAsia="宋体" w:cs="宋体"/>
                <w:sz w:val="24"/>
                <w:lang w:eastAsia="zh-CN"/>
              </w:rPr>
              <w:t>）</w:t>
            </w:r>
            <w:r>
              <w:rPr>
                <w:rFonts w:hint="eastAsia" w:ascii="宋体" w:hAnsi="宋体" w:eastAsia="宋体" w:cs="宋体"/>
                <w:sz w:val="24"/>
                <w:lang w:eastAsia="zh-CN"/>
              </w:rPr>
              <w:t>。</w:t>
            </w:r>
          </w:p>
          <w:p w14:paraId="68436265">
            <w:pPr>
              <w:adjustRightInd w:val="0"/>
              <w:snapToGrid w:val="0"/>
              <w:spacing w:line="360" w:lineRule="auto"/>
              <w:ind w:firstLine="480" w:firstLineChars="200"/>
              <w:rPr>
                <w:sz w:val="24"/>
              </w:rPr>
            </w:pPr>
            <w:r>
              <w:rPr>
                <w:rStyle w:val="49"/>
                <w:rFonts w:hint="eastAsia" w:ascii="Times New Roman" w:hAnsi="Times New Roman" w:cs="Times New Roman"/>
                <w:color w:val="auto"/>
                <w:lang w:bidi="ar"/>
              </w:rPr>
              <w:t>由于市场原因</w:t>
            </w:r>
            <w:r>
              <w:rPr>
                <w:rStyle w:val="46"/>
                <w:rFonts w:hint="default" w:ascii="Times New Roman" w:hAnsi="Times New Roman"/>
                <w:color w:val="auto"/>
                <w:lang w:bidi="ar"/>
              </w:rPr>
              <w:t>，计划</w:t>
            </w:r>
            <w:r>
              <w:rPr>
                <w:rStyle w:val="46"/>
                <w:rFonts w:ascii="Times New Roman" w:hAnsi="Times New Roman"/>
                <w:color w:val="auto"/>
                <w:lang w:bidi="ar"/>
              </w:rPr>
              <w:t>在</w:t>
            </w:r>
            <w:r>
              <w:rPr>
                <w:rFonts w:hint="eastAsia"/>
                <w:color w:val="000000" w:themeColor="text1"/>
                <w:kern w:val="0"/>
                <w:sz w:val="24"/>
                <w14:textFill>
                  <w14:solidFill>
                    <w14:schemeClr w14:val="tx1"/>
                  </w14:solidFill>
                </w14:textFill>
              </w:rPr>
              <w:t>安徽</w:t>
            </w:r>
            <w:r>
              <w:rPr>
                <w:rFonts w:hint="eastAsia"/>
                <w:color w:val="000000" w:themeColor="text1"/>
                <w:kern w:val="0"/>
                <w:sz w:val="24"/>
                <w:lang w:eastAsia="zh-CN"/>
                <w14:textFill>
                  <w14:solidFill>
                    <w14:schemeClr w14:val="tx1"/>
                  </w14:solidFill>
                </w14:textFill>
              </w:rPr>
              <w:t>省</w:t>
            </w:r>
            <w:r>
              <w:rPr>
                <w:rFonts w:hint="eastAsia"/>
                <w:color w:val="000000" w:themeColor="text1"/>
                <w:kern w:val="0"/>
                <w:sz w:val="24"/>
                <w14:textFill>
                  <w14:solidFill>
                    <w14:schemeClr w14:val="tx1"/>
                  </w14:solidFill>
                </w14:textFill>
              </w:rPr>
              <w:t>红跃环保科技有限公司</w:t>
            </w:r>
            <w:r>
              <w:rPr>
                <w:rFonts w:hint="eastAsia"/>
                <w:color w:val="000000" w:themeColor="text1"/>
                <w:kern w:val="0"/>
                <w:sz w:val="24"/>
                <w:lang w:eastAsia="zh-CN"/>
                <w14:textFill>
                  <w14:solidFill>
                    <w14:schemeClr w14:val="tx1"/>
                  </w14:solidFill>
                </w14:textFill>
              </w:rPr>
              <w:t>宿州分公司</w:t>
            </w:r>
            <w:r>
              <w:rPr>
                <w:rFonts w:hint="eastAsia"/>
                <w:kern w:val="0"/>
                <w:sz w:val="24"/>
              </w:rPr>
              <w:t>内</w:t>
            </w:r>
            <w:r>
              <w:rPr>
                <w:rStyle w:val="46"/>
                <w:rFonts w:hint="default" w:ascii="Times New Roman" w:hAnsi="Times New Roman"/>
                <w:color w:val="auto"/>
                <w:lang w:bidi="ar"/>
              </w:rPr>
              <w:t>投资</w:t>
            </w:r>
            <w:r>
              <w:rPr>
                <w:rFonts w:hint="eastAsia"/>
                <w:sz w:val="24"/>
                <w:lang w:val="en-US" w:eastAsia="zh-CN"/>
              </w:rPr>
              <w:t>700</w:t>
            </w:r>
            <w:r>
              <w:rPr>
                <w:rStyle w:val="46"/>
                <w:rFonts w:hint="default" w:ascii="Times New Roman" w:hAnsi="Times New Roman"/>
                <w:color w:val="auto"/>
                <w:lang w:bidi="ar"/>
              </w:rPr>
              <w:t>万</w:t>
            </w:r>
            <w:r>
              <w:rPr>
                <w:sz w:val="24"/>
              </w:rPr>
              <w:t>建设</w:t>
            </w:r>
            <w:r>
              <w:rPr>
                <w:rFonts w:hint="eastAsia" w:ascii="宋体" w:hAnsi="宋体" w:cs="宋体"/>
                <w:sz w:val="24"/>
              </w:rPr>
              <w:t>“</w:t>
            </w:r>
            <w:r>
              <w:rPr>
                <w:rFonts w:hint="eastAsia"/>
                <w:color w:val="000000" w:themeColor="text1"/>
                <w:kern w:val="0"/>
                <w:sz w:val="24"/>
                <w14:textFill>
                  <w14:solidFill>
                    <w14:schemeClr w14:val="tx1"/>
                  </w14:solidFill>
                </w14:textFill>
              </w:rPr>
              <w:t>安徽</w:t>
            </w:r>
            <w:r>
              <w:rPr>
                <w:rFonts w:hint="eastAsia"/>
                <w:color w:val="000000" w:themeColor="text1"/>
                <w:kern w:val="0"/>
                <w:sz w:val="24"/>
                <w:lang w:eastAsia="zh-CN"/>
                <w14:textFill>
                  <w14:solidFill>
                    <w14:schemeClr w14:val="tx1"/>
                  </w14:solidFill>
                </w14:textFill>
              </w:rPr>
              <w:t>省</w:t>
            </w:r>
            <w:r>
              <w:rPr>
                <w:rFonts w:hint="eastAsia"/>
                <w:color w:val="000000" w:themeColor="text1"/>
                <w:kern w:val="0"/>
                <w:sz w:val="24"/>
                <w14:textFill>
                  <w14:solidFill>
                    <w14:schemeClr w14:val="tx1"/>
                  </w14:solidFill>
                </w14:textFill>
              </w:rPr>
              <w:t>红跃环保科技有限公司</w:t>
            </w:r>
            <w:r>
              <w:rPr>
                <w:rFonts w:hint="eastAsia"/>
                <w:color w:val="000000" w:themeColor="text1"/>
                <w:kern w:val="0"/>
                <w:sz w:val="24"/>
                <w:lang w:eastAsia="zh-CN"/>
                <w14:textFill>
                  <w14:solidFill>
                    <w14:schemeClr w14:val="tx1"/>
                  </w14:solidFill>
                </w14:textFill>
              </w:rPr>
              <w:t>宿州分公司</w:t>
            </w:r>
            <w:r>
              <w:rPr>
                <w:rFonts w:hint="eastAsia" w:ascii="Times New Roman" w:hAnsi="Times New Roman" w:cs="Times New Roman"/>
                <w:sz w:val="24"/>
                <w:lang w:eastAsia="zh-CN"/>
              </w:rPr>
              <w:t>建养材料技术改造项目</w:t>
            </w:r>
            <w:r>
              <w:rPr>
                <w:rFonts w:hint="eastAsia" w:ascii="宋体" w:hAnsi="宋体" w:cs="宋体"/>
                <w:sz w:val="24"/>
              </w:rPr>
              <w:t>”</w:t>
            </w:r>
            <w:r>
              <w:rPr>
                <w:rStyle w:val="46"/>
                <w:rFonts w:hint="default" w:ascii="Times New Roman" w:hAnsi="Times New Roman"/>
                <w:color w:val="auto"/>
                <w:lang w:bidi="ar"/>
              </w:rPr>
              <w:t>，</w:t>
            </w:r>
            <w:r>
              <w:rPr>
                <w:rStyle w:val="46"/>
                <w:color w:val="auto"/>
                <w:lang w:bidi="ar"/>
              </w:rPr>
              <w:t>项目</w:t>
            </w:r>
            <w:r>
              <w:rPr>
                <w:rFonts w:hint="eastAsia"/>
                <w:sz w:val="24"/>
                <w:lang w:eastAsia="zh-CN"/>
              </w:rPr>
              <w:t>不新增</w:t>
            </w:r>
            <w:r>
              <w:rPr>
                <w:rFonts w:hint="eastAsia"/>
                <w:sz w:val="24"/>
              </w:rPr>
              <w:t>建筑面积，</w:t>
            </w:r>
            <w:r>
              <w:rPr>
                <w:sz w:val="24"/>
              </w:rPr>
              <w:t>购置</w:t>
            </w:r>
            <w:r>
              <w:rPr>
                <w:rFonts w:hint="eastAsia"/>
                <w:sz w:val="24"/>
                <w:lang w:eastAsia="zh-CN"/>
              </w:rPr>
              <w:t>上料机、两仓配料斗、搅拌机、粉碎机、分筛机</w:t>
            </w:r>
            <w:r>
              <w:rPr>
                <w:sz w:val="24"/>
              </w:rPr>
              <w:t>等设备，</w:t>
            </w:r>
            <w:r>
              <w:rPr>
                <w:rFonts w:hint="eastAsia"/>
                <w:sz w:val="24"/>
              </w:rPr>
              <w:t>配套建设</w:t>
            </w:r>
            <w:r>
              <w:rPr>
                <w:sz w:val="24"/>
              </w:rPr>
              <w:t>供电、供水、环卫等公辅工程。</w:t>
            </w:r>
          </w:p>
          <w:p w14:paraId="05E8FFE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（2）环评报告类别确定</w:t>
            </w:r>
          </w:p>
          <w:p w14:paraId="78D91F2D">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根据《中华人民共和国环境保护法》、《中华人民共和国环境影响评价法》、《建设项目环境影响评价分类管理名录（2021 年版）》（生态环境部令第16号）中的有关规定，本项目属于“</w:t>
            </w:r>
            <w:r>
              <w:rPr>
                <w:rFonts w:hint="eastAsia" w:ascii="Times New Roman" w:hAnsi="Times New Roman" w:eastAsia="宋体" w:cs="Times New Roman"/>
                <w:color w:val="auto"/>
                <w:sz w:val="24"/>
                <w:szCs w:val="24"/>
                <w:highlight w:val="none"/>
                <w:lang w:val="en-US" w:eastAsia="zh-CN"/>
              </w:rPr>
              <w:t>“四十七、生态保护和环境治理业-一般工业固体废物（含污水处理污泥）、建筑施工废弃物处置及综合利用”中“其他”</w:t>
            </w:r>
            <w:r>
              <w:rPr>
                <w:color w:val="000000" w:themeColor="text1"/>
                <w:sz w:val="24"/>
                <w14:textFill>
                  <w14:solidFill>
                    <w14:schemeClr w14:val="tx1"/>
                  </w14:solidFill>
                </w14:textFill>
              </w:rPr>
              <w:t>，应</w:t>
            </w:r>
            <w:r>
              <w:rPr>
                <w:rFonts w:hint="eastAsia"/>
                <w:color w:val="000000" w:themeColor="text1"/>
                <w:sz w:val="24"/>
                <w14:textFill>
                  <w14:solidFill>
                    <w14:schemeClr w14:val="tx1"/>
                  </w14:solidFill>
                </w14:textFill>
              </w:rPr>
              <w:t>当编制环境影响报告表。</w:t>
            </w:r>
          </w:p>
          <w:p w14:paraId="57FBBF63">
            <w:pPr>
              <w:widowControl/>
              <w:spacing w:line="360" w:lineRule="auto"/>
              <w:jc w:val="center"/>
              <w:rPr>
                <w:rFonts w:ascii="宋体" w:hAnsi="宋体" w:cs="宋体"/>
                <w:b/>
                <w:bCs/>
                <w:color w:val="000000" w:themeColor="text1"/>
                <w:kern w:val="0"/>
                <w:sz w:val="24"/>
                <w:lang w:bidi="ar"/>
                <w14:textFill>
                  <w14:solidFill>
                    <w14:schemeClr w14:val="tx1"/>
                  </w14:solidFill>
                </w14:textFill>
              </w:rPr>
            </w:pPr>
            <w:r>
              <w:rPr>
                <w:rFonts w:hint="eastAsia"/>
                <w:b/>
                <w:bCs/>
                <w:color w:val="000000" w:themeColor="text1"/>
                <w:sz w:val="24"/>
                <w14:textFill>
                  <w14:solidFill>
                    <w14:schemeClr w14:val="tx1"/>
                  </w14:solidFill>
                </w14:textFill>
              </w:rPr>
              <w:t>表2</w:t>
            </w:r>
            <w:r>
              <w:rPr>
                <w:rFonts w:hint="eastAsia"/>
                <w:b/>
                <w:bCs/>
                <w:color w:val="000000" w:themeColor="text1"/>
                <w:sz w:val="24"/>
                <w:lang w:val="en-US" w:eastAsia="zh-CN"/>
                <w14:textFill>
                  <w14:solidFill>
                    <w14:schemeClr w14:val="tx1"/>
                  </w14:solidFill>
                </w14:textFill>
              </w:rPr>
              <w:t>-</w:t>
            </w:r>
            <w:r>
              <w:rPr>
                <w:rFonts w:hint="eastAsia"/>
                <w:b/>
                <w:bCs/>
                <w:color w:val="000000" w:themeColor="text1"/>
                <w:sz w:val="24"/>
                <w14:textFill>
                  <w14:solidFill>
                    <w14:schemeClr w14:val="tx1"/>
                  </w14:solidFill>
                </w14:textFill>
              </w:rPr>
              <w:t xml:space="preserve">1 </w:t>
            </w:r>
            <w:r>
              <w:rPr>
                <w:rFonts w:hint="eastAsia" w:ascii="宋体" w:hAnsi="宋体" w:cs="宋体"/>
                <w:b/>
                <w:bCs/>
                <w:color w:val="000000" w:themeColor="text1"/>
                <w:kern w:val="0"/>
                <w:sz w:val="24"/>
                <w:lang w:bidi="ar"/>
                <w14:textFill>
                  <w14:solidFill>
                    <w14:schemeClr w14:val="tx1"/>
                  </w14:solidFill>
                </w14:textFill>
              </w:rPr>
              <w:t>环评类别对照表</w:t>
            </w:r>
          </w:p>
          <w:tbl>
            <w:tblPr>
              <w:tblStyle w:val="28"/>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685"/>
              <w:gridCol w:w="2385"/>
              <w:gridCol w:w="1379"/>
              <w:gridCol w:w="876"/>
              <w:gridCol w:w="1206"/>
            </w:tblGrid>
            <w:tr w14:paraId="6B0C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9" w:type="dxa"/>
                  <w:gridSpan w:val="2"/>
                  <w:vMerge w:val="restart"/>
                  <w:vAlign w:val="center"/>
                </w:tcPr>
                <w:p w14:paraId="50A7E28D">
                  <w:pPr>
                    <w:jc w:val="center"/>
                    <w:rPr>
                      <w:sz w:val="21"/>
                      <w:szCs w:val="21"/>
                    </w:rPr>
                  </w:pPr>
                  <w:r>
                    <w:rPr>
                      <w:sz w:val="21"/>
                      <w:szCs w:val="21"/>
                    </w:rPr>
                    <w:t>项目类别</w:t>
                  </w:r>
                </w:p>
                <w:p w14:paraId="062002E3">
                  <w:pPr>
                    <w:pStyle w:val="2"/>
                    <w:spacing w:after="0"/>
                    <w:ind w:left="0" w:leftChars="0" w:firstLine="0"/>
                    <w:jc w:val="center"/>
                    <w:rPr>
                      <w:sz w:val="21"/>
                      <w:szCs w:val="21"/>
                    </w:rPr>
                  </w:pPr>
                  <w:r>
                    <w:rPr>
                      <w:sz w:val="21"/>
                      <w:szCs w:val="21"/>
                    </w:rPr>
                    <w:t>环评类别</w:t>
                  </w:r>
                </w:p>
              </w:tc>
              <w:tc>
                <w:tcPr>
                  <w:tcW w:w="4640" w:type="dxa"/>
                  <w:gridSpan w:val="3"/>
                  <w:vAlign w:val="center"/>
                </w:tcPr>
                <w:p w14:paraId="33F8E5D2">
                  <w:pPr>
                    <w:pStyle w:val="2"/>
                    <w:spacing w:after="0"/>
                    <w:ind w:left="0" w:leftChars="0" w:firstLine="0"/>
                    <w:jc w:val="center"/>
                    <w:rPr>
                      <w:sz w:val="21"/>
                      <w:szCs w:val="21"/>
                    </w:rPr>
                  </w:pPr>
                  <w:r>
                    <w:rPr>
                      <w:sz w:val="21"/>
                      <w:szCs w:val="21"/>
                    </w:rPr>
                    <w:t>环境影响评价类别</w:t>
                  </w:r>
                </w:p>
              </w:tc>
              <w:tc>
                <w:tcPr>
                  <w:tcW w:w="1206" w:type="dxa"/>
                  <w:vMerge w:val="restart"/>
                  <w:vAlign w:val="center"/>
                </w:tcPr>
                <w:p w14:paraId="3D365EF8">
                  <w:pPr>
                    <w:pStyle w:val="2"/>
                    <w:spacing w:after="0"/>
                    <w:ind w:left="0" w:leftChars="0" w:firstLine="0"/>
                    <w:jc w:val="center"/>
                    <w:rPr>
                      <w:sz w:val="21"/>
                      <w:szCs w:val="21"/>
                    </w:rPr>
                  </w:pPr>
                  <w:r>
                    <w:rPr>
                      <w:sz w:val="21"/>
                      <w:szCs w:val="21"/>
                    </w:rPr>
                    <w:t>项目环评类别判定</w:t>
                  </w:r>
                </w:p>
              </w:tc>
            </w:tr>
            <w:tr w14:paraId="5281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9" w:type="dxa"/>
                  <w:gridSpan w:val="2"/>
                  <w:vMerge w:val="continue"/>
                  <w:vAlign w:val="center"/>
                </w:tcPr>
                <w:p w14:paraId="615485F1">
                  <w:pPr>
                    <w:pStyle w:val="2"/>
                    <w:spacing w:after="0"/>
                    <w:ind w:left="0" w:leftChars="0" w:firstLine="0"/>
                    <w:jc w:val="center"/>
                    <w:rPr>
                      <w:sz w:val="21"/>
                      <w:szCs w:val="21"/>
                    </w:rPr>
                  </w:pPr>
                </w:p>
              </w:tc>
              <w:tc>
                <w:tcPr>
                  <w:tcW w:w="2385" w:type="dxa"/>
                  <w:vAlign w:val="center"/>
                </w:tcPr>
                <w:p w14:paraId="2583864E">
                  <w:pPr>
                    <w:pStyle w:val="2"/>
                    <w:spacing w:after="0"/>
                    <w:ind w:left="0" w:leftChars="0" w:firstLine="0"/>
                    <w:jc w:val="center"/>
                    <w:rPr>
                      <w:sz w:val="21"/>
                      <w:szCs w:val="21"/>
                    </w:rPr>
                  </w:pPr>
                  <w:r>
                    <w:rPr>
                      <w:sz w:val="21"/>
                      <w:szCs w:val="21"/>
                    </w:rPr>
                    <w:t>报告书</w:t>
                  </w:r>
                </w:p>
              </w:tc>
              <w:tc>
                <w:tcPr>
                  <w:tcW w:w="1379" w:type="dxa"/>
                  <w:vAlign w:val="center"/>
                </w:tcPr>
                <w:p w14:paraId="12CFBFEF">
                  <w:pPr>
                    <w:pStyle w:val="2"/>
                    <w:spacing w:after="0"/>
                    <w:ind w:left="0" w:leftChars="0" w:firstLine="0"/>
                    <w:jc w:val="center"/>
                    <w:rPr>
                      <w:sz w:val="21"/>
                      <w:szCs w:val="21"/>
                    </w:rPr>
                  </w:pPr>
                  <w:r>
                    <w:rPr>
                      <w:sz w:val="21"/>
                      <w:szCs w:val="21"/>
                    </w:rPr>
                    <w:t>报告表</w:t>
                  </w:r>
                </w:p>
              </w:tc>
              <w:tc>
                <w:tcPr>
                  <w:tcW w:w="876" w:type="dxa"/>
                  <w:vAlign w:val="center"/>
                </w:tcPr>
                <w:p w14:paraId="40B38F32">
                  <w:pPr>
                    <w:pStyle w:val="2"/>
                    <w:spacing w:after="0"/>
                    <w:ind w:left="0" w:leftChars="0" w:firstLine="0"/>
                    <w:jc w:val="center"/>
                    <w:rPr>
                      <w:sz w:val="21"/>
                      <w:szCs w:val="21"/>
                    </w:rPr>
                  </w:pPr>
                  <w:r>
                    <w:rPr>
                      <w:sz w:val="21"/>
                      <w:szCs w:val="21"/>
                    </w:rPr>
                    <w:t>登记表</w:t>
                  </w:r>
                </w:p>
              </w:tc>
              <w:tc>
                <w:tcPr>
                  <w:tcW w:w="1206" w:type="dxa"/>
                  <w:vMerge w:val="continue"/>
                  <w:vAlign w:val="center"/>
                </w:tcPr>
                <w:p w14:paraId="0A58A0CC">
                  <w:pPr>
                    <w:pStyle w:val="2"/>
                    <w:spacing w:after="0"/>
                    <w:ind w:left="0" w:leftChars="0" w:firstLine="0"/>
                    <w:jc w:val="center"/>
                    <w:rPr>
                      <w:sz w:val="21"/>
                      <w:szCs w:val="21"/>
                    </w:rPr>
                  </w:pPr>
                </w:p>
              </w:tc>
            </w:tr>
            <w:tr w14:paraId="5514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15" w:type="dxa"/>
                  <w:gridSpan w:val="6"/>
                  <w:vAlign w:val="center"/>
                </w:tcPr>
                <w:p w14:paraId="7400ABBA">
                  <w:pPr>
                    <w:widowControl/>
                    <w:jc w:val="center"/>
                    <w:rPr>
                      <w:b/>
                      <w:bCs/>
                      <w:sz w:val="21"/>
                      <w:szCs w:val="21"/>
                    </w:rPr>
                  </w:pPr>
                  <w:r>
                    <w:rPr>
                      <w:b w:val="0"/>
                      <w:bCs w:val="0"/>
                      <w:sz w:val="21"/>
                      <w:szCs w:val="21"/>
                    </w:rPr>
                    <w:t>四十七、生态保护和环境治理业</w:t>
                  </w:r>
                </w:p>
              </w:tc>
            </w:tr>
            <w:tr w14:paraId="3BA9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dxa"/>
                  <w:vAlign w:val="center"/>
                </w:tcPr>
                <w:p w14:paraId="30FFF6AF">
                  <w:pPr>
                    <w:widowControl/>
                    <w:jc w:val="center"/>
                    <w:rPr>
                      <w:rFonts w:hint="default" w:eastAsia="宋体"/>
                      <w:sz w:val="21"/>
                      <w:szCs w:val="21"/>
                      <w:lang w:val="en-US" w:eastAsia="zh-CN"/>
                    </w:rPr>
                  </w:pPr>
                  <w:r>
                    <w:rPr>
                      <w:rFonts w:hint="eastAsia"/>
                      <w:color w:val="000000"/>
                      <w:kern w:val="0"/>
                      <w:sz w:val="21"/>
                      <w:szCs w:val="21"/>
                      <w:lang w:val="en-US" w:eastAsia="zh-CN" w:bidi="ar"/>
                    </w:rPr>
                    <w:t>103</w:t>
                  </w:r>
                </w:p>
              </w:tc>
              <w:tc>
                <w:tcPr>
                  <w:tcW w:w="1685" w:type="dxa"/>
                  <w:vAlign w:val="center"/>
                </w:tcPr>
                <w:p w14:paraId="7A3C7932">
                  <w:pPr>
                    <w:widowControl/>
                    <w:jc w:val="center"/>
                    <w:rPr>
                      <w:sz w:val="21"/>
                      <w:szCs w:val="21"/>
                    </w:rPr>
                  </w:pPr>
                  <w:r>
                    <w:rPr>
                      <w:rFonts w:hint="eastAsia"/>
                      <w:sz w:val="21"/>
                      <w:szCs w:val="21"/>
                      <w:lang w:val="en-US" w:eastAsia="zh-CN"/>
                    </w:rPr>
                    <w:t>一般工业固体废物（含污水处理污泥）、建筑施工废弃物处置及综合利用</w:t>
                  </w:r>
                </w:p>
              </w:tc>
              <w:tc>
                <w:tcPr>
                  <w:tcW w:w="2385" w:type="dxa"/>
                  <w:vAlign w:val="center"/>
                </w:tcPr>
                <w:p w14:paraId="70F2C496">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一般工业固体废物（含污水处理污泥）采取填埋、焚烧（水泥窑协同处置的改造项目除外）方式的</w:t>
                  </w:r>
                </w:p>
              </w:tc>
              <w:tc>
                <w:tcPr>
                  <w:tcW w:w="1379" w:type="dxa"/>
                  <w:vAlign w:val="center"/>
                </w:tcPr>
                <w:p w14:paraId="3FF63A59">
                  <w:pPr>
                    <w:widowControl/>
                    <w:jc w:val="center"/>
                    <w:rPr>
                      <w:rFonts w:hint="eastAsia" w:eastAsia="宋体"/>
                      <w:sz w:val="21"/>
                      <w:szCs w:val="21"/>
                      <w:highlight w:val="lightGray"/>
                      <w:lang w:eastAsia="zh-CN"/>
                    </w:rPr>
                  </w:pPr>
                  <w:r>
                    <w:rPr>
                      <w:rFonts w:hint="eastAsia"/>
                      <w:color w:val="000000"/>
                      <w:kern w:val="0"/>
                      <w:sz w:val="21"/>
                      <w:szCs w:val="21"/>
                      <w:lang w:eastAsia="zh-CN" w:bidi="ar"/>
                    </w:rPr>
                    <w:t>其他</w:t>
                  </w:r>
                </w:p>
              </w:tc>
              <w:tc>
                <w:tcPr>
                  <w:tcW w:w="876" w:type="dxa"/>
                  <w:vAlign w:val="center"/>
                </w:tcPr>
                <w:p w14:paraId="32977507">
                  <w:pPr>
                    <w:pStyle w:val="2"/>
                    <w:spacing w:after="0"/>
                    <w:ind w:left="0" w:leftChars="0" w:firstLine="0"/>
                    <w:jc w:val="center"/>
                    <w:rPr>
                      <w:sz w:val="21"/>
                      <w:szCs w:val="21"/>
                    </w:rPr>
                  </w:pPr>
                  <w:r>
                    <w:rPr>
                      <w:sz w:val="21"/>
                      <w:szCs w:val="21"/>
                    </w:rPr>
                    <w:t>/</w:t>
                  </w:r>
                </w:p>
              </w:tc>
              <w:tc>
                <w:tcPr>
                  <w:tcW w:w="1206" w:type="dxa"/>
                  <w:vAlign w:val="center"/>
                </w:tcPr>
                <w:p w14:paraId="572F6369">
                  <w:pPr>
                    <w:pStyle w:val="2"/>
                    <w:spacing w:after="0"/>
                    <w:ind w:left="0" w:leftChars="0" w:firstLine="0"/>
                    <w:jc w:val="center"/>
                    <w:rPr>
                      <w:b/>
                      <w:bCs/>
                      <w:sz w:val="21"/>
                      <w:szCs w:val="21"/>
                    </w:rPr>
                  </w:pPr>
                  <w:r>
                    <w:rPr>
                      <w:color w:val="000000"/>
                      <w:sz w:val="21"/>
                      <w:szCs w:val="21"/>
                      <w:lang w:bidi="ar"/>
                    </w:rPr>
                    <w:t>报告表</w:t>
                  </w:r>
                </w:p>
              </w:tc>
            </w:tr>
          </w:tbl>
          <w:p w14:paraId="767EEE3B">
            <w:pPr>
              <w:autoSpaceDE w:val="0"/>
              <w:autoSpaceDN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（3）排污许可证分类管理类别判定：</w:t>
            </w:r>
          </w:p>
          <w:p w14:paraId="3611E18B">
            <w:pPr>
              <w:autoSpaceDE w:val="0"/>
              <w:autoSpaceDN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对照《固定污染源排污许可分类管理名录（2019年版）》，本项目判定如下：</w:t>
            </w:r>
          </w:p>
          <w:p w14:paraId="1D5DE2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pacing w:val="0"/>
                <w:sz w:val="24"/>
                <w:szCs w:val="24"/>
                <w:vertAlign w:val="baseline"/>
              </w:rPr>
            </w:pPr>
            <w:r>
              <w:rPr>
                <w:rFonts w:hint="default" w:ascii="Times New Roman" w:hAnsi="Times New Roman" w:eastAsia="宋体" w:cs="Times New Roman"/>
                <w:b/>
                <w:bCs/>
                <w:color w:val="auto"/>
                <w:spacing w:val="0"/>
                <w:sz w:val="24"/>
                <w:szCs w:val="24"/>
                <w:lang w:eastAsia="zh-CN"/>
              </w:rPr>
              <w:t>表</w:t>
            </w:r>
            <w:r>
              <w:rPr>
                <w:rFonts w:hint="default" w:ascii="Times New Roman" w:hAnsi="Times New Roman" w:eastAsia="宋体" w:cs="Times New Roman"/>
                <w:b/>
                <w:bCs/>
                <w:color w:val="auto"/>
                <w:spacing w:val="0"/>
                <w:sz w:val="24"/>
                <w:szCs w:val="24"/>
                <w:lang w:val="en-US" w:eastAsia="zh-CN"/>
              </w:rPr>
              <w:t>2-</w:t>
            </w:r>
            <w:r>
              <w:rPr>
                <w:rFonts w:hint="eastAsia" w:ascii="Times New Roman" w:hAnsi="Times New Roman" w:eastAsia="宋体" w:cs="Times New Roman"/>
                <w:b/>
                <w:bCs/>
                <w:color w:val="auto"/>
                <w:spacing w:val="0"/>
                <w:sz w:val="24"/>
                <w:szCs w:val="24"/>
                <w:lang w:val="en-US" w:eastAsia="zh-CN"/>
              </w:rPr>
              <w:t>2</w:t>
            </w:r>
            <w:r>
              <w:rPr>
                <w:rFonts w:hint="default" w:ascii="Times New Roman" w:hAnsi="Times New Roman" w:eastAsia="宋体" w:cs="Times New Roman"/>
                <w:b/>
                <w:bCs/>
                <w:color w:val="auto"/>
                <w:spacing w:val="0"/>
                <w:sz w:val="24"/>
                <w:szCs w:val="24"/>
                <w:lang w:val="en-US" w:eastAsia="zh-CN"/>
              </w:rPr>
              <w:t xml:space="preserve"> 固定污染源排污许可证分类管理名录（2019 年版）</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8"/>
              <w:gridCol w:w="1437"/>
              <w:gridCol w:w="2140"/>
              <w:gridCol w:w="1505"/>
              <w:gridCol w:w="2272"/>
            </w:tblGrid>
            <w:tr w14:paraId="6A45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0" w:hRule="atLeast"/>
              </w:trPr>
              <w:tc>
                <w:tcPr>
                  <w:tcW w:w="505" w:type="pct"/>
                  <w:shd w:val="clear" w:color="auto" w:fill="auto"/>
                  <w:noWrap w:val="0"/>
                  <w:vAlign w:val="center"/>
                </w:tcPr>
                <w:p w14:paraId="2C907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vertAlign w:val="baseline"/>
                      <w:lang w:eastAsia="zh-CN"/>
                    </w:rPr>
                  </w:pPr>
                  <w:r>
                    <w:rPr>
                      <w:rFonts w:hint="default" w:ascii="Times New Roman" w:hAnsi="Times New Roman" w:eastAsia="宋体" w:cs="Times New Roman"/>
                      <w:b/>
                      <w:bCs/>
                      <w:color w:val="auto"/>
                      <w:spacing w:val="0"/>
                      <w:sz w:val="21"/>
                      <w:szCs w:val="21"/>
                      <w:vertAlign w:val="baseline"/>
                      <w:lang w:eastAsia="zh-CN"/>
                    </w:rPr>
                    <w:t>序号</w:t>
                  </w:r>
                </w:p>
              </w:tc>
              <w:tc>
                <w:tcPr>
                  <w:tcW w:w="878" w:type="pct"/>
                  <w:shd w:val="clear" w:color="auto" w:fill="auto"/>
                  <w:noWrap w:val="0"/>
                  <w:vAlign w:val="center"/>
                </w:tcPr>
                <w:p w14:paraId="6AD4A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vertAlign w:val="baseline"/>
                      <w:lang w:eastAsia="zh-CN"/>
                    </w:rPr>
                  </w:pPr>
                  <w:r>
                    <w:rPr>
                      <w:rFonts w:hint="default" w:ascii="Times New Roman" w:hAnsi="Times New Roman" w:eastAsia="宋体" w:cs="Times New Roman"/>
                      <w:b/>
                      <w:bCs/>
                      <w:color w:val="auto"/>
                      <w:spacing w:val="0"/>
                      <w:sz w:val="21"/>
                      <w:szCs w:val="21"/>
                      <w:vertAlign w:val="baseline"/>
                      <w:lang w:eastAsia="zh-CN"/>
                    </w:rPr>
                    <w:t>行业类别</w:t>
                  </w:r>
                </w:p>
              </w:tc>
              <w:tc>
                <w:tcPr>
                  <w:tcW w:w="1307" w:type="pct"/>
                  <w:shd w:val="clear" w:color="auto" w:fill="auto"/>
                  <w:noWrap w:val="0"/>
                  <w:vAlign w:val="center"/>
                </w:tcPr>
                <w:p w14:paraId="0DFBB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vertAlign w:val="baseline"/>
                      <w:lang w:eastAsia="zh-CN"/>
                    </w:rPr>
                  </w:pPr>
                  <w:r>
                    <w:rPr>
                      <w:rFonts w:hint="default" w:ascii="Times New Roman" w:hAnsi="Times New Roman" w:eastAsia="宋体" w:cs="Times New Roman"/>
                      <w:b/>
                      <w:bCs/>
                      <w:color w:val="auto"/>
                      <w:spacing w:val="0"/>
                      <w:sz w:val="21"/>
                      <w:szCs w:val="21"/>
                      <w:vertAlign w:val="baseline"/>
                      <w:lang w:eastAsia="zh-CN"/>
                    </w:rPr>
                    <w:t>重点管理</w:t>
                  </w:r>
                </w:p>
              </w:tc>
              <w:tc>
                <w:tcPr>
                  <w:tcW w:w="919" w:type="pct"/>
                  <w:shd w:val="clear" w:color="auto" w:fill="auto"/>
                  <w:noWrap w:val="0"/>
                  <w:vAlign w:val="center"/>
                </w:tcPr>
                <w:p w14:paraId="11D79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vertAlign w:val="baseline"/>
                      <w:lang w:eastAsia="zh-CN"/>
                    </w:rPr>
                  </w:pPr>
                  <w:r>
                    <w:rPr>
                      <w:rFonts w:hint="default" w:ascii="Times New Roman" w:hAnsi="Times New Roman" w:eastAsia="宋体" w:cs="Times New Roman"/>
                      <w:b/>
                      <w:bCs/>
                      <w:color w:val="auto"/>
                      <w:spacing w:val="0"/>
                      <w:sz w:val="21"/>
                      <w:szCs w:val="21"/>
                      <w:vertAlign w:val="baseline"/>
                      <w:lang w:eastAsia="zh-CN"/>
                    </w:rPr>
                    <w:t>简化管理</w:t>
                  </w:r>
                </w:p>
              </w:tc>
              <w:tc>
                <w:tcPr>
                  <w:tcW w:w="1388" w:type="pct"/>
                  <w:shd w:val="clear" w:color="auto" w:fill="auto"/>
                  <w:noWrap w:val="0"/>
                  <w:vAlign w:val="center"/>
                </w:tcPr>
                <w:p w14:paraId="5724C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vertAlign w:val="baseline"/>
                      <w:lang w:eastAsia="zh-CN"/>
                    </w:rPr>
                  </w:pPr>
                  <w:r>
                    <w:rPr>
                      <w:rFonts w:hint="default" w:ascii="Times New Roman" w:hAnsi="Times New Roman" w:eastAsia="宋体" w:cs="Times New Roman"/>
                      <w:b/>
                      <w:bCs/>
                      <w:color w:val="auto"/>
                      <w:spacing w:val="0"/>
                      <w:sz w:val="21"/>
                      <w:szCs w:val="21"/>
                      <w:vertAlign w:val="baseline"/>
                      <w:lang w:eastAsia="zh-CN"/>
                    </w:rPr>
                    <w:t>登记管理</w:t>
                  </w:r>
                </w:p>
              </w:tc>
            </w:tr>
            <w:tr w14:paraId="4F41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 w:hRule="atLeast"/>
              </w:trPr>
              <w:tc>
                <w:tcPr>
                  <w:tcW w:w="5000" w:type="pct"/>
                  <w:gridSpan w:val="5"/>
                  <w:shd w:val="clear" w:color="auto" w:fill="auto"/>
                  <w:noWrap w:val="0"/>
                  <w:vAlign w:val="center"/>
                </w:tcPr>
                <w:p w14:paraId="671B9A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spacing w:val="0"/>
                      <w:sz w:val="21"/>
                      <w:szCs w:val="21"/>
                      <w:lang w:val="en-US" w:eastAsia="zh-CN"/>
                    </w:rPr>
                  </w:pPr>
                  <w:r>
                    <w:rPr>
                      <w:rFonts w:hint="default" w:ascii="Times New Roman" w:hAnsi="Times New Roman" w:eastAsia="宋体" w:cs="Times New Roman"/>
                      <w:b w:val="0"/>
                      <w:bCs/>
                      <w:color w:val="auto"/>
                      <w:spacing w:val="0"/>
                      <w:sz w:val="21"/>
                      <w:szCs w:val="21"/>
                      <w:lang w:val="en-US" w:eastAsia="zh-CN"/>
                    </w:rPr>
                    <w:t>四十五、生态保护和环境治理业 77</w:t>
                  </w:r>
                </w:p>
              </w:tc>
            </w:tr>
            <w:tr w14:paraId="5611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6" w:hRule="atLeast"/>
              </w:trPr>
              <w:tc>
                <w:tcPr>
                  <w:tcW w:w="505" w:type="pct"/>
                  <w:shd w:val="clear" w:color="auto" w:fill="auto"/>
                  <w:noWrap w:val="0"/>
                  <w:vAlign w:val="center"/>
                </w:tcPr>
                <w:p w14:paraId="68E26F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103</w:t>
                  </w:r>
                </w:p>
              </w:tc>
              <w:tc>
                <w:tcPr>
                  <w:tcW w:w="878" w:type="pct"/>
                  <w:shd w:val="clear" w:color="auto" w:fill="auto"/>
                  <w:noWrap w:val="0"/>
                  <w:vAlign w:val="center"/>
                </w:tcPr>
                <w:p w14:paraId="7A2EF38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kern w:val="2"/>
                      <w:sz w:val="21"/>
                      <w:szCs w:val="21"/>
                      <w:vertAlign w:val="baseline"/>
                      <w:lang w:val="en-US" w:eastAsia="zh-CN" w:bidi="ar-SA"/>
                    </w:rPr>
                    <w:t>环境治理业772</w:t>
                  </w:r>
                </w:p>
              </w:tc>
              <w:tc>
                <w:tcPr>
                  <w:tcW w:w="1307" w:type="pct"/>
                  <w:shd w:val="clear" w:color="auto" w:fill="auto"/>
                  <w:noWrap w:val="0"/>
                  <w:vAlign w:val="center"/>
                </w:tcPr>
                <w:p w14:paraId="0199A2D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kern w:val="2"/>
                      <w:sz w:val="21"/>
                      <w:szCs w:val="21"/>
                      <w:vertAlign w:val="baseline"/>
                      <w:lang w:val="en-US" w:eastAsia="zh-CN" w:bidi="ar-SA"/>
                    </w:rPr>
                    <w:t>专业从事危险废物贮存、利用、处理、处置（含焚烧发电）的，专业从事一般工业固体废物贮存、处置（含焚烧发电）的</w:t>
                  </w:r>
                </w:p>
              </w:tc>
              <w:tc>
                <w:tcPr>
                  <w:tcW w:w="919" w:type="pct"/>
                  <w:shd w:val="clear" w:color="auto" w:fill="auto"/>
                  <w:noWrap w:val="0"/>
                  <w:vAlign w:val="center"/>
                </w:tcPr>
                <w:p w14:paraId="6F2B46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pacing w:val="0"/>
                      <w:kern w:val="2"/>
                      <w:sz w:val="21"/>
                      <w:szCs w:val="21"/>
                      <w:vertAlign w:val="baseline"/>
                      <w:lang w:val="en-US" w:eastAsia="zh-CN" w:bidi="ar-SA"/>
                    </w:rPr>
                  </w:pPr>
                  <w:r>
                    <w:rPr>
                      <w:rFonts w:hint="eastAsia" w:ascii="Times New Roman" w:hAnsi="Times New Roman" w:eastAsia="宋体" w:cs="Times New Roman"/>
                      <w:bCs/>
                      <w:color w:val="auto"/>
                      <w:sz w:val="21"/>
                      <w:szCs w:val="21"/>
                      <w:lang w:val="en-US" w:eastAsia="zh-CN"/>
                    </w:rPr>
                    <w:t>/</w:t>
                  </w:r>
                </w:p>
              </w:tc>
              <w:tc>
                <w:tcPr>
                  <w:tcW w:w="1388" w:type="pct"/>
                  <w:shd w:val="clear" w:color="auto" w:fill="auto"/>
                  <w:noWrap w:val="0"/>
                  <w:vAlign w:val="center"/>
                </w:tcPr>
                <w:p w14:paraId="39F14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sz w:val="21"/>
                      <w:szCs w:val="21"/>
                      <w:lang w:val="en-US" w:eastAsia="zh-CN"/>
                    </w:rPr>
                    <w:t>/</w:t>
                  </w:r>
                </w:p>
              </w:tc>
            </w:tr>
          </w:tbl>
          <w:p w14:paraId="1B9061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kern w:val="0"/>
                <w:sz w:val="24"/>
              </w:rPr>
            </w:pPr>
            <w:r>
              <w:rPr>
                <w:rFonts w:hint="eastAsia" w:ascii="Times New Roman" w:hAnsi="Times New Roman" w:eastAsia="宋体" w:cs="Times New Roman"/>
                <w:bCs/>
                <w:color w:val="auto"/>
                <w:sz w:val="24"/>
                <w:szCs w:val="24"/>
                <w:highlight w:val="none"/>
                <w:lang w:val="en-US" w:eastAsia="zh-CN"/>
              </w:rPr>
              <w:t>本项目属于</w:t>
            </w:r>
            <w:r>
              <w:rPr>
                <w:rFonts w:hint="eastAsia" w:ascii="Times New Roman" w:hAnsi="Times New Roman" w:eastAsia="宋体" w:cs="Times New Roman"/>
                <w:color w:val="auto"/>
                <w:sz w:val="24"/>
                <w:szCs w:val="24"/>
                <w:highlight w:val="none"/>
                <w:lang w:val="en-US" w:eastAsia="zh-CN"/>
              </w:rPr>
              <w:t>“四十五、生态保护和环境治理业 77--非专业从事危险废物贮存、利用、处理、处置（含焚烧发电）的，专业从事一般工业固体废物贮存、处置（含焚烧发电）的”</w:t>
            </w:r>
            <w:r>
              <w:rPr>
                <w:rFonts w:hint="eastAsia" w:ascii="Times New Roman" w:hAnsi="Times New Roman" w:eastAsia="宋体" w:cs="Times New Roman"/>
                <w:b w:val="0"/>
                <w:bCs w:val="0"/>
                <w:color w:val="auto"/>
                <w:sz w:val="24"/>
                <w:szCs w:val="24"/>
                <w:highlight w:val="none"/>
                <w:lang w:val="en-US" w:eastAsia="zh-CN"/>
              </w:rPr>
              <w:t>。根据《安徽省生态环境厅关于统筹做好固定污染源排污许可日常监管工作的通知》（皖环发〔2021〕7号），无需填写“建设项目排污许可申请与填报信息表”。</w:t>
            </w:r>
          </w:p>
          <w:p w14:paraId="6AFA2224">
            <w:pPr>
              <w:adjustRightInd w:val="0"/>
              <w:snapToGrid w:val="0"/>
              <w:spacing w:before="120" w:beforeLines="50" w:line="360" w:lineRule="auto"/>
              <w:rPr>
                <w:b/>
                <w:bCs/>
                <w:kern w:val="0"/>
                <w:sz w:val="24"/>
              </w:rPr>
            </w:pPr>
            <w:r>
              <w:rPr>
                <w:rFonts w:hint="eastAsia"/>
                <w:b/>
                <w:bCs/>
                <w:kern w:val="0"/>
                <w:sz w:val="24"/>
              </w:rPr>
              <w:t>2、项目建设基本情况</w:t>
            </w:r>
          </w:p>
          <w:p w14:paraId="53C1AFE2">
            <w:pPr>
              <w:pStyle w:val="12"/>
              <w:spacing w:line="360" w:lineRule="auto"/>
              <w:ind w:firstLine="480" w:firstLineChars="200"/>
              <w:rPr>
                <w:kern w:val="0"/>
                <w:sz w:val="24"/>
              </w:rPr>
            </w:pPr>
            <w:r>
              <w:rPr>
                <w:sz w:val="24"/>
              </w:rPr>
              <w:t>项目建设地点位于</w:t>
            </w:r>
            <w:r>
              <w:rPr>
                <w:rFonts w:hint="eastAsia"/>
                <w:b w:val="0"/>
                <w:bCs/>
                <w:sz w:val="24"/>
              </w:rPr>
              <w:t>安徽省宿州市埇桥区桃园镇浍光村</w:t>
            </w:r>
            <w:r>
              <w:rPr>
                <w:rFonts w:hint="eastAsia"/>
                <w:kern w:val="0"/>
                <w:sz w:val="24"/>
              </w:rPr>
              <w:t>内</w:t>
            </w:r>
            <w:r>
              <w:rPr>
                <w:sz w:val="24"/>
              </w:rPr>
              <w:t>，</w:t>
            </w:r>
            <w:r>
              <w:rPr>
                <w:rFonts w:hint="eastAsia"/>
                <w:sz w:val="24"/>
                <w:lang w:eastAsia="zh-CN"/>
              </w:rPr>
              <w:t>依托原有厂房</w:t>
            </w:r>
            <w:r>
              <w:rPr>
                <w:rFonts w:hint="eastAsia"/>
                <w:sz w:val="24"/>
              </w:rPr>
              <w:t>，</w:t>
            </w:r>
            <w:r>
              <w:rPr>
                <w:sz w:val="24"/>
              </w:rPr>
              <w:t>购置</w:t>
            </w:r>
            <w:r>
              <w:rPr>
                <w:rFonts w:hint="eastAsia"/>
                <w:sz w:val="24"/>
                <w:lang w:eastAsia="zh-CN"/>
              </w:rPr>
              <w:t>上料机、两仓配料斗、皮带输送机、搅拌机、粉碎机、分筛机</w:t>
            </w:r>
            <w:r>
              <w:rPr>
                <w:sz w:val="24"/>
              </w:rPr>
              <w:t>等设备，依托</w:t>
            </w:r>
            <w:r>
              <w:rPr>
                <w:rFonts w:hint="eastAsia"/>
                <w:sz w:val="24"/>
              </w:rPr>
              <w:t>原有</w:t>
            </w:r>
            <w:r>
              <w:rPr>
                <w:sz w:val="24"/>
              </w:rPr>
              <w:t>的供电、供水、环卫等公辅工程。项目建成后可</w:t>
            </w:r>
            <w:r>
              <w:rPr>
                <w:rFonts w:hint="eastAsia"/>
                <w:sz w:val="24"/>
              </w:rPr>
              <w:t>达到</w:t>
            </w:r>
            <w:r>
              <w:rPr>
                <w:rFonts w:hint="eastAsia"/>
                <w:sz w:val="24"/>
                <w:lang w:eastAsia="zh-CN"/>
              </w:rPr>
              <w:t>年新增</w:t>
            </w:r>
            <w:r>
              <w:rPr>
                <w:rFonts w:hint="eastAsia"/>
                <w:sz w:val="24"/>
                <w:lang w:val="en-US" w:eastAsia="zh-CN"/>
              </w:rPr>
              <w:t>3万吨固化土、3万吨回填土、2万吨绿化营养土、2万吨污泥颗粒生产能力</w:t>
            </w:r>
            <w:r>
              <w:rPr>
                <w:sz w:val="24"/>
              </w:rPr>
              <w:t>。</w:t>
            </w:r>
          </w:p>
          <w:p w14:paraId="660492D9">
            <w:pPr>
              <w:adjustRightInd w:val="0"/>
              <w:snapToGrid w:val="0"/>
              <w:spacing w:line="360" w:lineRule="auto"/>
              <w:ind w:firstLine="480" w:firstLineChars="200"/>
              <w:rPr>
                <w:kern w:val="0"/>
                <w:sz w:val="24"/>
              </w:rPr>
            </w:pPr>
            <w:r>
              <w:rPr>
                <w:kern w:val="0"/>
                <w:sz w:val="24"/>
              </w:rPr>
              <w:t>项目建设内容一览表见表2</w:t>
            </w:r>
            <w:r>
              <w:rPr>
                <w:rFonts w:hint="eastAsia"/>
                <w:kern w:val="0"/>
                <w:sz w:val="24"/>
                <w:lang w:val="en-US" w:eastAsia="zh-CN"/>
              </w:rPr>
              <w:t>-</w:t>
            </w:r>
            <w:r>
              <w:rPr>
                <w:rFonts w:hint="eastAsia"/>
                <w:kern w:val="0"/>
                <w:sz w:val="24"/>
              </w:rPr>
              <w:t>3</w:t>
            </w:r>
            <w:r>
              <w:rPr>
                <w:kern w:val="0"/>
                <w:sz w:val="24"/>
              </w:rPr>
              <w:t>。</w:t>
            </w:r>
          </w:p>
          <w:p w14:paraId="00943093">
            <w:pPr>
              <w:adjustRightInd w:val="0"/>
              <w:snapToGrid w:val="0"/>
              <w:spacing w:line="360" w:lineRule="auto"/>
              <w:jc w:val="center"/>
              <w:rPr>
                <w:b/>
                <w:bCs/>
                <w:color w:val="auto"/>
                <w:kern w:val="0"/>
                <w:sz w:val="24"/>
              </w:rPr>
            </w:pPr>
            <w:r>
              <w:rPr>
                <w:b/>
                <w:bCs/>
                <w:color w:val="auto"/>
                <w:kern w:val="0"/>
                <w:sz w:val="24"/>
              </w:rPr>
              <w:t>表2</w:t>
            </w:r>
            <w:r>
              <w:rPr>
                <w:rFonts w:hint="eastAsia"/>
                <w:b/>
                <w:bCs/>
                <w:color w:val="auto"/>
                <w:kern w:val="0"/>
                <w:sz w:val="24"/>
                <w:lang w:val="en-US" w:eastAsia="zh-CN"/>
              </w:rPr>
              <w:t>-</w:t>
            </w:r>
            <w:r>
              <w:rPr>
                <w:rFonts w:hint="eastAsia"/>
                <w:b/>
                <w:bCs/>
                <w:color w:val="auto"/>
                <w:kern w:val="0"/>
                <w:sz w:val="24"/>
              </w:rPr>
              <w:t>3</w:t>
            </w:r>
            <w:r>
              <w:rPr>
                <w:b/>
                <w:bCs/>
                <w:color w:val="auto"/>
                <w:kern w:val="0"/>
                <w:sz w:val="24"/>
              </w:rPr>
              <w:t xml:space="preserve">  项目建设内容一览表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3"/>
              <w:gridCol w:w="1957"/>
              <w:gridCol w:w="1987"/>
              <w:gridCol w:w="1731"/>
              <w:gridCol w:w="1102"/>
            </w:tblGrid>
            <w:tr w14:paraId="0DCB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noWrap/>
                  <w:vAlign w:val="center"/>
                </w:tcPr>
                <w:p w14:paraId="0DC29348">
                  <w:pPr>
                    <w:spacing w:before="48" w:beforeLines="20"/>
                    <w:jc w:val="center"/>
                    <w:rPr>
                      <w:szCs w:val="21"/>
                    </w:rPr>
                  </w:pPr>
                  <w:r>
                    <w:rPr>
                      <w:szCs w:val="21"/>
                    </w:rPr>
                    <w:t>工程类别</w:t>
                  </w:r>
                </w:p>
              </w:tc>
              <w:tc>
                <w:tcPr>
                  <w:tcW w:w="533" w:type="pct"/>
                  <w:noWrap/>
                  <w:vAlign w:val="center"/>
                </w:tcPr>
                <w:p w14:paraId="15EFDC04">
                  <w:pPr>
                    <w:spacing w:before="48" w:beforeLines="20"/>
                    <w:jc w:val="center"/>
                    <w:rPr>
                      <w:szCs w:val="21"/>
                    </w:rPr>
                  </w:pPr>
                  <w:r>
                    <w:rPr>
                      <w:szCs w:val="21"/>
                    </w:rPr>
                    <w:t>单项工程</w:t>
                  </w:r>
                </w:p>
              </w:tc>
              <w:tc>
                <w:tcPr>
                  <w:tcW w:w="1195" w:type="pct"/>
                  <w:noWrap/>
                  <w:vAlign w:val="center"/>
                </w:tcPr>
                <w:p w14:paraId="1FC8D31A">
                  <w:pPr>
                    <w:spacing w:before="48" w:beforeLines="20"/>
                    <w:jc w:val="center"/>
                    <w:rPr>
                      <w:szCs w:val="21"/>
                    </w:rPr>
                  </w:pPr>
                  <w:r>
                    <w:rPr>
                      <w:kern w:val="0"/>
                      <w:szCs w:val="21"/>
                    </w:rPr>
                    <w:t>现有工程内容及规模</w:t>
                  </w:r>
                </w:p>
              </w:tc>
              <w:tc>
                <w:tcPr>
                  <w:tcW w:w="1214" w:type="pct"/>
                  <w:noWrap/>
                  <w:vAlign w:val="center"/>
                </w:tcPr>
                <w:p w14:paraId="69912E5B">
                  <w:pPr>
                    <w:spacing w:before="48" w:beforeLines="20"/>
                    <w:jc w:val="center"/>
                    <w:rPr>
                      <w:kern w:val="0"/>
                      <w:szCs w:val="21"/>
                    </w:rPr>
                  </w:pPr>
                  <w:r>
                    <w:rPr>
                      <w:szCs w:val="21"/>
                    </w:rPr>
                    <w:t>本项目工程内容及规模</w:t>
                  </w:r>
                </w:p>
              </w:tc>
              <w:tc>
                <w:tcPr>
                  <w:tcW w:w="1057" w:type="pct"/>
                  <w:noWrap/>
                  <w:vAlign w:val="center"/>
                </w:tcPr>
                <w:p w14:paraId="58FF4D2E">
                  <w:pPr>
                    <w:adjustRightInd w:val="0"/>
                    <w:snapToGrid w:val="0"/>
                    <w:spacing w:before="48" w:beforeLines="20"/>
                    <w:jc w:val="center"/>
                    <w:rPr>
                      <w:szCs w:val="21"/>
                    </w:rPr>
                  </w:pPr>
                  <w:r>
                    <w:rPr>
                      <w:szCs w:val="21"/>
                    </w:rPr>
                    <w:t>本项目建成后</w:t>
                  </w:r>
                </w:p>
                <w:p w14:paraId="484F5BF5">
                  <w:pPr>
                    <w:spacing w:before="48" w:beforeLines="20"/>
                    <w:jc w:val="center"/>
                    <w:rPr>
                      <w:szCs w:val="21"/>
                    </w:rPr>
                  </w:pPr>
                  <w:r>
                    <w:rPr>
                      <w:szCs w:val="21"/>
                    </w:rPr>
                    <w:t>全厂工程内容及规模</w:t>
                  </w:r>
                </w:p>
              </w:tc>
              <w:tc>
                <w:tcPr>
                  <w:tcW w:w="673" w:type="pct"/>
                  <w:noWrap/>
                  <w:vAlign w:val="center"/>
                </w:tcPr>
                <w:p w14:paraId="0EF65997">
                  <w:pPr>
                    <w:spacing w:before="48" w:beforeLines="20"/>
                    <w:jc w:val="center"/>
                    <w:rPr>
                      <w:szCs w:val="21"/>
                    </w:rPr>
                  </w:pPr>
                  <w:r>
                    <w:rPr>
                      <w:szCs w:val="21"/>
                    </w:rPr>
                    <w:t>备注</w:t>
                  </w:r>
                </w:p>
              </w:tc>
            </w:tr>
            <w:tr w14:paraId="548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noWrap/>
                  <w:vAlign w:val="center"/>
                </w:tcPr>
                <w:p w14:paraId="170583CE">
                  <w:pPr>
                    <w:spacing w:before="48" w:beforeLines="20"/>
                    <w:jc w:val="center"/>
                    <w:rPr>
                      <w:szCs w:val="21"/>
                    </w:rPr>
                  </w:pPr>
                  <w:r>
                    <w:rPr>
                      <w:szCs w:val="21"/>
                    </w:rPr>
                    <w:t>主体工程</w:t>
                  </w:r>
                </w:p>
              </w:tc>
              <w:tc>
                <w:tcPr>
                  <w:tcW w:w="533" w:type="pct"/>
                  <w:noWrap/>
                  <w:vAlign w:val="center"/>
                </w:tcPr>
                <w:p w14:paraId="46939DB8">
                  <w:pPr>
                    <w:spacing w:before="48" w:beforeLines="20"/>
                    <w:jc w:val="center"/>
                    <w:rPr>
                      <w:szCs w:val="21"/>
                    </w:rPr>
                  </w:pPr>
                  <w:r>
                    <w:rPr>
                      <w:rFonts w:hint="eastAsia"/>
                      <w:szCs w:val="21"/>
                    </w:rPr>
                    <w:t>生产车间</w:t>
                  </w:r>
                </w:p>
              </w:tc>
              <w:tc>
                <w:tcPr>
                  <w:tcW w:w="1195" w:type="pct"/>
                  <w:noWrap/>
                  <w:vAlign w:val="center"/>
                </w:tcPr>
                <w:p w14:paraId="1715E466">
                  <w:pPr>
                    <w:pStyle w:val="10"/>
                    <w:tabs>
                      <w:tab w:val="left" w:pos="1980"/>
                      <w:tab w:val="left" w:pos="3720"/>
                    </w:tabs>
                    <w:spacing w:before="48" w:beforeLines="20" w:line="240" w:lineRule="auto"/>
                    <w:ind w:firstLine="0"/>
                    <w:jc w:val="center"/>
                    <w:rPr>
                      <w:szCs w:val="21"/>
                      <w:highlight w:val="none"/>
                    </w:rPr>
                  </w:pPr>
                  <w:r>
                    <w:rPr>
                      <w:rFonts w:hint="default" w:ascii="Times New Roman" w:hAnsi="Times New Roman" w:cs="Times New Roman"/>
                      <w:color w:val="auto"/>
                      <w:kern w:val="0"/>
                      <w:szCs w:val="21"/>
                      <w:highlight w:val="none"/>
                      <w:lang w:bidi="ar"/>
                    </w:rPr>
                    <w:t>位于厂区</w:t>
                  </w:r>
                  <w:r>
                    <w:rPr>
                      <w:rFonts w:hint="eastAsia" w:cs="Times New Roman"/>
                      <w:color w:val="auto"/>
                      <w:kern w:val="0"/>
                      <w:szCs w:val="21"/>
                      <w:highlight w:val="none"/>
                      <w:lang w:val="en-US" w:eastAsia="zh-CN" w:bidi="ar"/>
                    </w:rPr>
                    <w:t>西北</w:t>
                  </w:r>
                  <w:r>
                    <w:rPr>
                      <w:rFonts w:hint="default" w:ascii="Times New Roman" w:hAnsi="Times New Roman" w:cs="Times New Roman"/>
                      <w:color w:val="auto"/>
                      <w:kern w:val="0"/>
                      <w:szCs w:val="21"/>
                      <w:highlight w:val="none"/>
                      <w:lang w:bidi="ar"/>
                    </w:rPr>
                    <w:t>部，</w:t>
                  </w:r>
                  <w:r>
                    <w:rPr>
                      <w:rFonts w:hint="eastAsia" w:cs="Times New Roman"/>
                      <w:color w:val="auto"/>
                      <w:kern w:val="0"/>
                      <w:szCs w:val="21"/>
                      <w:highlight w:val="none"/>
                      <w:lang w:eastAsia="zh-CN" w:bidi="ar"/>
                    </w:rPr>
                    <w:t>建筑</w:t>
                  </w:r>
                  <w:r>
                    <w:rPr>
                      <w:rFonts w:hint="default" w:ascii="Times New Roman" w:hAnsi="Times New Roman" w:cs="Times New Roman"/>
                      <w:color w:val="auto"/>
                      <w:kern w:val="0"/>
                      <w:szCs w:val="21"/>
                      <w:highlight w:val="none"/>
                      <w:lang w:bidi="ar"/>
                    </w:rPr>
                    <w:t>面积</w:t>
                  </w:r>
                  <w:r>
                    <w:rPr>
                      <w:rFonts w:hint="eastAsia" w:cs="Times New Roman"/>
                      <w:color w:val="auto"/>
                      <w:kern w:val="0"/>
                      <w:szCs w:val="21"/>
                      <w:highlight w:val="none"/>
                      <w:lang w:val="en-US" w:eastAsia="zh-CN" w:bidi="ar"/>
                    </w:rPr>
                    <w:t>587</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default" w:ascii="Times New Roman" w:hAnsi="Times New Roman" w:cs="Times New Roman"/>
                      <w:color w:val="auto"/>
                      <w:kern w:val="0"/>
                      <w:szCs w:val="21"/>
                      <w:highlight w:val="none"/>
                      <w:vertAlign w:val="baseline"/>
                      <w:lang w:eastAsia="zh-CN" w:bidi="ar"/>
                    </w:rPr>
                    <w:t>，设置</w:t>
                  </w:r>
                  <w:r>
                    <w:rPr>
                      <w:rFonts w:hint="eastAsia" w:cs="Times New Roman"/>
                      <w:color w:val="auto"/>
                      <w:kern w:val="0"/>
                      <w:szCs w:val="21"/>
                      <w:highlight w:val="none"/>
                      <w:vertAlign w:val="baseline"/>
                      <w:lang w:val="en-US" w:eastAsia="zh-CN" w:bidi="ar"/>
                    </w:rPr>
                    <w:t>一</w:t>
                  </w:r>
                  <w:r>
                    <w:rPr>
                      <w:rFonts w:hint="default" w:ascii="Times New Roman" w:hAnsi="Times New Roman" w:cs="Times New Roman"/>
                      <w:color w:val="auto"/>
                      <w:kern w:val="0"/>
                      <w:szCs w:val="21"/>
                      <w:highlight w:val="none"/>
                      <w:vertAlign w:val="baseline"/>
                      <w:lang w:eastAsia="zh-CN" w:bidi="ar"/>
                    </w:rPr>
                    <w:t>条生产线，</w:t>
                  </w:r>
                  <w:r>
                    <w:rPr>
                      <w:rFonts w:hint="default" w:ascii="Times New Roman" w:hAnsi="Times New Roman" w:cs="Times New Roman"/>
                      <w:color w:val="auto"/>
                      <w:kern w:val="0"/>
                      <w:szCs w:val="21"/>
                      <w:highlight w:val="none"/>
                      <w:lang w:eastAsia="zh-CN" w:bidi="ar"/>
                    </w:rPr>
                    <w:t>购置搅拌机</w:t>
                  </w:r>
                  <w:r>
                    <w:rPr>
                      <w:rFonts w:hint="default" w:ascii="Times New Roman" w:hAnsi="Times New Roman" w:cs="Times New Roman"/>
                      <w:color w:val="auto"/>
                      <w:kern w:val="0"/>
                      <w:szCs w:val="21"/>
                      <w:highlight w:val="none"/>
                      <w:lang w:bidi="ar"/>
                    </w:rPr>
                    <w:t>、</w:t>
                  </w:r>
                  <w:r>
                    <w:rPr>
                      <w:rFonts w:hint="default" w:ascii="Times New Roman" w:hAnsi="Times New Roman" w:cs="Times New Roman"/>
                      <w:color w:val="auto"/>
                      <w:kern w:val="0"/>
                      <w:szCs w:val="21"/>
                      <w:highlight w:val="none"/>
                      <w:lang w:eastAsia="zh-CN" w:bidi="ar"/>
                    </w:rPr>
                    <w:t>水计量系统、双压静压</w:t>
                  </w:r>
                  <w:r>
                    <w:rPr>
                      <w:rFonts w:hint="eastAsia" w:cs="Times New Roman"/>
                      <w:color w:val="auto"/>
                      <w:kern w:val="0"/>
                      <w:szCs w:val="21"/>
                      <w:highlight w:val="none"/>
                      <w:lang w:eastAsia="zh-CN" w:bidi="ar"/>
                    </w:rPr>
                    <w:t>砖机</w:t>
                  </w:r>
                  <w:r>
                    <w:rPr>
                      <w:rFonts w:hint="default" w:ascii="Times New Roman" w:hAnsi="Times New Roman" w:cs="Times New Roman"/>
                      <w:color w:val="auto"/>
                      <w:kern w:val="0"/>
                      <w:szCs w:val="21"/>
                      <w:highlight w:val="none"/>
                      <w:lang w:eastAsia="zh-CN" w:bidi="ar"/>
                    </w:rPr>
                    <w:t>等设备</w:t>
                  </w:r>
                  <w:r>
                    <w:rPr>
                      <w:rFonts w:hint="default" w:ascii="Times New Roman" w:hAnsi="Times New Roman" w:cs="Times New Roman"/>
                      <w:color w:val="auto"/>
                      <w:kern w:val="0"/>
                      <w:szCs w:val="21"/>
                      <w:highlight w:val="none"/>
                      <w:lang w:bidi="ar"/>
                    </w:rPr>
                    <w:t>设施</w:t>
                  </w:r>
                  <w:r>
                    <w:rPr>
                      <w:rFonts w:hint="default" w:ascii="Times New Roman" w:hAnsi="Times New Roman" w:cs="Times New Roman"/>
                      <w:color w:val="auto"/>
                      <w:kern w:val="0"/>
                      <w:szCs w:val="21"/>
                      <w:highlight w:val="none"/>
                      <w:lang w:eastAsia="zh-CN" w:bidi="ar"/>
                    </w:rPr>
                    <w:t>，达到年产</w:t>
                  </w:r>
                  <w:r>
                    <w:rPr>
                      <w:rFonts w:hint="default" w:ascii="Times New Roman" w:hAnsi="Times New Roman" w:cs="Times New Roman"/>
                      <w:szCs w:val="21"/>
                      <w:highlight w:val="none"/>
                    </w:rPr>
                    <w:t>高速护坡砖</w:t>
                  </w:r>
                  <w:r>
                    <w:rPr>
                      <w:rFonts w:hint="eastAsia" w:cs="Times New Roman"/>
                      <w:szCs w:val="21"/>
                      <w:highlight w:val="none"/>
                      <w:lang w:val="en-US" w:eastAsia="zh-CN"/>
                    </w:rPr>
                    <w:t>1333</w:t>
                  </w:r>
                  <w:r>
                    <w:rPr>
                      <w:rFonts w:hint="default" w:ascii="Times New Roman" w:hAnsi="Times New Roman" w:cs="Times New Roman"/>
                      <w:szCs w:val="21"/>
                      <w:highlight w:val="none"/>
                      <w:lang w:val="en-US" w:eastAsia="zh-CN"/>
                    </w:rPr>
                    <w:t>万块，</w:t>
                  </w:r>
                  <w:r>
                    <w:rPr>
                      <w:rFonts w:hint="default" w:ascii="Times New Roman" w:hAnsi="Times New Roman" w:cs="Times New Roman"/>
                      <w:szCs w:val="21"/>
                      <w:highlight w:val="none"/>
                    </w:rPr>
                    <w:t>各类生态路面环保砖</w:t>
                  </w:r>
                  <w:r>
                    <w:rPr>
                      <w:rFonts w:hint="eastAsia" w:cs="Times New Roman"/>
                      <w:szCs w:val="21"/>
                      <w:highlight w:val="none"/>
                      <w:lang w:val="en-US" w:eastAsia="zh-CN"/>
                    </w:rPr>
                    <w:t>333</w:t>
                  </w:r>
                  <w:r>
                    <w:rPr>
                      <w:rFonts w:hint="default" w:ascii="Times New Roman" w:hAnsi="Times New Roman" w:cs="Times New Roman"/>
                      <w:szCs w:val="21"/>
                      <w:highlight w:val="none"/>
                      <w:lang w:val="en-US" w:eastAsia="zh-CN"/>
                    </w:rPr>
                    <w:t>万块的生产能力。</w:t>
                  </w:r>
                </w:p>
              </w:tc>
              <w:tc>
                <w:tcPr>
                  <w:tcW w:w="1214" w:type="pct"/>
                  <w:noWrap/>
                  <w:vAlign w:val="center"/>
                </w:tcPr>
                <w:p w14:paraId="7E3246DF">
                  <w:pPr>
                    <w:pStyle w:val="10"/>
                    <w:tabs>
                      <w:tab w:val="left" w:pos="1980"/>
                      <w:tab w:val="left" w:pos="3720"/>
                    </w:tabs>
                    <w:spacing w:before="48" w:beforeLines="20" w:line="240" w:lineRule="auto"/>
                    <w:ind w:firstLine="0"/>
                    <w:jc w:val="center"/>
                    <w:rPr>
                      <w:rFonts w:hint="eastAsia" w:eastAsia="宋体"/>
                      <w:szCs w:val="21"/>
                      <w:highlight w:val="none"/>
                      <w:lang w:val="en-US" w:eastAsia="zh-CN"/>
                    </w:rPr>
                  </w:pPr>
                  <w:r>
                    <w:rPr>
                      <w:rFonts w:hint="eastAsia"/>
                      <w:szCs w:val="21"/>
                      <w:highlight w:val="none"/>
                      <w:lang w:eastAsia="zh-CN"/>
                    </w:rPr>
                    <w:t>位于厂区中部。建筑面积</w:t>
                  </w:r>
                  <w:r>
                    <w:rPr>
                      <w:rFonts w:hint="eastAsia"/>
                      <w:szCs w:val="21"/>
                      <w:highlight w:val="none"/>
                      <w:lang w:val="en-US" w:eastAsia="zh-CN"/>
                    </w:rPr>
                    <w:t>300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，购置粉碎机、分筛机、搅拌机等设备，设置四条生产线，达到年产</w:t>
                  </w:r>
                  <w:r>
                    <w:rPr>
                      <w:rFonts w:hint="eastAsia" w:cs="Times New Roman"/>
                      <w:color w:val="auto"/>
                      <w:kern w:val="0"/>
                      <w:szCs w:val="21"/>
                      <w:highlight w:val="none"/>
                      <w:vertAlign w:val="baseline"/>
                      <w:lang w:val="en-US" w:eastAsia="zh-CN" w:bidi="ar"/>
                    </w:rPr>
                    <w:t>3万吨固化土、3万吨回填土、2万吨绿化营养土、2万吨污泥颗粒</w:t>
                  </w:r>
                </w:p>
              </w:tc>
              <w:tc>
                <w:tcPr>
                  <w:tcW w:w="1057" w:type="pct"/>
                  <w:noWrap/>
                  <w:vAlign w:val="center"/>
                </w:tcPr>
                <w:p w14:paraId="762D53AF">
                  <w:pPr>
                    <w:pStyle w:val="10"/>
                    <w:tabs>
                      <w:tab w:val="left" w:pos="1980"/>
                      <w:tab w:val="left" w:pos="3720"/>
                    </w:tabs>
                    <w:spacing w:before="48" w:beforeLines="20" w:line="240" w:lineRule="auto"/>
                    <w:ind w:firstLine="0"/>
                    <w:jc w:val="center"/>
                    <w:rPr>
                      <w:szCs w:val="21"/>
                      <w:highlight w:val="none"/>
                    </w:rPr>
                  </w:pPr>
                  <w:r>
                    <w:rPr>
                      <w:rFonts w:hint="eastAsia"/>
                      <w:szCs w:val="21"/>
                      <w:highlight w:val="none"/>
                      <w:lang w:eastAsia="zh-CN"/>
                    </w:rPr>
                    <w:t>位于厂区中部。建筑面积</w:t>
                  </w:r>
                  <w:r>
                    <w:rPr>
                      <w:rFonts w:hint="eastAsia"/>
                      <w:szCs w:val="21"/>
                      <w:highlight w:val="none"/>
                      <w:lang w:val="en-US" w:eastAsia="zh-CN"/>
                    </w:rPr>
                    <w:t>300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w:t>
                  </w:r>
                  <w:r>
                    <w:rPr>
                      <w:rFonts w:hint="default" w:ascii="Times New Roman" w:hAnsi="Times New Roman" w:cs="Times New Roman"/>
                      <w:color w:val="auto"/>
                      <w:kern w:val="0"/>
                      <w:szCs w:val="21"/>
                      <w:highlight w:val="none"/>
                      <w:lang w:eastAsia="zh-CN" w:bidi="ar"/>
                    </w:rPr>
                    <w:t>购置搅拌机</w:t>
                  </w:r>
                  <w:r>
                    <w:rPr>
                      <w:rFonts w:hint="default" w:ascii="Times New Roman" w:hAnsi="Times New Roman" w:cs="Times New Roman"/>
                      <w:color w:val="auto"/>
                      <w:kern w:val="0"/>
                      <w:szCs w:val="21"/>
                      <w:highlight w:val="none"/>
                      <w:lang w:bidi="ar"/>
                    </w:rPr>
                    <w:t>、</w:t>
                  </w:r>
                  <w:r>
                    <w:rPr>
                      <w:rFonts w:hint="default" w:ascii="Times New Roman" w:hAnsi="Times New Roman" w:cs="Times New Roman"/>
                      <w:color w:val="auto"/>
                      <w:kern w:val="0"/>
                      <w:szCs w:val="21"/>
                      <w:highlight w:val="none"/>
                      <w:lang w:eastAsia="zh-CN" w:bidi="ar"/>
                    </w:rPr>
                    <w:t>水计量系统、双压静压</w:t>
                  </w:r>
                  <w:r>
                    <w:rPr>
                      <w:rFonts w:hint="eastAsia" w:cs="Times New Roman"/>
                      <w:color w:val="auto"/>
                      <w:kern w:val="0"/>
                      <w:szCs w:val="21"/>
                      <w:highlight w:val="none"/>
                      <w:lang w:eastAsia="zh-CN" w:bidi="ar"/>
                    </w:rPr>
                    <w:t>砖机</w:t>
                  </w:r>
                  <w:r>
                    <w:rPr>
                      <w:rFonts w:hint="default" w:ascii="Times New Roman" w:hAnsi="Times New Roman" w:cs="Times New Roman"/>
                      <w:color w:val="auto"/>
                      <w:kern w:val="0"/>
                      <w:szCs w:val="21"/>
                      <w:highlight w:val="none"/>
                      <w:lang w:eastAsia="zh-CN" w:bidi="ar"/>
                    </w:rPr>
                    <w:t>等设备</w:t>
                  </w:r>
                  <w:r>
                    <w:rPr>
                      <w:rFonts w:hint="default" w:ascii="Times New Roman" w:hAnsi="Times New Roman" w:cs="Times New Roman"/>
                      <w:color w:val="auto"/>
                      <w:kern w:val="0"/>
                      <w:szCs w:val="21"/>
                      <w:highlight w:val="none"/>
                      <w:lang w:bidi="ar"/>
                    </w:rPr>
                    <w:t>设施</w:t>
                  </w:r>
                  <w:r>
                    <w:rPr>
                      <w:rFonts w:hint="default" w:ascii="Times New Roman" w:hAnsi="Times New Roman" w:cs="Times New Roman"/>
                      <w:color w:val="auto"/>
                      <w:kern w:val="0"/>
                      <w:szCs w:val="21"/>
                      <w:highlight w:val="none"/>
                      <w:lang w:eastAsia="zh-CN" w:bidi="ar"/>
                    </w:rPr>
                    <w:t>，达到年产</w:t>
                  </w:r>
                  <w:r>
                    <w:rPr>
                      <w:rFonts w:hint="default" w:ascii="Times New Roman" w:hAnsi="Times New Roman" w:cs="Times New Roman"/>
                      <w:szCs w:val="21"/>
                      <w:highlight w:val="none"/>
                    </w:rPr>
                    <w:t>高速护坡砖</w:t>
                  </w:r>
                  <w:r>
                    <w:rPr>
                      <w:rFonts w:hint="eastAsia" w:cs="Times New Roman"/>
                      <w:szCs w:val="21"/>
                      <w:highlight w:val="none"/>
                      <w:lang w:val="en-US" w:eastAsia="zh-CN"/>
                    </w:rPr>
                    <w:t>1333</w:t>
                  </w:r>
                  <w:r>
                    <w:rPr>
                      <w:rFonts w:hint="default" w:ascii="Times New Roman" w:hAnsi="Times New Roman" w:cs="Times New Roman"/>
                      <w:szCs w:val="21"/>
                      <w:highlight w:val="none"/>
                      <w:lang w:val="en-US" w:eastAsia="zh-CN"/>
                    </w:rPr>
                    <w:t>万块，</w:t>
                  </w:r>
                  <w:r>
                    <w:rPr>
                      <w:rFonts w:hint="default" w:ascii="Times New Roman" w:hAnsi="Times New Roman" w:cs="Times New Roman"/>
                      <w:szCs w:val="21"/>
                      <w:highlight w:val="none"/>
                    </w:rPr>
                    <w:t>各类生态路面环保砖</w:t>
                  </w:r>
                  <w:r>
                    <w:rPr>
                      <w:rFonts w:hint="eastAsia" w:cs="Times New Roman"/>
                      <w:szCs w:val="21"/>
                      <w:highlight w:val="none"/>
                      <w:lang w:val="en-US" w:eastAsia="zh-CN"/>
                    </w:rPr>
                    <w:t>333</w:t>
                  </w:r>
                  <w:r>
                    <w:rPr>
                      <w:rFonts w:hint="default" w:ascii="Times New Roman" w:hAnsi="Times New Roman" w:cs="Times New Roman"/>
                      <w:szCs w:val="21"/>
                      <w:highlight w:val="none"/>
                      <w:lang w:val="en-US" w:eastAsia="zh-CN"/>
                    </w:rPr>
                    <w:t>万块的生产能力</w:t>
                  </w:r>
                  <w:r>
                    <w:rPr>
                      <w:rFonts w:hint="eastAsia" w:cs="Times New Roman"/>
                      <w:color w:val="auto"/>
                      <w:kern w:val="0"/>
                      <w:szCs w:val="21"/>
                      <w:highlight w:val="none"/>
                      <w:vertAlign w:val="baseline"/>
                      <w:lang w:eastAsia="zh-CN" w:bidi="ar"/>
                    </w:rPr>
                    <w:t>购置粉碎机、分筛机、搅拌机等设备，设置四条生产线，达到年产</w:t>
                  </w:r>
                  <w:r>
                    <w:rPr>
                      <w:rFonts w:hint="eastAsia" w:cs="Times New Roman"/>
                      <w:color w:val="auto"/>
                      <w:kern w:val="0"/>
                      <w:szCs w:val="21"/>
                      <w:highlight w:val="none"/>
                      <w:vertAlign w:val="baseline"/>
                      <w:lang w:val="en-US" w:eastAsia="zh-CN" w:bidi="ar"/>
                    </w:rPr>
                    <w:t>3万吨固化土、3万吨回填土、2万吨绿化营养土、2万吨污泥颗粒</w:t>
                  </w:r>
                </w:p>
              </w:tc>
              <w:tc>
                <w:tcPr>
                  <w:tcW w:w="673" w:type="pct"/>
                  <w:noWrap/>
                  <w:vAlign w:val="center"/>
                </w:tcPr>
                <w:p w14:paraId="6C935340">
                  <w:pPr>
                    <w:spacing w:before="48" w:beforeLines="20"/>
                    <w:jc w:val="center"/>
                    <w:rPr>
                      <w:szCs w:val="21"/>
                      <w:highlight w:val="none"/>
                    </w:rPr>
                  </w:pPr>
                  <w:r>
                    <w:rPr>
                      <w:rFonts w:hint="eastAsia"/>
                      <w:szCs w:val="21"/>
                      <w:highlight w:val="none"/>
                      <w:lang w:eastAsia="zh-CN"/>
                    </w:rPr>
                    <w:t>面积改变，生产车间位置变更</w:t>
                  </w:r>
                </w:p>
              </w:tc>
            </w:tr>
            <w:tr w14:paraId="7FF0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noWrap/>
                  <w:vAlign w:val="center"/>
                </w:tcPr>
                <w:p w14:paraId="620D542D">
                  <w:pPr>
                    <w:spacing w:before="48" w:beforeLines="20"/>
                    <w:jc w:val="center"/>
                    <w:rPr>
                      <w:color w:val="FF0000"/>
                      <w:szCs w:val="21"/>
                    </w:rPr>
                  </w:pPr>
                  <w:r>
                    <w:rPr>
                      <w:szCs w:val="21"/>
                    </w:rPr>
                    <w:t>辅助工程</w:t>
                  </w:r>
                </w:p>
              </w:tc>
              <w:tc>
                <w:tcPr>
                  <w:tcW w:w="533" w:type="pct"/>
                  <w:noWrap/>
                  <w:vAlign w:val="center"/>
                </w:tcPr>
                <w:p w14:paraId="32F14492">
                  <w:pPr>
                    <w:spacing w:before="48" w:beforeLines="20"/>
                    <w:jc w:val="center"/>
                    <w:rPr>
                      <w:rFonts w:hint="eastAsia" w:eastAsia="宋体"/>
                      <w:szCs w:val="21"/>
                      <w:lang w:eastAsia="zh-CN"/>
                    </w:rPr>
                  </w:pPr>
                  <w:r>
                    <w:rPr>
                      <w:rFonts w:hint="eastAsia"/>
                      <w:szCs w:val="21"/>
                      <w:lang w:eastAsia="zh-CN"/>
                    </w:rPr>
                    <w:t>办公室</w:t>
                  </w:r>
                </w:p>
              </w:tc>
              <w:tc>
                <w:tcPr>
                  <w:tcW w:w="1195" w:type="pct"/>
                  <w:noWrap/>
                  <w:vAlign w:val="center"/>
                </w:tcPr>
                <w:p w14:paraId="0BE23F77">
                  <w:pPr>
                    <w:spacing w:before="48" w:beforeLines="20"/>
                    <w:jc w:val="center"/>
                    <w:rPr>
                      <w:szCs w:val="21"/>
                    </w:rPr>
                  </w:pPr>
                  <w:r>
                    <w:rPr>
                      <w:color w:val="auto"/>
                      <w:szCs w:val="21"/>
                    </w:rPr>
                    <w:t>位于</w:t>
                  </w:r>
                  <w:r>
                    <w:rPr>
                      <w:rFonts w:hint="eastAsia"/>
                      <w:color w:val="auto"/>
                      <w:szCs w:val="21"/>
                    </w:rPr>
                    <w:t>厂</w:t>
                  </w:r>
                  <w:r>
                    <w:rPr>
                      <w:color w:val="auto"/>
                      <w:szCs w:val="21"/>
                    </w:rPr>
                    <w:t>区东</w:t>
                  </w:r>
                  <w:r>
                    <w:rPr>
                      <w:rFonts w:hint="eastAsia"/>
                      <w:color w:val="auto"/>
                      <w:szCs w:val="21"/>
                      <w:lang w:val="en-US" w:eastAsia="zh-CN"/>
                    </w:rPr>
                    <w:t>北</w:t>
                  </w:r>
                  <w:r>
                    <w:rPr>
                      <w:color w:val="auto"/>
                      <w:szCs w:val="21"/>
                    </w:rPr>
                    <w:t>部，</w:t>
                  </w:r>
                  <w:r>
                    <w:rPr>
                      <w:rFonts w:hint="eastAsia"/>
                      <w:color w:val="auto"/>
                      <w:szCs w:val="21"/>
                      <w:lang w:eastAsia="zh-CN"/>
                    </w:rPr>
                    <w:t>建筑</w:t>
                  </w:r>
                  <w:r>
                    <w:rPr>
                      <w:color w:val="auto"/>
                      <w:szCs w:val="21"/>
                    </w:rPr>
                    <w:t>面积1</w:t>
                  </w:r>
                  <w:r>
                    <w:rPr>
                      <w:rFonts w:hint="eastAsia"/>
                      <w:color w:val="auto"/>
                      <w:szCs w:val="21"/>
                    </w:rPr>
                    <w:t>3</w:t>
                  </w:r>
                  <w:r>
                    <w:rPr>
                      <w:color w:val="auto"/>
                      <w:szCs w:val="21"/>
                    </w:rPr>
                    <w:t>m</w:t>
                  </w:r>
                  <w:r>
                    <w:rPr>
                      <w:color w:val="auto"/>
                      <w:szCs w:val="21"/>
                      <w:vertAlign w:val="superscript"/>
                    </w:rPr>
                    <w:t>2</w:t>
                  </w:r>
                  <w:r>
                    <w:rPr>
                      <w:color w:val="auto"/>
                      <w:szCs w:val="21"/>
                    </w:rPr>
                    <w:t>，用于办公。</w:t>
                  </w:r>
                </w:p>
              </w:tc>
              <w:tc>
                <w:tcPr>
                  <w:tcW w:w="1214" w:type="pct"/>
                  <w:noWrap/>
                  <w:vAlign w:val="center"/>
                </w:tcPr>
                <w:p w14:paraId="4F2C4A89">
                  <w:pPr>
                    <w:spacing w:before="48" w:beforeLines="20"/>
                    <w:jc w:val="center"/>
                    <w:rPr>
                      <w:szCs w:val="21"/>
                    </w:rPr>
                  </w:pPr>
                  <w:r>
                    <w:rPr>
                      <w:rFonts w:hint="eastAsia"/>
                      <w:szCs w:val="21"/>
                    </w:rPr>
                    <w:t>/</w:t>
                  </w:r>
                </w:p>
              </w:tc>
              <w:tc>
                <w:tcPr>
                  <w:tcW w:w="1057" w:type="pct"/>
                  <w:noWrap/>
                  <w:vAlign w:val="center"/>
                </w:tcPr>
                <w:p w14:paraId="0C576448">
                  <w:pPr>
                    <w:spacing w:before="48" w:beforeLines="20"/>
                    <w:jc w:val="center"/>
                    <w:rPr>
                      <w:szCs w:val="21"/>
                    </w:rPr>
                  </w:pPr>
                  <w:r>
                    <w:rPr>
                      <w:color w:val="auto"/>
                      <w:szCs w:val="21"/>
                    </w:rPr>
                    <w:t>位于</w:t>
                  </w:r>
                  <w:r>
                    <w:rPr>
                      <w:rFonts w:hint="eastAsia"/>
                      <w:color w:val="auto"/>
                      <w:szCs w:val="21"/>
                    </w:rPr>
                    <w:t>厂</w:t>
                  </w:r>
                  <w:r>
                    <w:rPr>
                      <w:color w:val="auto"/>
                      <w:szCs w:val="21"/>
                    </w:rPr>
                    <w:t>区东</w:t>
                  </w:r>
                  <w:r>
                    <w:rPr>
                      <w:rFonts w:hint="eastAsia"/>
                      <w:color w:val="auto"/>
                      <w:szCs w:val="21"/>
                      <w:lang w:val="en-US" w:eastAsia="zh-CN"/>
                    </w:rPr>
                    <w:t>北</w:t>
                  </w:r>
                  <w:r>
                    <w:rPr>
                      <w:color w:val="auto"/>
                      <w:szCs w:val="21"/>
                    </w:rPr>
                    <w:t>部，</w:t>
                  </w:r>
                  <w:r>
                    <w:rPr>
                      <w:rFonts w:hint="eastAsia"/>
                      <w:color w:val="auto"/>
                      <w:szCs w:val="21"/>
                      <w:lang w:eastAsia="zh-CN"/>
                    </w:rPr>
                    <w:t>建筑</w:t>
                  </w:r>
                  <w:r>
                    <w:rPr>
                      <w:color w:val="auto"/>
                      <w:szCs w:val="21"/>
                    </w:rPr>
                    <w:t>面积1</w:t>
                  </w:r>
                  <w:r>
                    <w:rPr>
                      <w:rFonts w:hint="eastAsia"/>
                      <w:color w:val="auto"/>
                      <w:szCs w:val="21"/>
                    </w:rPr>
                    <w:t>3</w:t>
                  </w:r>
                  <w:r>
                    <w:rPr>
                      <w:color w:val="auto"/>
                      <w:szCs w:val="21"/>
                    </w:rPr>
                    <w:t>m</w:t>
                  </w:r>
                  <w:r>
                    <w:rPr>
                      <w:color w:val="auto"/>
                      <w:szCs w:val="21"/>
                      <w:vertAlign w:val="superscript"/>
                    </w:rPr>
                    <w:t>2</w:t>
                  </w:r>
                  <w:r>
                    <w:rPr>
                      <w:color w:val="auto"/>
                      <w:szCs w:val="21"/>
                    </w:rPr>
                    <w:t>，用于办公。</w:t>
                  </w:r>
                </w:p>
              </w:tc>
              <w:tc>
                <w:tcPr>
                  <w:tcW w:w="673" w:type="pct"/>
                  <w:noWrap/>
                  <w:vAlign w:val="center"/>
                </w:tcPr>
                <w:p w14:paraId="0C948A9B">
                  <w:pPr>
                    <w:spacing w:before="48" w:beforeLines="20"/>
                    <w:jc w:val="center"/>
                    <w:rPr>
                      <w:szCs w:val="21"/>
                    </w:rPr>
                  </w:pPr>
                  <w:r>
                    <w:rPr>
                      <w:szCs w:val="21"/>
                    </w:rPr>
                    <w:t>无变更</w:t>
                  </w:r>
                </w:p>
              </w:tc>
            </w:tr>
            <w:tr w14:paraId="00B7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restart"/>
                  <w:noWrap/>
                  <w:vAlign w:val="center"/>
                </w:tcPr>
                <w:p w14:paraId="619D0BC8">
                  <w:pPr>
                    <w:spacing w:before="48" w:beforeLines="20"/>
                    <w:jc w:val="center"/>
                    <w:rPr>
                      <w:szCs w:val="21"/>
                    </w:rPr>
                  </w:pPr>
                  <w:r>
                    <w:rPr>
                      <w:szCs w:val="21"/>
                    </w:rPr>
                    <w:t>储运工程</w:t>
                  </w:r>
                </w:p>
              </w:tc>
              <w:tc>
                <w:tcPr>
                  <w:tcW w:w="533" w:type="pct"/>
                  <w:noWrap/>
                  <w:vAlign w:val="center"/>
                </w:tcPr>
                <w:p w14:paraId="4805AEE2">
                  <w:pPr>
                    <w:adjustRightInd w:val="0"/>
                    <w:snapToGrid w:val="0"/>
                    <w:jc w:val="center"/>
                    <w:rPr>
                      <w:szCs w:val="21"/>
                    </w:rPr>
                  </w:pPr>
                  <w:r>
                    <w:rPr>
                      <w:szCs w:val="21"/>
                    </w:rPr>
                    <w:t>原料区</w:t>
                  </w:r>
                </w:p>
              </w:tc>
              <w:tc>
                <w:tcPr>
                  <w:tcW w:w="1195" w:type="pct"/>
                  <w:noWrap/>
                  <w:vAlign w:val="center"/>
                </w:tcPr>
                <w:p w14:paraId="7E82FCA2">
                  <w:pPr>
                    <w:spacing w:before="48" w:beforeLines="20"/>
                    <w:jc w:val="center"/>
                    <w:rPr>
                      <w:szCs w:val="21"/>
                      <w:highlight w:val="none"/>
                    </w:rPr>
                  </w:pPr>
                  <w:r>
                    <w:rPr>
                      <w:szCs w:val="21"/>
                      <w:highlight w:val="none"/>
                    </w:rPr>
                    <w:t>位于</w:t>
                  </w:r>
                  <w:r>
                    <w:rPr>
                      <w:rFonts w:hint="eastAsia"/>
                      <w:szCs w:val="21"/>
                      <w:highlight w:val="none"/>
                    </w:rPr>
                    <w:t>厂</w:t>
                  </w:r>
                  <w:r>
                    <w:rPr>
                      <w:szCs w:val="21"/>
                      <w:highlight w:val="none"/>
                    </w:rPr>
                    <w:t>区</w:t>
                  </w:r>
                  <w:r>
                    <w:rPr>
                      <w:rFonts w:hint="eastAsia"/>
                      <w:szCs w:val="21"/>
                      <w:highlight w:val="none"/>
                      <w:lang w:val="en-US" w:eastAsia="zh-CN"/>
                    </w:rPr>
                    <w:t>东</w:t>
                  </w:r>
                  <w:r>
                    <w:rPr>
                      <w:szCs w:val="21"/>
                      <w:highlight w:val="none"/>
                    </w:rPr>
                    <w:t>部，</w:t>
                  </w:r>
                  <w:r>
                    <w:rPr>
                      <w:rFonts w:hint="eastAsia"/>
                      <w:szCs w:val="21"/>
                      <w:highlight w:val="none"/>
                      <w:lang w:eastAsia="zh-CN"/>
                    </w:rPr>
                    <w:t>建筑面积</w:t>
                  </w:r>
                  <w:r>
                    <w:rPr>
                      <w:szCs w:val="21"/>
                      <w:highlight w:val="none"/>
                    </w:rPr>
                    <w:t>面积为</w:t>
                  </w:r>
                  <w:r>
                    <w:rPr>
                      <w:rFonts w:hint="eastAsia"/>
                      <w:szCs w:val="21"/>
                      <w:highlight w:val="none"/>
                      <w:lang w:val="en-US" w:eastAsia="zh-CN"/>
                    </w:rPr>
                    <w:t>3</w:t>
                  </w:r>
                  <w:r>
                    <w:rPr>
                      <w:szCs w:val="21"/>
                      <w:highlight w:val="none"/>
                    </w:rPr>
                    <w:t>00m</w:t>
                  </w:r>
                  <w:r>
                    <w:rPr>
                      <w:szCs w:val="21"/>
                      <w:highlight w:val="none"/>
                      <w:vertAlign w:val="superscript"/>
                    </w:rPr>
                    <w:t>2</w:t>
                  </w:r>
                  <w:r>
                    <w:rPr>
                      <w:szCs w:val="21"/>
                      <w:highlight w:val="none"/>
                    </w:rPr>
                    <w:t>，主要用于原材料（</w:t>
                  </w:r>
                  <w:r>
                    <w:rPr>
                      <w:rFonts w:hint="eastAsia"/>
                      <w:szCs w:val="21"/>
                      <w:highlight w:val="none"/>
                      <w:lang w:eastAsia="zh-CN"/>
                    </w:rPr>
                    <w:t>炉渣、机制砂</w:t>
                  </w:r>
                  <w:r>
                    <w:rPr>
                      <w:szCs w:val="21"/>
                      <w:highlight w:val="none"/>
                    </w:rPr>
                    <w:t>）的暂存</w:t>
                  </w:r>
                  <w:r>
                    <w:rPr>
                      <w:rFonts w:hint="eastAsia"/>
                      <w:szCs w:val="21"/>
                      <w:highlight w:val="none"/>
                      <w:lang w:eastAsia="zh-CN"/>
                    </w:rPr>
                    <w:t>；厂区西北侧设置固化剂、生物除臭剂暂存区</w:t>
                  </w:r>
                  <w:r>
                    <w:rPr>
                      <w:szCs w:val="21"/>
                      <w:highlight w:val="none"/>
                    </w:rPr>
                    <w:t>面积为</w:t>
                  </w:r>
                  <w:r>
                    <w:rPr>
                      <w:rFonts w:hint="eastAsia"/>
                      <w:szCs w:val="21"/>
                      <w:highlight w:val="none"/>
                      <w:lang w:val="en-US" w:eastAsia="zh-CN"/>
                    </w:rPr>
                    <w:t>15</w:t>
                  </w:r>
                  <w:r>
                    <w:rPr>
                      <w:szCs w:val="21"/>
                      <w:highlight w:val="none"/>
                    </w:rPr>
                    <w:t>m</w:t>
                  </w:r>
                  <w:r>
                    <w:rPr>
                      <w:szCs w:val="21"/>
                      <w:highlight w:val="none"/>
                      <w:vertAlign w:val="superscript"/>
                    </w:rPr>
                    <w:t>2</w:t>
                  </w:r>
                  <w:r>
                    <w:rPr>
                      <w:rFonts w:hint="eastAsia"/>
                      <w:szCs w:val="21"/>
                      <w:highlight w:val="none"/>
                      <w:vertAlign w:val="baseline"/>
                      <w:lang w:eastAsia="zh-CN"/>
                    </w:rPr>
                    <w:t>。</w:t>
                  </w:r>
                </w:p>
              </w:tc>
              <w:tc>
                <w:tcPr>
                  <w:tcW w:w="1214" w:type="pct"/>
                  <w:noWrap/>
                  <w:vAlign w:val="center"/>
                </w:tcPr>
                <w:p w14:paraId="2144CA01">
                  <w:pPr>
                    <w:spacing w:before="48" w:beforeLines="20"/>
                    <w:jc w:val="center"/>
                    <w:rPr>
                      <w:szCs w:val="21"/>
                      <w:highlight w:val="none"/>
                    </w:rPr>
                  </w:pPr>
                  <w:r>
                    <w:rPr>
                      <w:szCs w:val="21"/>
                      <w:highlight w:val="none"/>
                    </w:rPr>
                    <w:t>位于</w:t>
                  </w:r>
                  <w:r>
                    <w:rPr>
                      <w:rFonts w:hint="eastAsia"/>
                      <w:szCs w:val="21"/>
                      <w:highlight w:val="none"/>
                    </w:rPr>
                    <w:t>厂</w:t>
                  </w:r>
                  <w:r>
                    <w:rPr>
                      <w:szCs w:val="21"/>
                      <w:highlight w:val="none"/>
                    </w:rPr>
                    <w:t>区</w:t>
                  </w:r>
                  <w:r>
                    <w:rPr>
                      <w:rFonts w:hint="eastAsia"/>
                      <w:szCs w:val="21"/>
                      <w:highlight w:val="none"/>
                      <w:lang w:val="en-US" w:eastAsia="zh-CN"/>
                    </w:rPr>
                    <w:t>南侧</w:t>
                  </w:r>
                  <w:r>
                    <w:rPr>
                      <w:szCs w:val="21"/>
                      <w:highlight w:val="none"/>
                    </w:rPr>
                    <w:t>，</w:t>
                  </w:r>
                  <w:r>
                    <w:rPr>
                      <w:rFonts w:hint="eastAsia"/>
                      <w:szCs w:val="21"/>
                      <w:highlight w:val="none"/>
                      <w:lang w:eastAsia="zh-CN"/>
                    </w:rPr>
                    <w:t>建筑面积</w:t>
                  </w:r>
                  <w:r>
                    <w:rPr>
                      <w:szCs w:val="21"/>
                      <w:highlight w:val="none"/>
                    </w:rPr>
                    <w:t>面积为</w:t>
                  </w:r>
                  <w:r>
                    <w:rPr>
                      <w:rFonts w:hint="eastAsia"/>
                      <w:szCs w:val="21"/>
                      <w:highlight w:val="none"/>
                      <w:lang w:val="en-US" w:eastAsia="zh-CN"/>
                    </w:rPr>
                    <w:t>587</w:t>
                  </w:r>
                  <w:r>
                    <w:rPr>
                      <w:szCs w:val="21"/>
                      <w:highlight w:val="none"/>
                    </w:rPr>
                    <w:t>m</w:t>
                  </w:r>
                  <w:r>
                    <w:rPr>
                      <w:szCs w:val="21"/>
                      <w:highlight w:val="none"/>
                      <w:vertAlign w:val="superscript"/>
                    </w:rPr>
                    <w:t>2</w:t>
                  </w:r>
                  <w:r>
                    <w:rPr>
                      <w:szCs w:val="21"/>
                      <w:highlight w:val="none"/>
                    </w:rPr>
                    <w:t>，主要用于原材料（</w:t>
                  </w:r>
                  <w:r>
                    <w:rPr>
                      <w:rFonts w:hint="eastAsia"/>
                      <w:szCs w:val="21"/>
                      <w:highlight w:val="none"/>
                      <w:lang w:eastAsia="zh-CN"/>
                    </w:rPr>
                    <w:t>炉渣、脱硫石膏、污泥等</w:t>
                  </w:r>
                  <w:r>
                    <w:rPr>
                      <w:szCs w:val="21"/>
                      <w:highlight w:val="none"/>
                    </w:rPr>
                    <w:t>）的暂存</w:t>
                  </w:r>
                </w:p>
              </w:tc>
              <w:tc>
                <w:tcPr>
                  <w:tcW w:w="1057" w:type="pct"/>
                  <w:noWrap/>
                  <w:vAlign w:val="center"/>
                </w:tcPr>
                <w:p w14:paraId="7334FBC9">
                  <w:pPr>
                    <w:spacing w:before="48" w:beforeLines="20"/>
                    <w:jc w:val="center"/>
                    <w:rPr>
                      <w:rFonts w:hint="eastAsia" w:eastAsia="宋体"/>
                      <w:szCs w:val="21"/>
                      <w:highlight w:val="none"/>
                      <w:lang w:eastAsia="zh-CN"/>
                    </w:rPr>
                  </w:pPr>
                  <w:r>
                    <w:rPr>
                      <w:szCs w:val="21"/>
                      <w:highlight w:val="none"/>
                    </w:rPr>
                    <w:t>位于</w:t>
                  </w:r>
                  <w:r>
                    <w:rPr>
                      <w:rFonts w:hint="eastAsia"/>
                      <w:szCs w:val="21"/>
                      <w:highlight w:val="none"/>
                    </w:rPr>
                    <w:t>厂</w:t>
                  </w:r>
                  <w:r>
                    <w:rPr>
                      <w:szCs w:val="21"/>
                      <w:highlight w:val="none"/>
                    </w:rPr>
                    <w:t>区</w:t>
                  </w:r>
                  <w:r>
                    <w:rPr>
                      <w:rFonts w:hint="eastAsia"/>
                      <w:szCs w:val="21"/>
                      <w:highlight w:val="none"/>
                      <w:lang w:val="en-US" w:eastAsia="zh-CN"/>
                    </w:rPr>
                    <w:t>南侧</w:t>
                  </w:r>
                  <w:r>
                    <w:rPr>
                      <w:szCs w:val="21"/>
                      <w:highlight w:val="none"/>
                    </w:rPr>
                    <w:t>，</w:t>
                  </w:r>
                  <w:r>
                    <w:rPr>
                      <w:rFonts w:hint="eastAsia"/>
                      <w:szCs w:val="21"/>
                      <w:highlight w:val="none"/>
                      <w:lang w:eastAsia="zh-CN"/>
                    </w:rPr>
                    <w:t>建筑面积</w:t>
                  </w:r>
                  <w:r>
                    <w:rPr>
                      <w:szCs w:val="21"/>
                      <w:highlight w:val="none"/>
                    </w:rPr>
                    <w:t>面积为</w:t>
                  </w:r>
                  <w:r>
                    <w:rPr>
                      <w:rFonts w:hint="eastAsia"/>
                      <w:szCs w:val="21"/>
                      <w:highlight w:val="none"/>
                      <w:lang w:val="en-US" w:eastAsia="zh-CN"/>
                    </w:rPr>
                    <w:t>587</w:t>
                  </w:r>
                  <w:r>
                    <w:rPr>
                      <w:szCs w:val="21"/>
                      <w:highlight w:val="none"/>
                    </w:rPr>
                    <w:t>m</w:t>
                  </w:r>
                  <w:r>
                    <w:rPr>
                      <w:szCs w:val="21"/>
                      <w:highlight w:val="none"/>
                      <w:vertAlign w:val="superscript"/>
                    </w:rPr>
                    <w:t>2</w:t>
                  </w:r>
                  <w:r>
                    <w:rPr>
                      <w:szCs w:val="21"/>
                      <w:highlight w:val="none"/>
                    </w:rPr>
                    <w:t>，主要用于原材料（</w:t>
                  </w:r>
                  <w:r>
                    <w:rPr>
                      <w:rFonts w:hint="eastAsia"/>
                      <w:szCs w:val="21"/>
                      <w:highlight w:val="none"/>
                      <w:lang w:eastAsia="zh-CN"/>
                    </w:rPr>
                    <w:t>炉渣、脱硫石膏、污泥、机制砂等</w:t>
                  </w:r>
                  <w:r>
                    <w:rPr>
                      <w:szCs w:val="21"/>
                      <w:highlight w:val="none"/>
                    </w:rPr>
                    <w:t>）的暂存</w:t>
                  </w:r>
                  <w:r>
                    <w:rPr>
                      <w:rFonts w:hint="eastAsia"/>
                      <w:szCs w:val="21"/>
                      <w:highlight w:val="none"/>
                      <w:lang w:eastAsia="zh-CN"/>
                    </w:rPr>
                    <w:t>，厂区西北侧设置固化剂、生物除臭剂暂存区</w:t>
                  </w:r>
                  <w:r>
                    <w:rPr>
                      <w:szCs w:val="21"/>
                      <w:highlight w:val="none"/>
                    </w:rPr>
                    <w:t>面积为</w:t>
                  </w:r>
                  <w:r>
                    <w:rPr>
                      <w:rFonts w:hint="eastAsia"/>
                      <w:szCs w:val="21"/>
                      <w:highlight w:val="none"/>
                      <w:lang w:val="en-US" w:eastAsia="zh-CN"/>
                    </w:rPr>
                    <w:t>15</w:t>
                  </w:r>
                  <w:r>
                    <w:rPr>
                      <w:szCs w:val="21"/>
                      <w:highlight w:val="none"/>
                    </w:rPr>
                    <w:t>m</w:t>
                  </w:r>
                  <w:r>
                    <w:rPr>
                      <w:szCs w:val="21"/>
                      <w:highlight w:val="none"/>
                      <w:vertAlign w:val="superscript"/>
                    </w:rPr>
                    <w:t>2</w:t>
                  </w:r>
                  <w:r>
                    <w:rPr>
                      <w:rFonts w:hint="eastAsia"/>
                      <w:szCs w:val="21"/>
                      <w:highlight w:val="none"/>
                      <w:vertAlign w:val="baseline"/>
                      <w:lang w:eastAsia="zh-CN"/>
                    </w:rPr>
                    <w:t>。</w:t>
                  </w:r>
                </w:p>
              </w:tc>
              <w:tc>
                <w:tcPr>
                  <w:tcW w:w="673" w:type="pct"/>
                  <w:noWrap/>
                  <w:vAlign w:val="center"/>
                </w:tcPr>
                <w:p w14:paraId="68869958">
                  <w:pPr>
                    <w:spacing w:before="48" w:beforeLines="20"/>
                    <w:jc w:val="center"/>
                    <w:rPr>
                      <w:rFonts w:hint="eastAsia" w:eastAsia="宋体"/>
                      <w:szCs w:val="21"/>
                      <w:highlight w:val="none"/>
                      <w:lang w:eastAsia="zh-CN"/>
                    </w:rPr>
                  </w:pPr>
                  <w:r>
                    <w:rPr>
                      <w:rFonts w:hint="eastAsia"/>
                      <w:szCs w:val="21"/>
                      <w:highlight w:val="none"/>
                      <w:lang w:eastAsia="zh-CN"/>
                    </w:rPr>
                    <w:t>位置变更，</w:t>
                  </w:r>
                  <w:r>
                    <w:rPr>
                      <w:rFonts w:hint="eastAsia"/>
                      <w:szCs w:val="21"/>
                      <w:highlight w:val="none"/>
                    </w:rPr>
                    <w:t>面积</w:t>
                  </w:r>
                  <w:r>
                    <w:rPr>
                      <w:rFonts w:hint="eastAsia"/>
                      <w:szCs w:val="21"/>
                      <w:highlight w:val="none"/>
                      <w:lang w:eastAsia="zh-CN"/>
                    </w:rPr>
                    <w:t>增大</w:t>
                  </w:r>
                  <w:r>
                    <w:rPr>
                      <w:rFonts w:hint="eastAsia"/>
                      <w:szCs w:val="21"/>
                      <w:highlight w:val="none"/>
                    </w:rPr>
                    <w:t>，</w:t>
                  </w:r>
                  <w:r>
                    <w:rPr>
                      <w:rFonts w:hint="eastAsia"/>
                      <w:szCs w:val="21"/>
                      <w:highlight w:val="none"/>
                      <w:lang w:eastAsia="zh-CN"/>
                    </w:rPr>
                    <w:t>增加贮存量</w:t>
                  </w:r>
                </w:p>
              </w:tc>
            </w:tr>
            <w:tr w14:paraId="76D6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6B7D5D98">
                  <w:pPr>
                    <w:spacing w:before="48" w:beforeLines="20"/>
                    <w:jc w:val="center"/>
                    <w:rPr>
                      <w:szCs w:val="21"/>
                    </w:rPr>
                  </w:pPr>
                </w:p>
              </w:tc>
              <w:tc>
                <w:tcPr>
                  <w:tcW w:w="533" w:type="pct"/>
                  <w:noWrap/>
                  <w:vAlign w:val="center"/>
                </w:tcPr>
                <w:p w14:paraId="0525A5B3">
                  <w:pPr>
                    <w:adjustRightInd w:val="0"/>
                    <w:snapToGrid w:val="0"/>
                    <w:jc w:val="center"/>
                    <w:rPr>
                      <w:szCs w:val="21"/>
                    </w:rPr>
                  </w:pPr>
                  <w:r>
                    <w:rPr>
                      <w:rFonts w:hint="eastAsia"/>
                      <w:color w:val="auto"/>
                      <w:szCs w:val="21"/>
                      <w:lang w:eastAsia="zh-CN"/>
                    </w:rPr>
                    <w:t>污泥储存区</w:t>
                  </w:r>
                </w:p>
              </w:tc>
              <w:tc>
                <w:tcPr>
                  <w:tcW w:w="1195" w:type="pct"/>
                  <w:noWrap/>
                  <w:vAlign w:val="center"/>
                </w:tcPr>
                <w:p w14:paraId="7B68CB0E">
                  <w:pPr>
                    <w:spacing w:before="48" w:beforeLines="20"/>
                    <w:jc w:val="center"/>
                    <w:rPr>
                      <w:szCs w:val="21"/>
                      <w:highlight w:val="none"/>
                    </w:rPr>
                  </w:pPr>
                  <w:r>
                    <w:rPr>
                      <w:rFonts w:hint="eastAsia"/>
                      <w:color w:val="auto"/>
                      <w:szCs w:val="21"/>
                      <w:highlight w:val="none"/>
                      <w:lang w:eastAsia="zh-CN"/>
                    </w:rPr>
                    <w:t>位于厂区西南侧，建筑面积</w:t>
                  </w:r>
                  <w:r>
                    <w:rPr>
                      <w:rFonts w:hint="eastAsia"/>
                      <w:color w:val="auto"/>
                      <w:szCs w:val="21"/>
                      <w:highlight w:val="none"/>
                      <w:lang w:val="en-US" w:eastAsia="zh-CN"/>
                    </w:rPr>
                    <w:t>200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w:t>
                  </w:r>
                  <w:r>
                    <w:rPr>
                      <w:rFonts w:hint="eastAsia" w:cs="Times New Roman"/>
                      <w:color w:val="auto"/>
                      <w:kern w:val="0"/>
                      <w:szCs w:val="21"/>
                      <w:highlight w:val="none"/>
                      <w:vertAlign w:val="baseline"/>
                      <w:lang w:val="en-US" w:eastAsia="zh-CN" w:bidi="ar"/>
                    </w:rPr>
                    <w:t>污泥为干料，无渗滤液。</w:t>
                  </w:r>
                </w:p>
              </w:tc>
              <w:tc>
                <w:tcPr>
                  <w:tcW w:w="1214" w:type="pct"/>
                  <w:noWrap/>
                  <w:vAlign w:val="center"/>
                </w:tcPr>
                <w:p w14:paraId="7448839E">
                  <w:pPr>
                    <w:spacing w:before="48" w:beforeLines="20"/>
                    <w:jc w:val="center"/>
                    <w:rPr>
                      <w:szCs w:val="21"/>
                      <w:highlight w:val="none"/>
                    </w:rPr>
                  </w:pPr>
                  <w:r>
                    <w:rPr>
                      <w:rFonts w:hint="eastAsia"/>
                      <w:color w:val="auto"/>
                      <w:szCs w:val="21"/>
                      <w:highlight w:val="none"/>
                      <w:lang w:eastAsia="zh-CN"/>
                    </w:rPr>
                    <w:t>位于厂区西南侧，建筑面积</w:t>
                  </w:r>
                  <w:r>
                    <w:rPr>
                      <w:rFonts w:hint="eastAsia"/>
                      <w:color w:val="auto"/>
                      <w:szCs w:val="21"/>
                      <w:highlight w:val="none"/>
                      <w:lang w:val="en-US" w:eastAsia="zh-CN"/>
                    </w:rPr>
                    <w:t>200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w:t>
                  </w:r>
                  <w:r>
                    <w:rPr>
                      <w:rFonts w:hint="eastAsia" w:cs="Times New Roman"/>
                      <w:color w:val="auto"/>
                      <w:kern w:val="0"/>
                      <w:szCs w:val="21"/>
                      <w:highlight w:val="none"/>
                      <w:vertAlign w:val="baseline"/>
                      <w:lang w:val="en-US" w:eastAsia="zh-CN" w:bidi="ar"/>
                    </w:rPr>
                    <w:t>污泥为干料，无渗滤液。</w:t>
                  </w:r>
                </w:p>
              </w:tc>
              <w:tc>
                <w:tcPr>
                  <w:tcW w:w="1057" w:type="pct"/>
                  <w:noWrap/>
                  <w:vAlign w:val="center"/>
                </w:tcPr>
                <w:p w14:paraId="4127080D">
                  <w:pPr>
                    <w:spacing w:before="48" w:beforeLines="20"/>
                    <w:jc w:val="center"/>
                    <w:rPr>
                      <w:szCs w:val="21"/>
                      <w:highlight w:val="none"/>
                    </w:rPr>
                  </w:pPr>
                  <w:r>
                    <w:rPr>
                      <w:rFonts w:hint="eastAsia"/>
                      <w:color w:val="auto"/>
                      <w:szCs w:val="21"/>
                      <w:highlight w:val="none"/>
                      <w:lang w:eastAsia="zh-CN"/>
                    </w:rPr>
                    <w:t>位于厂区西南侧，建筑面积</w:t>
                  </w:r>
                  <w:r>
                    <w:rPr>
                      <w:rFonts w:hint="eastAsia"/>
                      <w:color w:val="auto"/>
                      <w:szCs w:val="21"/>
                      <w:highlight w:val="none"/>
                      <w:lang w:val="en-US" w:eastAsia="zh-CN"/>
                    </w:rPr>
                    <w:t>200</w:t>
                  </w:r>
                  <w:r>
                    <w:rPr>
                      <w:rFonts w:hint="default" w:ascii="Times New Roman" w:hAnsi="Times New Roman" w:cs="Times New Roman"/>
                      <w:color w:val="auto"/>
                      <w:kern w:val="0"/>
                      <w:szCs w:val="21"/>
                      <w:highlight w:val="none"/>
                      <w:lang w:bidi="ar"/>
                    </w:rPr>
                    <w:t>m</w:t>
                  </w:r>
                  <w:r>
                    <w:rPr>
                      <w:rFonts w:hint="default" w:ascii="Times New Roman" w:hAnsi="Times New Roman" w:cs="Times New Roman"/>
                      <w:color w:val="auto"/>
                      <w:kern w:val="0"/>
                      <w:szCs w:val="21"/>
                      <w:highlight w:val="none"/>
                      <w:vertAlign w:val="superscript"/>
                      <w:lang w:bidi="ar"/>
                    </w:rPr>
                    <w:t>2</w:t>
                  </w:r>
                  <w:r>
                    <w:rPr>
                      <w:rFonts w:hint="eastAsia" w:cs="Times New Roman"/>
                      <w:color w:val="auto"/>
                      <w:kern w:val="0"/>
                      <w:szCs w:val="21"/>
                      <w:highlight w:val="none"/>
                      <w:vertAlign w:val="baseline"/>
                      <w:lang w:eastAsia="zh-CN" w:bidi="ar"/>
                    </w:rPr>
                    <w:t>，</w:t>
                  </w:r>
                  <w:r>
                    <w:rPr>
                      <w:rFonts w:hint="eastAsia" w:cs="Times New Roman"/>
                      <w:color w:val="auto"/>
                      <w:kern w:val="0"/>
                      <w:szCs w:val="21"/>
                      <w:highlight w:val="none"/>
                      <w:vertAlign w:val="baseline"/>
                      <w:lang w:val="en-US" w:eastAsia="zh-CN" w:bidi="ar"/>
                    </w:rPr>
                    <w:t>污泥为干料，无渗滤液。</w:t>
                  </w:r>
                </w:p>
              </w:tc>
              <w:tc>
                <w:tcPr>
                  <w:tcW w:w="673" w:type="pct"/>
                  <w:noWrap/>
                  <w:vAlign w:val="center"/>
                </w:tcPr>
                <w:p w14:paraId="6515645E">
                  <w:pPr>
                    <w:spacing w:before="48" w:beforeLines="20"/>
                    <w:jc w:val="center"/>
                    <w:rPr>
                      <w:rFonts w:hint="eastAsia" w:eastAsia="宋体"/>
                      <w:szCs w:val="21"/>
                      <w:highlight w:val="none"/>
                      <w:lang w:eastAsia="zh-CN"/>
                    </w:rPr>
                  </w:pPr>
                  <w:r>
                    <w:rPr>
                      <w:rFonts w:hint="eastAsia"/>
                      <w:szCs w:val="21"/>
                      <w:highlight w:val="none"/>
                      <w:lang w:eastAsia="zh-CN"/>
                    </w:rPr>
                    <w:t>无变更</w:t>
                  </w:r>
                </w:p>
              </w:tc>
            </w:tr>
            <w:tr w14:paraId="3575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59F86F3B">
                  <w:pPr>
                    <w:spacing w:before="48" w:beforeLines="20"/>
                    <w:jc w:val="center"/>
                    <w:rPr>
                      <w:color w:val="FF0000"/>
                      <w:szCs w:val="21"/>
                    </w:rPr>
                  </w:pPr>
                </w:p>
              </w:tc>
              <w:tc>
                <w:tcPr>
                  <w:tcW w:w="533" w:type="pct"/>
                  <w:noWrap/>
                  <w:vAlign w:val="center"/>
                </w:tcPr>
                <w:p w14:paraId="1127A992">
                  <w:pPr>
                    <w:adjustRightInd w:val="0"/>
                    <w:snapToGrid w:val="0"/>
                    <w:jc w:val="center"/>
                    <w:rPr>
                      <w:szCs w:val="21"/>
                    </w:rPr>
                  </w:pPr>
                  <w:r>
                    <w:rPr>
                      <w:color w:val="auto"/>
                      <w:szCs w:val="21"/>
                    </w:rPr>
                    <w:t>成品区</w:t>
                  </w:r>
                </w:p>
              </w:tc>
              <w:tc>
                <w:tcPr>
                  <w:tcW w:w="1195" w:type="pct"/>
                  <w:noWrap/>
                  <w:vAlign w:val="center"/>
                </w:tcPr>
                <w:p w14:paraId="2016CE8A">
                  <w:pPr>
                    <w:adjustRightInd w:val="0"/>
                    <w:snapToGrid w:val="0"/>
                    <w:jc w:val="center"/>
                    <w:rPr>
                      <w:szCs w:val="21"/>
                    </w:rPr>
                  </w:pPr>
                  <w:r>
                    <w:rPr>
                      <w:color w:val="auto"/>
                      <w:kern w:val="0"/>
                      <w:szCs w:val="21"/>
                      <w:lang w:bidi="ar"/>
                    </w:rPr>
                    <w:t>位于</w:t>
                  </w:r>
                  <w:r>
                    <w:rPr>
                      <w:rFonts w:hint="eastAsia"/>
                      <w:color w:val="auto"/>
                      <w:kern w:val="0"/>
                      <w:szCs w:val="21"/>
                      <w:lang w:bidi="ar"/>
                    </w:rPr>
                    <w:t>厂</w:t>
                  </w:r>
                  <w:r>
                    <w:rPr>
                      <w:color w:val="auto"/>
                      <w:kern w:val="0"/>
                      <w:szCs w:val="21"/>
                      <w:lang w:bidi="ar"/>
                    </w:rPr>
                    <w:t>区</w:t>
                  </w:r>
                  <w:r>
                    <w:rPr>
                      <w:rFonts w:hint="eastAsia"/>
                      <w:color w:val="auto"/>
                      <w:kern w:val="0"/>
                      <w:szCs w:val="21"/>
                      <w:lang w:val="en-US" w:eastAsia="zh-CN" w:bidi="ar"/>
                    </w:rPr>
                    <w:t>北</w:t>
                  </w:r>
                  <w:r>
                    <w:rPr>
                      <w:color w:val="auto"/>
                      <w:kern w:val="0"/>
                      <w:szCs w:val="21"/>
                      <w:lang w:bidi="ar"/>
                    </w:rPr>
                    <w:t>部，</w:t>
                  </w:r>
                  <w:r>
                    <w:rPr>
                      <w:rFonts w:hint="eastAsia"/>
                      <w:color w:val="auto"/>
                      <w:kern w:val="0"/>
                      <w:szCs w:val="21"/>
                      <w:lang w:eastAsia="zh-CN" w:bidi="ar"/>
                    </w:rPr>
                    <w:t>建筑</w:t>
                  </w:r>
                  <w:r>
                    <w:rPr>
                      <w:color w:val="auto"/>
                      <w:kern w:val="0"/>
                      <w:szCs w:val="21"/>
                      <w:lang w:bidi="ar"/>
                    </w:rPr>
                    <w:t>面积为</w:t>
                  </w:r>
                  <w:r>
                    <w:rPr>
                      <w:rFonts w:hint="eastAsia"/>
                      <w:color w:val="auto"/>
                      <w:kern w:val="0"/>
                      <w:szCs w:val="21"/>
                      <w:lang w:val="en-US" w:eastAsia="zh-CN" w:bidi="ar"/>
                    </w:rPr>
                    <w:t>5</w:t>
                  </w:r>
                  <w:r>
                    <w:rPr>
                      <w:color w:val="auto"/>
                      <w:kern w:val="0"/>
                      <w:szCs w:val="21"/>
                      <w:lang w:bidi="ar"/>
                    </w:rPr>
                    <w:t>00m</w:t>
                  </w:r>
                  <w:r>
                    <w:rPr>
                      <w:color w:val="auto"/>
                      <w:kern w:val="0"/>
                      <w:szCs w:val="21"/>
                      <w:vertAlign w:val="superscript"/>
                      <w:lang w:bidi="ar"/>
                    </w:rPr>
                    <w:t>2</w:t>
                  </w:r>
                  <w:r>
                    <w:rPr>
                      <w:color w:val="auto"/>
                      <w:kern w:val="0"/>
                      <w:szCs w:val="21"/>
                      <w:lang w:bidi="ar"/>
                    </w:rPr>
                    <w:t>，主要用于</w:t>
                  </w:r>
                  <w:r>
                    <w:rPr>
                      <w:rFonts w:hint="default" w:ascii="Times New Roman" w:hAnsi="Times New Roman" w:cs="Times New Roman"/>
                      <w:color w:val="auto"/>
                      <w:szCs w:val="21"/>
                    </w:rPr>
                    <w:t>高速护坡砖</w:t>
                  </w:r>
                  <w:r>
                    <w:rPr>
                      <w:rFonts w:hint="eastAsia" w:cs="Times New Roman"/>
                      <w:color w:val="auto"/>
                      <w:szCs w:val="21"/>
                      <w:lang w:eastAsia="zh-CN"/>
                    </w:rPr>
                    <w:t>、</w:t>
                  </w:r>
                  <w:r>
                    <w:rPr>
                      <w:rFonts w:hint="default" w:ascii="Times New Roman" w:hAnsi="Times New Roman" w:cs="Times New Roman"/>
                      <w:color w:val="auto"/>
                      <w:szCs w:val="21"/>
                    </w:rPr>
                    <w:t>各类生态路面环保砖</w:t>
                  </w:r>
                  <w:r>
                    <w:rPr>
                      <w:color w:val="auto"/>
                      <w:kern w:val="0"/>
                      <w:szCs w:val="21"/>
                      <w:lang w:bidi="ar"/>
                    </w:rPr>
                    <w:t>的暂存</w:t>
                  </w:r>
                  <w:r>
                    <w:rPr>
                      <w:rFonts w:hint="eastAsia"/>
                      <w:color w:val="auto"/>
                      <w:kern w:val="0"/>
                      <w:szCs w:val="21"/>
                      <w:lang w:eastAsia="zh-CN" w:bidi="ar"/>
                    </w:rPr>
                    <w:t>和养护</w:t>
                  </w:r>
                  <w:r>
                    <w:rPr>
                      <w:color w:val="auto"/>
                      <w:kern w:val="0"/>
                      <w:szCs w:val="21"/>
                      <w:lang w:bidi="ar"/>
                    </w:rPr>
                    <w:t>。</w:t>
                  </w:r>
                </w:p>
              </w:tc>
              <w:tc>
                <w:tcPr>
                  <w:tcW w:w="1214" w:type="pct"/>
                  <w:noWrap/>
                  <w:vAlign w:val="center"/>
                </w:tcPr>
                <w:p w14:paraId="3AE8C987">
                  <w:pPr>
                    <w:spacing w:before="48" w:beforeLines="20"/>
                    <w:jc w:val="center"/>
                    <w:rPr>
                      <w:szCs w:val="21"/>
                    </w:rPr>
                  </w:pPr>
                  <w:r>
                    <w:rPr>
                      <w:color w:val="auto"/>
                      <w:kern w:val="0"/>
                      <w:szCs w:val="21"/>
                      <w:lang w:bidi="ar"/>
                    </w:rPr>
                    <w:t>位于</w:t>
                  </w:r>
                  <w:r>
                    <w:rPr>
                      <w:rFonts w:hint="eastAsia"/>
                      <w:color w:val="auto"/>
                      <w:kern w:val="0"/>
                      <w:szCs w:val="21"/>
                      <w:lang w:bidi="ar"/>
                    </w:rPr>
                    <w:t>厂</w:t>
                  </w:r>
                  <w:r>
                    <w:rPr>
                      <w:color w:val="auto"/>
                      <w:kern w:val="0"/>
                      <w:szCs w:val="21"/>
                      <w:lang w:bidi="ar"/>
                    </w:rPr>
                    <w:t>区</w:t>
                  </w:r>
                  <w:r>
                    <w:rPr>
                      <w:rFonts w:hint="eastAsia"/>
                      <w:color w:val="auto"/>
                      <w:kern w:val="0"/>
                      <w:szCs w:val="21"/>
                      <w:lang w:val="en-US" w:eastAsia="zh-CN" w:bidi="ar"/>
                    </w:rPr>
                    <w:t>北</w:t>
                  </w:r>
                  <w:r>
                    <w:rPr>
                      <w:color w:val="auto"/>
                      <w:kern w:val="0"/>
                      <w:szCs w:val="21"/>
                      <w:lang w:bidi="ar"/>
                    </w:rPr>
                    <w:t>部，</w:t>
                  </w:r>
                  <w:r>
                    <w:rPr>
                      <w:rFonts w:hint="eastAsia"/>
                      <w:color w:val="auto"/>
                      <w:kern w:val="0"/>
                      <w:szCs w:val="21"/>
                      <w:lang w:eastAsia="zh-CN" w:bidi="ar"/>
                    </w:rPr>
                    <w:t>建筑</w:t>
                  </w:r>
                  <w:r>
                    <w:rPr>
                      <w:color w:val="auto"/>
                      <w:kern w:val="0"/>
                      <w:szCs w:val="21"/>
                      <w:lang w:bidi="ar"/>
                    </w:rPr>
                    <w:t>面积为</w:t>
                  </w:r>
                  <w:r>
                    <w:rPr>
                      <w:rFonts w:hint="eastAsia"/>
                      <w:color w:val="auto"/>
                      <w:kern w:val="0"/>
                      <w:szCs w:val="21"/>
                      <w:lang w:val="en-US" w:eastAsia="zh-CN" w:bidi="ar"/>
                    </w:rPr>
                    <w:t>5</w:t>
                  </w:r>
                  <w:r>
                    <w:rPr>
                      <w:color w:val="auto"/>
                      <w:kern w:val="0"/>
                      <w:szCs w:val="21"/>
                      <w:lang w:bidi="ar"/>
                    </w:rPr>
                    <w:t>00m</w:t>
                  </w:r>
                  <w:r>
                    <w:rPr>
                      <w:color w:val="auto"/>
                      <w:kern w:val="0"/>
                      <w:szCs w:val="21"/>
                      <w:vertAlign w:val="superscript"/>
                      <w:lang w:bidi="ar"/>
                    </w:rPr>
                    <w:t>2</w:t>
                  </w:r>
                  <w:r>
                    <w:rPr>
                      <w:color w:val="auto"/>
                      <w:kern w:val="0"/>
                      <w:szCs w:val="21"/>
                      <w:lang w:bidi="ar"/>
                    </w:rPr>
                    <w:t>，主要用</w:t>
                  </w:r>
                  <w:r>
                    <w:rPr>
                      <w:rFonts w:hint="eastAsia" w:cs="Times New Roman"/>
                      <w:color w:val="auto"/>
                      <w:kern w:val="0"/>
                      <w:szCs w:val="21"/>
                      <w:vertAlign w:val="baseline"/>
                      <w:lang w:val="en-US" w:eastAsia="zh-CN" w:bidi="ar"/>
                    </w:rPr>
                    <w:t>3万吨固化土、3万吨回填土、2万吨绿化营养土、2万吨污泥颗粒的暂存</w:t>
                  </w:r>
                  <w:r>
                    <w:rPr>
                      <w:color w:val="auto"/>
                      <w:kern w:val="0"/>
                      <w:szCs w:val="21"/>
                      <w:lang w:bidi="ar"/>
                    </w:rPr>
                    <w:t>。</w:t>
                  </w:r>
                </w:p>
              </w:tc>
              <w:tc>
                <w:tcPr>
                  <w:tcW w:w="1057" w:type="pct"/>
                  <w:noWrap/>
                  <w:vAlign w:val="center"/>
                </w:tcPr>
                <w:p w14:paraId="7273F738">
                  <w:pPr>
                    <w:spacing w:before="48" w:beforeLines="20"/>
                    <w:jc w:val="center"/>
                    <w:rPr>
                      <w:szCs w:val="21"/>
                    </w:rPr>
                  </w:pPr>
                  <w:r>
                    <w:rPr>
                      <w:color w:val="auto"/>
                      <w:kern w:val="0"/>
                      <w:szCs w:val="21"/>
                      <w:lang w:bidi="ar"/>
                    </w:rPr>
                    <w:t>位于</w:t>
                  </w:r>
                  <w:r>
                    <w:rPr>
                      <w:rFonts w:hint="eastAsia"/>
                      <w:color w:val="auto"/>
                      <w:kern w:val="0"/>
                      <w:szCs w:val="21"/>
                      <w:lang w:bidi="ar"/>
                    </w:rPr>
                    <w:t>厂</w:t>
                  </w:r>
                  <w:r>
                    <w:rPr>
                      <w:color w:val="auto"/>
                      <w:kern w:val="0"/>
                      <w:szCs w:val="21"/>
                      <w:lang w:bidi="ar"/>
                    </w:rPr>
                    <w:t>区</w:t>
                  </w:r>
                  <w:r>
                    <w:rPr>
                      <w:rFonts w:hint="eastAsia"/>
                      <w:color w:val="auto"/>
                      <w:kern w:val="0"/>
                      <w:szCs w:val="21"/>
                      <w:lang w:val="en-US" w:eastAsia="zh-CN" w:bidi="ar"/>
                    </w:rPr>
                    <w:t>北</w:t>
                  </w:r>
                  <w:r>
                    <w:rPr>
                      <w:color w:val="auto"/>
                      <w:kern w:val="0"/>
                      <w:szCs w:val="21"/>
                      <w:lang w:bidi="ar"/>
                    </w:rPr>
                    <w:t>部，</w:t>
                  </w:r>
                  <w:r>
                    <w:rPr>
                      <w:rFonts w:hint="eastAsia"/>
                      <w:color w:val="auto"/>
                      <w:kern w:val="0"/>
                      <w:szCs w:val="21"/>
                      <w:lang w:eastAsia="zh-CN" w:bidi="ar"/>
                    </w:rPr>
                    <w:t>建筑</w:t>
                  </w:r>
                  <w:r>
                    <w:rPr>
                      <w:color w:val="auto"/>
                      <w:kern w:val="0"/>
                      <w:szCs w:val="21"/>
                      <w:lang w:bidi="ar"/>
                    </w:rPr>
                    <w:t>面积为</w:t>
                  </w:r>
                  <w:r>
                    <w:rPr>
                      <w:rFonts w:hint="eastAsia"/>
                      <w:color w:val="auto"/>
                      <w:kern w:val="0"/>
                      <w:szCs w:val="21"/>
                      <w:lang w:val="en-US" w:eastAsia="zh-CN" w:bidi="ar"/>
                    </w:rPr>
                    <w:t>5</w:t>
                  </w:r>
                  <w:r>
                    <w:rPr>
                      <w:color w:val="auto"/>
                      <w:kern w:val="0"/>
                      <w:szCs w:val="21"/>
                      <w:lang w:bidi="ar"/>
                    </w:rPr>
                    <w:t>00m</w:t>
                  </w:r>
                  <w:r>
                    <w:rPr>
                      <w:color w:val="auto"/>
                      <w:kern w:val="0"/>
                      <w:szCs w:val="21"/>
                      <w:vertAlign w:val="superscript"/>
                      <w:lang w:bidi="ar"/>
                    </w:rPr>
                    <w:t>2</w:t>
                  </w:r>
                  <w:r>
                    <w:rPr>
                      <w:color w:val="auto"/>
                      <w:kern w:val="0"/>
                      <w:szCs w:val="21"/>
                      <w:lang w:bidi="ar"/>
                    </w:rPr>
                    <w:t>，主要用</w:t>
                  </w:r>
                  <w:r>
                    <w:rPr>
                      <w:rFonts w:hint="default" w:ascii="Times New Roman" w:hAnsi="Times New Roman" w:cs="Times New Roman"/>
                      <w:color w:val="auto"/>
                      <w:szCs w:val="21"/>
                    </w:rPr>
                    <w:t>高速护坡砖</w:t>
                  </w:r>
                  <w:r>
                    <w:rPr>
                      <w:rFonts w:hint="eastAsia" w:cs="Times New Roman"/>
                      <w:color w:val="auto"/>
                      <w:szCs w:val="21"/>
                      <w:lang w:eastAsia="zh-CN"/>
                    </w:rPr>
                    <w:t>、</w:t>
                  </w:r>
                  <w:r>
                    <w:rPr>
                      <w:rFonts w:hint="default" w:ascii="Times New Roman" w:hAnsi="Times New Roman" w:cs="Times New Roman"/>
                      <w:color w:val="auto"/>
                      <w:szCs w:val="21"/>
                    </w:rPr>
                    <w:t>各类生态路面环保砖</w:t>
                  </w:r>
                  <w:r>
                    <w:rPr>
                      <w:color w:val="auto"/>
                      <w:kern w:val="0"/>
                      <w:szCs w:val="21"/>
                      <w:lang w:bidi="ar"/>
                    </w:rPr>
                    <w:t>的暂存</w:t>
                  </w:r>
                  <w:r>
                    <w:rPr>
                      <w:rFonts w:hint="eastAsia"/>
                      <w:color w:val="auto"/>
                      <w:kern w:val="0"/>
                      <w:szCs w:val="21"/>
                      <w:lang w:eastAsia="zh-CN" w:bidi="ar"/>
                    </w:rPr>
                    <w:t>和养护、</w:t>
                  </w:r>
                  <w:r>
                    <w:rPr>
                      <w:rFonts w:hint="eastAsia" w:cs="Times New Roman"/>
                      <w:color w:val="auto"/>
                      <w:kern w:val="0"/>
                      <w:szCs w:val="21"/>
                      <w:vertAlign w:val="baseline"/>
                      <w:lang w:val="en-US" w:eastAsia="zh-CN" w:bidi="ar"/>
                    </w:rPr>
                    <w:t>固化土、回填土、绿化营养土、污泥颗粒的暂存</w:t>
                  </w:r>
                  <w:r>
                    <w:rPr>
                      <w:color w:val="auto"/>
                      <w:kern w:val="0"/>
                      <w:szCs w:val="21"/>
                      <w:lang w:bidi="ar"/>
                    </w:rPr>
                    <w:t>。</w:t>
                  </w:r>
                </w:p>
              </w:tc>
              <w:tc>
                <w:tcPr>
                  <w:tcW w:w="673" w:type="pct"/>
                  <w:noWrap/>
                  <w:vAlign w:val="center"/>
                </w:tcPr>
                <w:p w14:paraId="20A498B4">
                  <w:pPr>
                    <w:spacing w:before="48" w:beforeLines="20"/>
                    <w:jc w:val="center"/>
                    <w:rPr>
                      <w:szCs w:val="21"/>
                    </w:rPr>
                  </w:pPr>
                  <w:r>
                    <w:rPr>
                      <w:rFonts w:hint="eastAsia"/>
                      <w:szCs w:val="21"/>
                    </w:rPr>
                    <w:t>面积不变，贮存</w:t>
                  </w:r>
                  <w:r>
                    <w:rPr>
                      <w:szCs w:val="21"/>
                    </w:rPr>
                    <w:t>新增</w:t>
                  </w:r>
                </w:p>
              </w:tc>
            </w:tr>
            <w:tr w14:paraId="5127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7017F533">
                  <w:pPr>
                    <w:spacing w:before="48" w:beforeLines="20"/>
                    <w:jc w:val="center"/>
                    <w:rPr>
                      <w:color w:val="FF0000"/>
                      <w:szCs w:val="21"/>
                    </w:rPr>
                  </w:pPr>
                </w:p>
              </w:tc>
              <w:tc>
                <w:tcPr>
                  <w:tcW w:w="533" w:type="pct"/>
                  <w:noWrap/>
                  <w:vAlign w:val="center"/>
                </w:tcPr>
                <w:p w14:paraId="4CA627DC">
                  <w:pPr>
                    <w:widowControl/>
                    <w:jc w:val="center"/>
                    <w:rPr>
                      <w:szCs w:val="21"/>
                    </w:rPr>
                  </w:pPr>
                  <w:r>
                    <w:rPr>
                      <w:rFonts w:hint="eastAsia"/>
                      <w:color w:val="auto"/>
                      <w:kern w:val="0"/>
                      <w:szCs w:val="21"/>
                      <w:lang w:eastAsia="zh-CN" w:bidi="ar"/>
                    </w:rPr>
                    <w:t>水泥仓</w:t>
                  </w:r>
                </w:p>
              </w:tc>
              <w:tc>
                <w:tcPr>
                  <w:tcW w:w="1195" w:type="pct"/>
                  <w:noWrap/>
                  <w:vAlign w:val="center"/>
                </w:tcPr>
                <w:p w14:paraId="2F2E8DCE">
                  <w:pPr>
                    <w:widowControl/>
                    <w:jc w:val="center"/>
                    <w:rPr>
                      <w:szCs w:val="21"/>
                    </w:rPr>
                  </w:pPr>
                  <w:r>
                    <w:rPr>
                      <w:rFonts w:hint="eastAsia"/>
                      <w:color w:val="auto"/>
                      <w:kern w:val="0"/>
                      <w:szCs w:val="21"/>
                      <w:lang w:eastAsia="zh-CN" w:bidi="ar"/>
                    </w:rPr>
                    <w:t>水泥仓</w:t>
                  </w:r>
                  <w:r>
                    <w:rPr>
                      <w:color w:val="auto"/>
                      <w:kern w:val="0"/>
                      <w:szCs w:val="21"/>
                      <w:lang w:bidi="ar"/>
                    </w:rPr>
                    <w:t>放置在</w:t>
                  </w:r>
                  <w:r>
                    <w:rPr>
                      <w:rFonts w:hint="eastAsia"/>
                      <w:color w:val="auto"/>
                      <w:kern w:val="0"/>
                      <w:szCs w:val="21"/>
                      <w:lang w:bidi="ar"/>
                    </w:rPr>
                    <w:t>西</w:t>
                  </w:r>
                  <w:r>
                    <w:rPr>
                      <w:color w:val="auto"/>
                      <w:kern w:val="0"/>
                      <w:szCs w:val="21"/>
                      <w:lang w:bidi="ar"/>
                    </w:rPr>
                    <w:t>侧厂房外2个，占地面积50m</w:t>
                  </w:r>
                  <w:r>
                    <w:rPr>
                      <w:color w:val="auto"/>
                      <w:kern w:val="0"/>
                      <w:szCs w:val="21"/>
                      <w:vertAlign w:val="superscript"/>
                      <w:lang w:bidi="ar"/>
                    </w:rPr>
                    <w:t>2</w:t>
                  </w:r>
                  <w:r>
                    <w:rPr>
                      <w:color w:val="auto"/>
                      <w:kern w:val="0"/>
                      <w:szCs w:val="21"/>
                      <w:lang w:bidi="ar"/>
                    </w:rPr>
                    <w:t>，用</w:t>
                  </w:r>
                  <w:r>
                    <w:rPr>
                      <w:rFonts w:hint="eastAsia"/>
                      <w:color w:val="auto"/>
                      <w:kern w:val="0"/>
                      <w:szCs w:val="21"/>
                      <w:lang w:eastAsia="zh-CN" w:bidi="ar"/>
                    </w:rPr>
                    <w:t>于</w:t>
                  </w:r>
                  <w:r>
                    <w:rPr>
                      <w:color w:val="auto"/>
                      <w:kern w:val="0"/>
                      <w:szCs w:val="21"/>
                      <w:lang w:bidi="ar"/>
                    </w:rPr>
                    <w:t>水泥</w:t>
                  </w:r>
                  <w:r>
                    <w:rPr>
                      <w:rFonts w:hint="eastAsia"/>
                      <w:color w:val="auto"/>
                      <w:kern w:val="0"/>
                      <w:szCs w:val="21"/>
                      <w:lang w:eastAsia="zh-CN" w:bidi="ar"/>
                    </w:rPr>
                    <w:t>的</w:t>
                  </w:r>
                  <w:r>
                    <w:rPr>
                      <w:color w:val="auto"/>
                      <w:kern w:val="0"/>
                      <w:szCs w:val="21"/>
                      <w:lang w:bidi="ar"/>
                    </w:rPr>
                    <w:t>储存，储存量200t/个，</w:t>
                  </w:r>
                  <w:r>
                    <w:rPr>
                      <w:rFonts w:hint="eastAsia"/>
                      <w:color w:val="auto"/>
                      <w:kern w:val="0"/>
                      <w:szCs w:val="21"/>
                      <w:lang w:eastAsia="zh-CN" w:bidi="ar"/>
                    </w:rPr>
                    <w:t>水泥仓</w:t>
                  </w:r>
                  <w:r>
                    <w:rPr>
                      <w:color w:val="auto"/>
                      <w:kern w:val="0"/>
                      <w:szCs w:val="21"/>
                      <w:lang w:bidi="ar"/>
                    </w:rPr>
                    <w:t>高度约1</w:t>
                  </w:r>
                  <w:r>
                    <w:rPr>
                      <w:rFonts w:hint="eastAsia"/>
                      <w:color w:val="auto"/>
                      <w:kern w:val="0"/>
                      <w:szCs w:val="21"/>
                      <w:lang w:val="en-US" w:eastAsia="zh-CN" w:bidi="ar"/>
                    </w:rPr>
                    <w:t>5</w:t>
                  </w:r>
                  <w:r>
                    <w:rPr>
                      <w:color w:val="auto"/>
                      <w:kern w:val="0"/>
                      <w:szCs w:val="21"/>
                      <w:lang w:bidi="ar"/>
                    </w:rPr>
                    <w:t>m。</w:t>
                  </w:r>
                </w:p>
              </w:tc>
              <w:tc>
                <w:tcPr>
                  <w:tcW w:w="1214" w:type="pct"/>
                  <w:noWrap/>
                  <w:vAlign w:val="center"/>
                </w:tcPr>
                <w:p w14:paraId="21131DA1">
                  <w:pPr>
                    <w:spacing w:before="48" w:beforeLines="20"/>
                    <w:jc w:val="center"/>
                    <w:rPr>
                      <w:rFonts w:hint="default" w:eastAsia="宋体"/>
                      <w:szCs w:val="21"/>
                      <w:lang w:val="en-US" w:eastAsia="zh-CN"/>
                    </w:rPr>
                  </w:pPr>
                  <w:r>
                    <w:rPr>
                      <w:rFonts w:hint="eastAsia"/>
                      <w:szCs w:val="21"/>
                      <w:lang w:val="en-US" w:eastAsia="zh-CN"/>
                    </w:rPr>
                    <w:t>草木灰依托原有闲置水泥仓</w:t>
                  </w:r>
                </w:p>
              </w:tc>
              <w:tc>
                <w:tcPr>
                  <w:tcW w:w="1057" w:type="pct"/>
                  <w:noWrap/>
                  <w:vAlign w:val="center"/>
                </w:tcPr>
                <w:p w14:paraId="7652C8D6">
                  <w:pPr>
                    <w:spacing w:before="48" w:beforeLines="20"/>
                    <w:jc w:val="center"/>
                    <w:rPr>
                      <w:szCs w:val="21"/>
                    </w:rPr>
                  </w:pPr>
                  <w:r>
                    <w:rPr>
                      <w:rFonts w:hint="eastAsia"/>
                      <w:color w:val="auto"/>
                      <w:kern w:val="0"/>
                      <w:szCs w:val="21"/>
                      <w:lang w:eastAsia="zh-CN" w:bidi="ar"/>
                    </w:rPr>
                    <w:t>水泥仓</w:t>
                  </w:r>
                  <w:r>
                    <w:rPr>
                      <w:color w:val="auto"/>
                      <w:kern w:val="0"/>
                      <w:szCs w:val="21"/>
                      <w:lang w:bidi="ar"/>
                    </w:rPr>
                    <w:t>放置在</w:t>
                  </w:r>
                  <w:r>
                    <w:rPr>
                      <w:rFonts w:hint="eastAsia"/>
                      <w:color w:val="auto"/>
                      <w:kern w:val="0"/>
                      <w:szCs w:val="21"/>
                      <w:lang w:bidi="ar"/>
                    </w:rPr>
                    <w:t>西</w:t>
                  </w:r>
                  <w:r>
                    <w:rPr>
                      <w:color w:val="auto"/>
                      <w:kern w:val="0"/>
                      <w:szCs w:val="21"/>
                      <w:lang w:bidi="ar"/>
                    </w:rPr>
                    <w:t>侧厂房外</w:t>
                  </w:r>
                  <w:r>
                    <w:rPr>
                      <w:rFonts w:hint="eastAsia"/>
                      <w:color w:val="auto"/>
                      <w:kern w:val="0"/>
                      <w:szCs w:val="21"/>
                      <w:lang w:val="en-US" w:eastAsia="zh-CN" w:bidi="ar"/>
                    </w:rPr>
                    <w:t>1</w:t>
                  </w:r>
                  <w:r>
                    <w:rPr>
                      <w:color w:val="auto"/>
                      <w:kern w:val="0"/>
                      <w:szCs w:val="21"/>
                      <w:lang w:bidi="ar"/>
                    </w:rPr>
                    <w:t>个，</w:t>
                  </w:r>
                  <w:r>
                    <w:rPr>
                      <w:rFonts w:hint="eastAsia"/>
                      <w:color w:val="auto"/>
                      <w:kern w:val="0"/>
                      <w:szCs w:val="21"/>
                      <w:lang w:eastAsia="zh-CN" w:bidi="ar"/>
                    </w:rPr>
                    <w:t>草木灰仓</w:t>
                  </w:r>
                  <w:r>
                    <w:rPr>
                      <w:rFonts w:hint="eastAsia"/>
                      <w:color w:val="auto"/>
                      <w:kern w:val="0"/>
                      <w:szCs w:val="21"/>
                      <w:lang w:val="en-US" w:eastAsia="zh-CN" w:bidi="ar"/>
                    </w:rPr>
                    <w:t>1个，</w:t>
                  </w:r>
                  <w:r>
                    <w:rPr>
                      <w:color w:val="auto"/>
                      <w:kern w:val="0"/>
                      <w:szCs w:val="21"/>
                      <w:lang w:bidi="ar"/>
                    </w:rPr>
                    <w:t>占地面积50m</w:t>
                  </w:r>
                  <w:r>
                    <w:rPr>
                      <w:color w:val="auto"/>
                      <w:kern w:val="0"/>
                      <w:szCs w:val="21"/>
                      <w:vertAlign w:val="superscript"/>
                      <w:lang w:bidi="ar"/>
                    </w:rPr>
                    <w:t>2</w:t>
                  </w:r>
                  <w:r>
                    <w:rPr>
                      <w:color w:val="auto"/>
                      <w:kern w:val="0"/>
                      <w:szCs w:val="21"/>
                      <w:lang w:bidi="ar"/>
                    </w:rPr>
                    <w:t>，用</w:t>
                  </w:r>
                  <w:r>
                    <w:rPr>
                      <w:rFonts w:hint="eastAsia"/>
                      <w:color w:val="auto"/>
                      <w:kern w:val="0"/>
                      <w:szCs w:val="21"/>
                      <w:lang w:eastAsia="zh-CN" w:bidi="ar"/>
                    </w:rPr>
                    <w:t>于</w:t>
                  </w:r>
                  <w:r>
                    <w:rPr>
                      <w:color w:val="auto"/>
                      <w:kern w:val="0"/>
                      <w:szCs w:val="21"/>
                      <w:lang w:bidi="ar"/>
                    </w:rPr>
                    <w:t>水泥</w:t>
                  </w:r>
                  <w:r>
                    <w:rPr>
                      <w:rFonts w:hint="eastAsia"/>
                      <w:color w:val="auto"/>
                      <w:kern w:val="0"/>
                      <w:szCs w:val="21"/>
                      <w:lang w:eastAsia="zh-CN" w:bidi="ar"/>
                    </w:rPr>
                    <w:t>和草木灰</w:t>
                  </w:r>
                  <w:r>
                    <w:rPr>
                      <w:color w:val="auto"/>
                      <w:kern w:val="0"/>
                      <w:szCs w:val="21"/>
                      <w:lang w:bidi="ar"/>
                    </w:rPr>
                    <w:t>储存，储存量200t/个，</w:t>
                  </w:r>
                  <w:r>
                    <w:rPr>
                      <w:rFonts w:hint="eastAsia"/>
                      <w:color w:val="auto"/>
                      <w:kern w:val="0"/>
                      <w:szCs w:val="21"/>
                      <w:lang w:eastAsia="zh-CN" w:bidi="ar"/>
                    </w:rPr>
                    <w:t>水泥仓、草木灰仓</w:t>
                  </w:r>
                  <w:r>
                    <w:rPr>
                      <w:color w:val="auto"/>
                      <w:kern w:val="0"/>
                      <w:szCs w:val="21"/>
                      <w:lang w:bidi="ar"/>
                    </w:rPr>
                    <w:t>高度约1</w:t>
                  </w:r>
                  <w:r>
                    <w:rPr>
                      <w:rFonts w:hint="eastAsia"/>
                      <w:color w:val="auto"/>
                      <w:kern w:val="0"/>
                      <w:szCs w:val="21"/>
                      <w:lang w:val="en-US" w:eastAsia="zh-CN" w:bidi="ar"/>
                    </w:rPr>
                    <w:t>5</w:t>
                  </w:r>
                  <w:r>
                    <w:rPr>
                      <w:color w:val="auto"/>
                      <w:kern w:val="0"/>
                      <w:szCs w:val="21"/>
                      <w:lang w:bidi="ar"/>
                    </w:rPr>
                    <w:t>m。</w:t>
                  </w:r>
                </w:p>
              </w:tc>
              <w:tc>
                <w:tcPr>
                  <w:tcW w:w="673" w:type="pct"/>
                  <w:noWrap/>
                  <w:vAlign w:val="center"/>
                </w:tcPr>
                <w:p w14:paraId="3772AEEC">
                  <w:pPr>
                    <w:spacing w:before="48" w:beforeLines="20"/>
                    <w:jc w:val="center"/>
                    <w:rPr>
                      <w:rFonts w:hint="eastAsia" w:eastAsia="宋体"/>
                      <w:szCs w:val="21"/>
                      <w:lang w:eastAsia="zh-CN"/>
                    </w:rPr>
                  </w:pPr>
                  <w:r>
                    <w:rPr>
                      <w:rFonts w:hint="eastAsia"/>
                      <w:szCs w:val="21"/>
                      <w:lang w:val="en-US" w:eastAsia="zh-CN"/>
                    </w:rPr>
                    <w:t>草木灰依托原有闲置水泥仓</w:t>
                  </w:r>
                </w:p>
              </w:tc>
            </w:tr>
            <w:tr w14:paraId="009A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restart"/>
                  <w:noWrap/>
                  <w:vAlign w:val="center"/>
                </w:tcPr>
                <w:p w14:paraId="39FC0580">
                  <w:pPr>
                    <w:spacing w:before="48" w:beforeLines="20"/>
                    <w:jc w:val="center"/>
                    <w:rPr>
                      <w:color w:val="FF0000"/>
                      <w:szCs w:val="21"/>
                    </w:rPr>
                  </w:pPr>
                  <w:r>
                    <w:rPr>
                      <w:szCs w:val="21"/>
                    </w:rPr>
                    <w:t>公用工程</w:t>
                  </w:r>
                </w:p>
              </w:tc>
              <w:tc>
                <w:tcPr>
                  <w:tcW w:w="533" w:type="pct"/>
                  <w:noWrap/>
                  <w:vAlign w:val="center"/>
                </w:tcPr>
                <w:p w14:paraId="7DD7331D">
                  <w:pPr>
                    <w:adjustRightInd w:val="0"/>
                    <w:snapToGrid w:val="0"/>
                    <w:jc w:val="center"/>
                    <w:rPr>
                      <w:szCs w:val="21"/>
                    </w:rPr>
                  </w:pPr>
                  <w:r>
                    <w:rPr>
                      <w:color w:val="auto"/>
                      <w:szCs w:val="21"/>
                    </w:rPr>
                    <w:t>供水</w:t>
                  </w:r>
                </w:p>
              </w:tc>
              <w:tc>
                <w:tcPr>
                  <w:tcW w:w="1195" w:type="pct"/>
                  <w:noWrap/>
                  <w:vAlign w:val="center"/>
                </w:tcPr>
                <w:p w14:paraId="4A731D18">
                  <w:pPr>
                    <w:widowControl/>
                    <w:jc w:val="center"/>
                    <w:rPr>
                      <w:szCs w:val="21"/>
                    </w:rPr>
                  </w:pPr>
                  <w:r>
                    <w:rPr>
                      <w:color w:val="auto"/>
                      <w:szCs w:val="21"/>
                    </w:rPr>
                    <w:t>市政供水管网供给，用量为</w:t>
                  </w:r>
                  <w:r>
                    <w:rPr>
                      <w:rFonts w:hint="eastAsia"/>
                      <w:color w:val="auto"/>
                      <w:szCs w:val="21"/>
                      <w:lang w:val="en-US" w:eastAsia="zh-CN"/>
                    </w:rPr>
                    <w:t>13482t/a</w:t>
                  </w:r>
                </w:p>
              </w:tc>
              <w:tc>
                <w:tcPr>
                  <w:tcW w:w="1214" w:type="pct"/>
                  <w:noWrap/>
                  <w:vAlign w:val="center"/>
                </w:tcPr>
                <w:p w14:paraId="488F7963">
                  <w:pPr>
                    <w:spacing w:before="48" w:beforeLines="20"/>
                    <w:jc w:val="center"/>
                    <w:rPr>
                      <w:color w:val="FF0000"/>
                      <w:szCs w:val="21"/>
                      <w:highlight w:val="none"/>
                    </w:rPr>
                  </w:pPr>
                  <w:r>
                    <w:rPr>
                      <w:color w:val="auto"/>
                      <w:szCs w:val="21"/>
                      <w:highlight w:val="none"/>
                    </w:rPr>
                    <w:t>市政供水管网供给，用量为</w:t>
                  </w:r>
                  <w:r>
                    <w:rPr>
                      <w:rFonts w:hint="eastAsia"/>
                      <w:color w:val="auto"/>
                      <w:szCs w:val="21"/>
                      <w:highlight w:val="none"/>
                      <w:lang w:val="en-US" w:eastAsia="zh-CN"/>
                    </w:rPr>
                    <w:t>45t/a</w:t>
                  </w:r>
                </w:p>
              </w:tc>
              <w:tc>
                <w:tcPr>
                  <w:tcW w:w="1057" w:type="pct"/>
                  <w:noWrap/>
                  <w:vAlign w:val="center"/>
                </w:tcPr>
                <w:p w14:paraId="0F7DE4B7">
                  <w:pPr>
                    <w:spacing w:before="48" w:beforeLines="20"/>
                    <w:jc w:val="center"/>
                    <w:rPr>
                      <w:color w:val="FF0000"/>
                      <w:szCs w:val="21"/>
                      <w:highlight w:val="none"/>
                    </w:rPr>
                  </w:pPr>
                  <w:r>
                    <w:rPr>
                      <w:rFonts w:hint="eastAsia"/>
                      <w:szCs w:val="21"/>
                      <w:highlight w:val="none"/>
                      <w:lang w:eastAsia="zh-CN"/>
                    </w:rPr>
                    <w:t>市政</w:t>
                  </w:r>
                  <w:r>
                    <w:rPr>
                      <w:szCs w:val="21"/>
                      <w:highlight w:val="none"/>
                    </w:rPr>
                    <w:t>供水管网供给，</w:t>
                  </w:r>
                  <w:r>
                    <w:rPr>
                      <w:rFonts w:hint="eastAsia"/>
                      <w:szCs w:val="21"/>
                      <w:highlight w:val="none"/>
                    </w:rPr>
                    <w:t>总用</w:t>
                  </w:r>
                  <w:r>
                    <w:rPr>
                      <w:szCs w:val="21"/>
                      <w:highlight w:val="none"/>
                    </w:rPr>
                    <w:t>水量为</w:t>
                  </w:r>
                  <w:r>
                    <w:rPr>
                      <w:rFonts w:hint="eastAsia"/>
                      <w:szCs w:val="21"/>
                      <w:highlight w:val="none"/>
                      <w:lang w:val="en-US" w:eastAsia="zh-CN"/>
                    </w:rPr>
                    <w:t>13527</w:t>
                  </w:r>
                  <w:r>
                    <w:rPr>
                      <w:szCs w:val="21"/>
                      <w:highlight w:val="none"/>
                    </w:rPr>
                    <w:t>t/a</w:t>
                  </w:r>
                </w:p>
              </w:tc>
              <w:tc>
                <w:tcPr>
                  <w:tcW w:w="673" w:type="pct"/>
                  <w:noWrap/>
                  <w:vAlign w:val="center"/>
                </w:tcPr>
                <w:p w14:paraId="5EC7676C">
                  <w:pPr>
                    <w:spacing w:before="48" w:beforeLines="20"/>
                    <w:jc w:val="center"/>
                    <w:rPr>
                      <w:color w:val="FF0000"/>
                      <w:szCs w:val="21"/>
                      <w:highlight w:val="none"/>
                    </w:rPr>
                  </w:pPr>
                  <w:r>
                    <w:rPr>
                      <w:rFonts w:hint="eastAsia"/>
                      <w:szCs w:val="21"/>
                      <w:highlight w:val="none"/>
                      <w:lang w:eastAsia="zh-CN"/>
                    </w:rPr>
                    <w:t>改</w:t>
                  </w:r>
                  <w:r>
                    <w:rPr>
                      <w:szCs w:val="21"/>
                      <w:highlight w:val="none"/>
                    </w:rPr>
                    <w:t>建后用水增加</w:t>
                  </w:r>
                  <w:r>
                    <w:rPr>
                      <w:rFonts w:hint="eastAsia"/>
                      <w:szCs w:val="21"/>
                      <w:highlight w:val="none"/>
                      <w:lang w:val="en-US" w:eastAsia="zh-CN"/>
                    </w:rPr>
                    <w:t>45</w:t>
                  </w:r>
                  <w:r>
                    <w:rPr>
                      <w:szCs w:val="21"/>
                      <w:highlight w:val="none"/>
                    </w:rPr>
                    <w:t>t/a</w:t>
                  </w:r>
                </w:p>
              </w:tc>
            </w:tr>
            <w:tr w14:paraId="026C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228F3D59">
                  <w:pPr>
                    <w:spacing w:before="48" w:beforeLines="20"/>
                    <w:jc w:val="center"/>
                    <w:rPr>
                      <w:color w:val="FF0000"/>
                      <w:szCs w:val="21"/>
                    </w:rPr>
                  </w:pPr>
                </w:p>
              </w:tc>
              <w:tc>
                <w:tcPr>
                  <w:tcW w:w="533" w:type="pct"/>
                  <w:noWrap/>
                  <w:vAlign w:val="center"/>
                </w:tcPr>
                <w:p w14:paraId="1F0F9A9C">
                  <w:pPr>
                    <w:adjustRightInd w:val="0"/>
                    <w:snapToGrid w:val="0"/>
                    <w:jc w:val="center"/>
                    <w:rPr>
                      <w:szCs w:val="21"/>
                    </w:rPr>
                  </w:pPr>
                  <w:r>
                    <w:rPr>
                      <w:color w:val="auto"/>
                      <w:szCs w:val="21"/>
                    </w:rPr>
                    <w:t>供电</w:t>
                  </w:r>
                </w:p>
              </w:tc>
              <w:tc>
                <w:tcPr>
                  <w:tcW w:w="1195" w:type="pct"/>
                  <w:noWrap/>
                  <w:vAlign w:val="center"/>
                </w:tcPr>
                <w:p w14:paraId="09DA15D7">
                  <w:pPr>
                    <w:widowControl/>
                    <w:jc w:val="center"/>
                    <w:rPr>
                      <w:szCs w:val="21"/>
                    </w:rPr>
                  </w:pPr>
                  <w:r>
                    <w:rPr>
                      <w:color w:val="auto"/>
                      <w:szCs w:val="21"/>
                    </w:rPr>
                    <w:t>供电电网供给，用量为</w:t>
                  </w:r>
                  <w:r>
                    <w:rPr>
                      <w:rFonts w:hint="eastAsia"/>
                      <w:color w:val="auto"/>
                      <w:szCs w:val="21"/>
                      <w:lang w:val="en-US" w:eastAsia="zh-CN"/>
                    </w:rPr>
                    <w:t>10</w:t>
                  </w:r>
                  <w:r>
                    <w:rPr>
                      <w:color w:val="auto"/>
                      <w:szCs w:val="21"/>
                    </w:rPr>
                    <w:t>万kW·h/a</w:t>
                  </w:r>
                </w:p>
              </w:tc>
              <w:tc>
                <w:tcPr>
                  <w:tcW w:w="1214" w:type="pct"/>
                  <w:noWrap/>
                  <w:vAlign w:val="center"/>
                </w:tcPr>
                <w:p w14:paraId="07EA8D25">
                  <w:pPr>
                    <w:spacing w:before="48" w:beforeLines="20"/>
                    <w:jc w:val="center"/>
                    <w:rPr>
                      <w:szCs w:val="21"/>
                      <w:highlight w:val="none"/>
                    </w:rPr>
                  </w:pPr>
                  <w:r>
                    <w:rPr>
                      <w:color w:val="auto"/>
                      <w:szCs w:val="21"/>
                      <w:highlight w:val="none"/>
                    </w:rPr>
                    <w:t>供电电网供给，用量为</w:t>
                  </w:r>
                  <w:r>
                    <w:rPr>
                      <w:rFonts w:hint="eastAsia"/>
                      <w:color w:val="auto"/>
                      <w:szCs w:val="21"/>
                      <w:highlight w:val="none"/>
                      <w:lang w:val="en-US" w:eastAsia="zh-CN"/>
                    </w:rPr>
                    <w:t>5</w:t>
                  </w:r>
                  <w:r>
                    <w:rPr>
                      <w:color w:val="auto"/>
                      <w:szCs w:val="21"/>
                      <w:highlight w:val="none"/>
                    </w:rPr>
                    <w:t>万kW·h/a</w:t>
                  </w:r>
                </w:p>
              </w:tc>
              <w:tc>
                <w:tcPr>
                  <w:tcW w:w="1057" w:type="pct"/>
                  <w:noWrap/>
                  <w:vAlign w:val="center"/>
                </w:tcPr>
                <w:p w14:paraId="483D9B93">
                  <w:pPr>
                    <w:spacing w:before="48" w:beforeLines="20"/>
                    <w:jc w:val="center"/>
                    <w:rPr>
                      <w:szCs w:val="21"/>
                      <w:highlight w:val="none"/>
                    </w:rPr>
                  </w:pPr>
                  <w:r>
                    <w:rPr>
                      <w:szCs w:val="21"/>
                      <w:highlight w:val="none"/>
                    </w:rPr>
                    <w:t>市政供电电网</w:t>
                  </w:r>
                  <w:r>
                    <w:rPr>
                      <w:rFonts w:hint="eastAsia"/>
                      <w:szCs w:val="21"/>
                      <w:highlight w:val="none"/>
                    </w:rPr>
                    <w:t>，</w:t>
                  </w:r>
                  <w:r>
                    <w:rPr>
                      <w:rFonts w:hint="eastAsia"/>
                      <w:bCs/>
                      <w:szCs w:val="21"/>
                      <w:highlight w:val="none"/>
                    </w:rPr>
                    <w:t>总</w:t>
                  </w:r>
                  <w:r>
                    <w:rPr>
                      <w:bCs/>
                      <w:szCs w:val="21"/>
                      <w:highlight w:val="none"/>
                    </w:rPr>
                    <w:t>用电量为</w:t>
                  </w:r>
                  <w:r>
                    <w:rPr>
                      <w:rFonts w:hint="eastAsia"/>
                      <w:szCs w:val="21"/>
                      <w:highlight w:val="none"/>
                      <w:lang w:val="en-US" w:eastAsia="zh-CN"/>
                    </w:rPr>
                    <w:t>15</w:t>
                  </w:r>
                  <w:r>
                    <w:rPr>
                      <w:szCs w:val="21"/>
                      <w:highlight w:val="none"/>
                    </w:rPr>
                    <w:t>万kW·h/a</w:t>
                  </w:r>
                </w:p>
              </w:tc>
              <w:tc>
                <w:tcPr>
                  <w:tcW w:w="673" w:type="pct"/>
                  <w:tcBorders>
                    <w:bottom w:val="single" w:color="000000" w:sz="4" w:space="0"/>
                  </w:tcBorders>
                  <w:noWrap/>
                  <w:vAlign w:val="center"/>
                </w:tcPr>
                <w:p w14:paraId="24401818">
                  <w:pPr>
                    <w:spacing w:before="48" w:beforeLines="20"/>
                    <w:jc w:val="center"/>
                    <w:rPr>
                      <w:szCs w:val="21"/>
                      <w:highlight w:val="none"/>
                    </w:rPr>
                  </w:pPr>
                  <w:r>
                    <w:rPr>
                      <w:rFonts w:hint="eastAsia"/>
                      <w:szCs w:val="21"/>
                      <w:highlight w:val="none"/>
                      <w:lang w:eastAsia="zh-CN"/>
                    </w:rPr>
                    <w:t>改</w:t>
                  </w:r>
                  <w:r>
                    <w:rPr>
                      <w:szCs w:val="21"/>
                      <w:highlight w:val="none"/>
                    </w:rPr>
                    <w:t>建后用电增加</w:t>
                  </w:r>
                  <w:r>
                    <w:rPr>
                      <w:rFonts w:hint="eastAsia"/>
                      <w:szCs w:val="21"/>
                      <w:highlight w:val="none"/>
                      <w:lang w:val="en-US" w:eastAsia="zh-CN"/>
                    </w:rPr>
                    <w:t>5</w:t>
                  </w:r>
                  <w:r>
                    <w:rPr>
                      <w:szCs w:val="21"/>
                      <w:highlight w:val="none"/>
                    </w:rPr>
                    <w:t>万kW·h/a</w:t>
                  </w:r>
                </w:p>
              </w:tc>
            </w:tr>
            <w:tr w14:paraId="4C02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47CA806F">
                  <w:pPr>
                    <w:spacing w:before="48" w:beforeLines="20"/>
                    <w:jc w:val="center"/>
                    <w:rPr>
                      <w:color w:val="FF0000"/>
                      <w:szCs w:val="21"/>
                    </w:rPr>
                  </w:pPr>
                </w:p>
              </w:tc>
              <w:tc>
                <w:tcPr>
                  <w:tcW w:w="533" w:type="pct"/>
                  <w:noWrap/>
                  <w:vAlign w:val="center"/>
                </w:tcPr>
                <w:p w14:paraId="20E83267">
                  <w:pPr>
                    <w:adjustRightInd w:val="0"/>
                    <w:snapToGrid w:val="0"/>
                    <w:jc w:val="center"/>
                    <w:rPr>
                      <w:szCs w:val="21"/>
                    </w:rPr>
                  </w:pPr>
                  <w:r>
                    <w:rPr>
                      <w:rFonts w:hint="eastAsia"/>
                      <w:color w:val="auto"/>
                      <w:szCs w:val="21"/>
                      <w:lang w:eastAsia="zh-CN"/>
                    </w:rPr>
                    <w:t>排水</w:t>
                  </w:r>
                </w:p>
              </w:tc>
              <w:tc>
                <w:tcPr>
                  <w:tcW w:w="1195" w:type="pct"/>
                  <w:noWrap/>
                  <w:vAlign w:val="center"/>
                </w:tcPr>
                <w:p w14:paraId="4B180C20">
                  <w:pPr>
                    <w:widowControl/>
                    <w:jc w:val="center"/>
                    <w:rPr>
                      <w:szCs w:val="21"/>
                    </w:rPr>
                  </w:pPr>
                  <w:r>
                    <w:rPr>
                      <w:rFonts w:hint="eastAsia" w:eastAsia="宋体"/>
                      <w:color w:val="auto"/>
                      <w:szCs w:val="21"/>
                      <w:lang w:eastAsia="zh-CN"/>
                    </w:rPr>
                    <w:t>项目搅拌用水、固化剂配比用水所用水全部进入物料，无废水外排；免烧砖养护用水自然蒸发不外排；</w:t>
                  </w:r>
                  <w:r>
                    <w:rPr>
                      <w:rFonts w:hint="eastAsia"/>
                      <w:color w:val="auto"/>
                      <w:szCs w:val="21"/>
                      <w:lang w:eastAsia="zh-CN"/>
                    </w:rPr>
                    <w:t>降尘</w:t>
                  </w:r>
                  <w:r>
                    <w:rPr>
                      <w:rFonts w:hint="eastAsia" w:eastAsia="宋体"/>
                      <w:color w:val="auto"/>
                      <w:szCs w:val="21"/>
                      <w:lang w:eastAsia="zh-CN"/>
                    </w:rPr>
                    <w:t>用水自然蒸发不外排；设备清洗废水、车辆清洗废水经沉淀池沉淀处理后回用于搅拌工序，无废水外排；生活污水经化粪池处理后定期清掏不外排；初期雨水经收集后全部回用于搅拌工序。</w:t>
                  </w:r>
                </w:p>
              </w:tc>
              <w:tc>
                <w:tcPr>
                  <w:tcW w:w="1214" w:type="pct"/>
                  <w:noWrap/>
                  <w:vAlign w:val="center"/>
                </w:tcPr>
                <w:p w14:paraId="2C374D23">
                  <w:pPr>
                    <w:widowControl/>
                    <w:spacing w:before="48" w:beforeLines="20"/>
                    <w:jc w:val="center"/>
                    <w:rPr>
                      <w:rFonts w:hint="eastAsia" w:eastAsia="宋体"/>
                      <w:szCs w:val="21"/>
                      <w:lang w:eastAsia="zh-CN"/>
                    </w:rPr>
                  </w:pPr>
                  <w:r>
                    <w:rPr>
                      <w:rFonts w:hint="eastAsia"/>
                      <w:szCs w:val="21"/>
                      <w:lang w:eastAsia="zh-CN"/>
                    </w:rPr>
                    <w:t>生活污水定期清掏不外排</w:t>
                  </w:r>
                </w:p>
              </w:tc>
              <w:tc>
                <w:tcPr>
                  <w:tcW w:w="1057" w:type="pct"/>
                  <w:noWrap/>
                  <w:vAlign w:val="center"/>
                </w:tcPr>
                <w:p w14:paraId="0A24DE1A">
                  <w:pPr>
                    <w:spacing w:before="48" w:beforeLines="20"/>
                    <w:jc w:val="center"/>
                    <w:rPr>
                      <w:szCs w:val="21"/>
                    </w:rPr>
                  </w:pPr>
                  <w:r>
                    <w:rPr>
                      <w:rFonts w:hint="eastAsia" w:eastAsia="宋体"/>
                      <w:color w:val="auto"/>
                      <w:szCs w:val="21"/>
                      <w:lang w:eastAsia="zh-CN"/>
                    </w:rPr>
                    <w:t>项目搅拌用水、固化剂配比用水所用水全部进入物料，无废水外排；免烧砖养护用水自然蒸发不外排；</w:t>
                  </w:r>
                  <w:r>
                    <w:rPr>
                      <w:rFonts w:hint="eastAsia"/>
                      <w:color w:val="auto"/>
                      <w:szCs w:val="21"/>
                      <w:lang w:eastAsia="zh-CN"/>
                    </w:rPr>
                    <w:t>降尘</w:t>
                  </w:r>
                  <w:r>
                    <w:rPr>
                      <w:rFonts w:hint="eastAsia" w:eastAsia="宋体"/>
                      <w:color w:val="auto"/>
                      <w:szCs w:val="21"/>
                      <w:lang w:eastAsia="zh-CN"/>
                    </w:rPr>
                    <w:t>用水自然蒸发不外排；设备清洗废水、车辆清洗废水经沉淀池沉淀处理后回用于搅拌工序，无废水外排；生活污水经化粪池处理后定期清掏不外排；初期雨水经收集后全部回用于搅拌工序。</w:t>
                  </w:r>
                </w:p>
              </w:tc>
              <w:tc>
                <w:tcPr>
                  <w:tcW w:w="673" w:type="pct"/>
                  <w:tcBorders>
                    <w:bottom w:val="single" w:color="000000" w:sz="4" w:space="0"/>
                  </w:tcBorders>
                  <w:noWrap/>
                  <w:vAlign w:val="center"/>
                </w:tcPr>
                <w:p w14:paraId="0C71C0B1">
                  <w:pPr>
                    <w:spacing w:before="48" w:beforeLines="20"/>
                    <w:jc w:val="center"/>
                    <w:rPr>
                      <w:rFonts w:hint="eastAsia" w:eastAsia="宋体"/>
                      <w:szCs w:val="21"/>
                      <w:lang w:eastAsia="zh-CN"/>
                    </w:rPr>
                  </w:pPr>
                  <w:r>
                    <w:rPr>
                      <w:rFonts w:hint="eastAsia"/>
                      <w:szCs w:val="21"/>
                      <w:lang w:eastAsia="zh-CN"/>
                    </w:rPr>
                    <w:t>新增生活污水</w:t>
                  </w:r>
                </w:p>
              </w:tc>
            </w:tr>
            <w:tr w14:paraId="450A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766CDA3E">
                  <w:pPr>
                    <w:spacing w:before="48" w:beforeLines="20"/>
                    <w:jc w:val="center"/>
                    <w:rPr>
                      <w:color w:val="FF0000"/>
                      <w:szCs w:val="21"/>
                    </w:rPr>
                  </w:pPr>
                </w:p>
              </w:tc>
              <w:tc>
                <w:tcPr>
                  <w:tcW w:w="533" w:type="pct"/>
                  <w:noWrap/>
                  <w:vAlign w:val="center"/>
                </w:tcPr>
                <w:p w14:paraId="1E7963F3">
                  <w:pPr>
                    <w:adjustRightInd w:val="0"/>
                    <w:snapToGrid w:val="0"/>
                    <w:jc w:val="center"/>
                    <w:rPr>
                      <w:szCs w:val="21"/>
                    </w:rPr>
                  </w:pPr>
                  <w:r>
                    <w:rPr>
                      <w:rFonts w:hint="eastAsia"/>
                      <w:color w:val="auto"/>
                      <w:szCs w:val="21"/>
                      <w:lang w:val="en-US" w:eastAsia="zh-CN"/>
                    </w:rPr>
                    <w:t>消防</w:t>
                  </w:r>
                </w:p>
              </w:tc>
              <w:tc>
                <w:tcPr>
                  <w:tcW w:w="1195" w:type="pct"/>
                  <w:noWrap/>
                  <w:vAlign w:val="center"/>
                </w:tcPr>
                <w:p w14:paraId="751FB548">
                  <w:pPr>
                    <w:widowControl/>
                    <w:jc w:val="center"/>
                    <w:rPr>
                      <w:szCs w:val="21"/>
                    </w:rPr>
                  </w:pPr>
                  <w:r>
                    <w:rPr>
                      <w:rFonts w:hint="eastAsia"/>
                      <w:lang w:val="en-US" w:eastAsia="zh-CN"/>
                    </w:rPr>
                    <w:t>按照相关规定设置各类消防设施。</w:t>
                  </w:r>
                </w:p>
              </w:tc>
              <w:tc>
                <w:tcPr>
                  <w:tcW w:w="1214" w:type="pct"/>
                  <w:noWrap/>
                  <w:vAlign w:val="center"/>
                </w:tcPr>
                <w:p w14:paraId="6D2E7A7D">
                  <w:pPr>
                    <w:adjustRightInd w:val="0"/>
                    <w:snapToGrid w:val="0"/>
                    <w:spacing w:before="48" w:beforeLines="20"/>
                    <w:jc w:val="center"/>
                    <w:rPr>
                      <w:szCs w:val="21"/>
                      <w:lang w:bidi="ar"/>
                    </w:rPr>
                  </w:pPr>
                  <w:r>
                    <w:rPr>
                      <w:rFonts w:hint="eastAsia"/>
                      <w:lang w:val="en-US" w:eastAsia="zh-CN"/>
                    </w:rPr>
                    <w:t>按照相关规定设置各类消防设施。</w:t>
                  </w:r>
                </w:p>
              </w:tc>
              <w:tc>
                <w:tcPr>
                  <w:tcW w:w="1057" w:type="pct"/>
                  <w:noWrap/>
                  <w:vAlign w:val="center"/>
                </w:tcPr>
                <w:p w14:paraId="0C39A920">
                  <w:pPr>
                    <w:adjustRightInd w:val="0"/>
                    <w:snapToGrid w:val="0"/>
                    <w:spacing w:before="48" w:beforeLines="20"/>
                    <w:jc w:val="center"/>
                    <w:rPr>
                      <w:szCs w:val="21"/>
                    </w:rPr>
                  </w:pPr>
                  <w:r>
                    <w:rPr>
                      <w:szCs w:val="21"/>
                      <w:lang w:bidi="ar"/>
                    </w:rPr>
                    <w:t>按照相关规定设置各类消防设施</w:t>
                  </w:r>
                </w:p>
              </w:tc>
              <w:tc>
                <w:tcPr>
                  <w:tcW w:w="673" w:type="pct"/>
                  <w:noWrap/>
                  <w:vAlign w:val="center"/>
                </w:tcPr>
                <w:p w14:paraId="210DADFF">
                  <w:pPr>
                    <w:spacing w:before="48" w:beforeLines="20"/>
                    <w:jc w:val="center"/>
                    <w:rPr>
                      <w:szCs w:val="21"/>
                    </w:rPr>
                  </w:pPr>
                  <w:r>
                    <w:rPr>
                      <w:rFonts w:hint="eastAsia"/>
                      <w:szCs w:val="21"/>
                      <w:lang w:eastAsia="zh-CN"/>
                    </w:rPr>
                    <w:t>无变更</w:t>
                  </w:r>
                </w:p>
              </w:tc>
            </w:tr>
            <w:tr w14:paraId="661D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restart"/>
                  <w:noWrap/>
                  <w:vAlign w:val="center"/>
                </w:tcPr>
                <w:p w14:paraId="76787FE4">
                  <w:pPr>
                    <w:spacing w:before="48" w:beforeLines="20"/>
                    <w:jc w:val="center"/>
                    <w:rPr>
                      <w:szCs w:val="21"/>
                    </w:rPr>
                  </w:pPr>
                  <w:r>
                    <w:rPr>
                      <w:szCs w:val="21"/>
                    </w:rPr>
                    <w:t>环保工程</w:t>
                  </w:r>
                </w:p>
              </w:tc>
              <w:tc>
                <w:tcPr>
                  <w:tcW w:w="533" w:type="pct"/>
                  <w:noWrap/>
                  <w:vAlign w:val="center"/>
                </w:tcPr>
                <w:p w14:paraId="6F8133A9">
                  <w:pPr>
                    <w:adjustRightInd w:val="0"/>
                    <w:snapToGrid w:val="0"/>
                    <w:jc w:val="center"/>
                    <w:rPr>
                      <w:szCs w:val="21"/>
                    </w:rPr>
                  </w:pPr>
                  <w:r>
                    <w:rPr>
                      <w:szCs w:val="21"/>
                    </w:rPr>
                    <w:t>废水治理</w:t>
                  </w:r>
                </w:p>
              </w:tc>
              <w:tc>
                <w:tcPr>
                  <w:tcW w:w="1195" w:type="pct"/>
                  <w:noWrap/>
                  <w:vAlign w:val="center"/>
                </w:tcPr>
                <w:p w14:paraId="215ADC0E">
                  <w:pPr>
                    <w:spacing w:before="48" w:beforeLines="20"/>
                    <w:jc w:val="center"/>
                    <w:rPr>
                      <w:szCs w:val="21"/>
                      <w:highlight w:val="yellow"/>
                    </w:rPr>
                  </w:pPr>
                  <w:r>
                    <w:rPr>
                      <w:color w:val="auto"/>
                      <w:szCs w:val="21"/>
                    </w:rPr>
                    <w:t>排水实行雨污分流制：</w:t>
                  </w:r>
                  <w:r>
                    <w:rPr>
                      <w:rFonts w:hint="eastAsia"/>
                      <w:color w:val="auto"/>
                      <w:szCs w:val="21"/>
                      <w:lang w:eastAsia="zh-CN"/>
                    </w:rPr>
                    <w:t>初期</w:t>
                  </w:r>
                  <w:r>
                    <w:rPr>
                      <w:color w:val="auto"/>
                      <w:szCs w:val="21"/>
                    </w:rPr>
                    <w:t>雨水经厂区雨水</w:t>
                  </w:r>
                  <w:r>
                    <w:rPr>
                      <w:rFonts w:hint="eastAsia"/>
                      <w:color w:val="auto"/>
                      <w:szCs w:val="21"/>
                      <w:lang w:eastAsia="zh-CN"/>
                    </w:rPr>
                    <w:t>收集池收集后全部回用于搅拌工序</w:t>
                  </w:r>
                  <w:r>
                    <w:rPr>
                      <w:color w:val="auto"/>
                      <w:szCs w:val="21"/>
                    </w:rPr>
                    <w:t>；</w:t>
                  </w:r>
                  <w:r>
                    <w:rPr>
                      <w:rFonts w:hint="eastAsia"/>
                      <w:color w:val="auto"/>
                      <w:szCs w:val="21"/>
                    </w:rPr>
                    <w:t>项目</w:t>
                  </w:r>
                  <w:r>
                    <w:rPr>
                      <w:rFonts w:hint="eastAsia"/>
                      <w:color w:val="auto"/>
                      <w:szCs w:val="21"/>
                      <w:lang w:eastAsia="zh-CN"/>
                    </w:rPr>
                    <w:t>搅拌用水</w:t>
                  </w:r>
                  <w:r>
                    <w:rPr>
                      <w:rFonts w:hint="eastAsia"/>
                      <w:color w:val="auto"/>
                      <w:szCs w:val="21"/>
                    </w:rPr>
                    <w:t>、固化剂配比用水所用水全部进入物料，无废水外排；免烧砖养护用水自然蒸发不外排；</w:t>
                  </w:r>
                  <w:r>
                    <w:rPr>
                      <w:rFonts w:hint="eastAsia"/>
                      <w:color w:val="auto"/>
                      <w:szCs w:val="21"/>
                      <w:lang w:eastAsia="zh-CN"/>
                    </w:rPr>
                    <w:t>降尘</w:t>
                  </w:r>
                  <w:r>
                    <w:rPr>
                      <w:rFonts w:hint="eastAsia"/>
                      <w:color w:val="auto"/>
                      <w:szCs w:val="21"/>
                    </w:rPr>
                    <w:t>用水自然蒸发不外排；设备清洗废水、车辆清洗废水经沉淀池沉淀处理后回用于搅拌工序，无废水外排；生活污水经化粪池处理后定期清掏不外排</w:t>
                  </w:r>
                  <w:r>
                    <w:rPr>
                      <w:rFonts w:hint="eastAsia"/>
                      <w:color w:val="auto"/>
                      <w:szCs w:val="21"/>
                      <w:lang w:eastAsia="zh-CN"/>
                    </w:rPr>
                    <w:t>。</w:t>
                  </w:r>
                </w:p>
              </w:tc>
              <w:tc>
                <w:tcPr>
                  <w:tcW w:w="1214" w:type="pct"/>
                  <w:noWrap/>
                  <w:vAlign w:val="center"/>
                </w:tcPr>
                <w:p w14:paraId="53B06083">
                  <w:pPr>
                    <w:spacing w:before="48" w:beforeLines="20"/>
                    <w:jc w:val="center"/>
                    <w:rPr>
                      <w:szCs w:val="21"/>
                    </w:rPr>
                  </w:pPr>
                  <w:r>
                    <w:rPr>
                      <w:rFonts w:hint="eastAsia"/>
                      <w:color w:val="auto"/>
                      <w:szCs w:val="21"/>
                    </w:rPr>
                    <w:t>生活污水经化粪池处理后定期清掏不外排</w:t>
                  </w:r>
                  <w:r>
                    <w:rPr>
                      <w:rFonts w:hint="eastAsia"/>
                      <w:color w:val="auto"/>
                      <w:szCs w:val="21"/>
                      <w:lang w:eastAsia="zh-CN"/>
                    </w:rPr>
                    <w:t>。</w:t>
                  </w:r>
                </w:p>
              </w:tc>
              <w:tc>
                <w:tcPr>
                  <w:tcW w:w="1057" w:type="pct"/>
                  <w:noWrap/>
                  <w:vAlign w:val="center"/>
                </w:tcPr>
                <w:p w14:paraId="3FC79FE9">
                  <w:pPr>
                    <w:spacing w:before="48" w:beforeLines="20"/>
                    <w:jc w:val="center"/>
                    <w:rPr>
                      <w:szCs w:val="21"/>
                      <w:highlight w:val="yellow"/>
                    </w:rPr>
                  </w:pPr>
                  <w:r>
                    <w:rPr>
                      <w:color w:val="auto"/>
                      <w:szCs w:val="21"/>
                    </w:rPr>
                    <w:t>排水实行雨污分流制：</w:t>
                  </w:r>
                  <w:r>
                    <w:rPr>
                      <w:rFonts w:hint="eastAsia"/>
                      <w:color w:val="auto"/>
                      <w:szCs w:val="21"/>
                      <w:lang w:eastAsia="zh-CN"/>
                    </w:rPr>
                    <w:t>初期</w:t>
                  </w:r>
                  <w:r>
                    <w:rPr>
                      <w:color w:val="auto"/>
                      <w:szCs w:val="21"/>
                    </w:rPr>
                    <w:t>雨水经厂区雨水</w:t>
                  </w:r>
                  <w:r>
                    <w:rPr>
                      <w:rFonts w:hint="eastAsia"/>
                      <w:color w:val="auto"/>
                      <w:szCs w:val="21"/>
                      <w:lang w:eastAsia="zh-CN"/>
                    </w:rPr>
                    <w:t>收集池收集后全部回用于搅拌工序</w:t>
                  </w:r>
                  <w:r>
                    <w:rPr>
                      <w:color w:val="auto"/>
                      <w:szCs w:val="21"/>
                    </w:rPr>
                    <w:t>；</w:t>
                  </w:r>
                  <w:r>
                    <w:rPr>
                      <w:rFonts w:hint="eastAsia"/>
                      <w:color w:val="auto"/>
                      <w:szCs w:val="21"/>
                    </w:rPr>
                    <w:t>项目</w:t>
                  </w:r>
                  <w:r>
                    <w:rPr>
                      <w:rFonts w:hint="eastAsia"/>
                      <w:color w:val="auto"/>
                      <w:szCs w:val="21"/>
                      <w:lang w:eastAsia="zh-CN"/>
                    </w:rPr>
                    <w:t>搅拌用水</w:t>
                  </w:r>
                  <w:r>
                    <w:rPr>
                      <w:rFonts w:hint="eastAsia"/>
                      <w:color w:val="auto"/>
                      <w:szCs w:val="21"/>
                    </w:rPr>
                    <w:t>、固化剂配比用水所用水全部进入物料，无废水外排；免烧砖养护用水自然蒸发不外排；</w:t>
                  </w:r>
                  <w:r>
                    <w:rPr>
                      <w:rFonts w:hint="eastAsia"/>
                      <w:color w:val="auto"/>
                      <w:szCs w:val="21"/>
                      <w:lang w:eastAsia="zh-CN"/>
                    </w:rPr>
                    <w:t>降尘</w:t>
                  </w:r>
                  <w:r>
                    <w:rPr>
                      <w:rFonts w:hint="eastAsia"/>
                      <w:color w:val="auto"/>
                      <w:szCs w:val="21"/>
                    </w:rPr>
                    <w:t>用水自然蒸发不外排；设备清洗废水、车辆清洗废水经沉淀池沉淀处理后回用于搅拌工序，无废水外排；生活污水经化粪池处理后定期清掏不外排</w:t>
                  </w:r>
                  <w:r>
                    <w:rPr>
                      <w:rFonts w:hint="eastAsia"/>
                      <w:color w:val="auto"/>
                      <w:szCs w:val="21"/>
                      <w:lang w:eastAsia="zh-CN"/>
                    </w:rPr>
                    <w:t>。</w:t>
                  </w:r>
                </w:p>
              </w:tc>
              <w:tc>
                <w:tcPr>
                  <w:tcW w:w="673" w:type="pct"/>
                  <w:noWrap/>
                  <w:vAlign w:val="center"/>
                </w:tcPr>
                <w:p w14:paraId="672DAFD1">
                  <w:pPr>
                    <w:pStyle w:val="33"/>
                    <w:spacing w:before="48" w:beforeLines="20"/>
                    <w:jc w:val="center"/>
                    <w:rPr>
                      <w:color w:val="auto"/>
                      <w:sz w:val="21"/>
                      <w:szCs w:val="21"/>
                    </w:rPr>
                  </w:pPr>
                  <w:r>
                    <w:rPr>
                      <w:color w:val="auto"/>
                      <w:sz w:val="21"/>
                      <w:szCs w:val="21"/>
                    </w:rPr>
                    <w:t>无变更</w:t>
                  </w:r>
                </w:p>
              </w:tc>
            </w:tr>
            <w:tr w14:paraId="6B34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325" w:type="pct"/>
                  <w:vMerge w:val="continue"/>
                  <w:noWrap/>
                  <w:vAlign w:val="center"/>
                </w:tcPr>
                <w:p w14:paraId="4B55999F">
                  <w:pPr>
                    <w:spacing w:before="48" w:beforeLines="20"/>
                    <w:jc w:val="center"/>
                    <w:rPr>
                      <w:color w:val="FF0000"/>
                      <w:szCs w:val="21"/>
                    </w:rPr>
                  </w:pPr>
                </w:p>
              </w:tc>
              <w:tc>
                <w:tcPr>
                  <w:tcW w:w="533" w:type="pct"/>
                  <w:vMerge w:val="restart"/>
                  <w:noWrap/>
                  <w:vAlign w:val="center"/>
                </w:tcPr>
                <w:p w14:paraId="2F076463">
                  <w:pPr>
                    <w:adjustRightInd w:val="0"/>
                    <w:snapToGrid w:val="0"/>
                    <w:jc w:val="center"/>
                    <w:rPr>
                      <w:szCs w:val="21"/>
                    </w:rPr>
                  </w:pPr>
                  <w:r>
                    <w:rPr>
                      <w:szCs w:val="21"/>
                    </w:rPr>
                    <w:t>废气治理</w:t>
                  </w:r>
                </w:p>
              </w:tc>
              <w:tc>
                <w:tcPr>
                  <w:tcW w:w="1195" w:type="pct"/>
                  <w:noWrap/>
                  <w:vAlign w:val="center"/>
                </w:tcPr>
                <w:p w14:paraId="29121C6B">
                  <w:pPr>
                    <w:spacing w:before="48" w:beforeLines="20"/>
                    <w:jc w:val="center"/>
                    <w:rPr>
                      <w:szCs w:val="21"/>
                      <w:highlight w:val="none"/>
                    </w:rPr>
                  </w:pPr>
                  <w:r>
                    <w:rPr>
                      <w:rFonts w:hint="eastAsia"/>
                      <w:szCs w:val="21"/>
                      <w:highlight w:val="none"/>
                      <w:lang w:val="en-US" w:eastAsia="zh-CN"/>
                    </w:rPr>
                    <w:t>1#</w:t>
                  </w:r>
                  <w:r>
                    <w:rPr>
                      <w:rFonts w:hint="eastAsia"/>
                      <w:szCs w:val="21"/>
                      <w:highlight w:val="none"/>
                      <w:lang w:eastAsia="zh-CN"/>
                    </w:rPr>
                    <w:t>水泥仓</w:t>
                  </w:r>
                  <w:r>
                    <w:rPr>
                      <w:rFonts w:hint="eastAsia"/>
                      <w:szCs w:val="21"/>
                      <w:highlight w:val="none"/>
                      <w:lang w:val="en-US" w:eastAsia="zh-CN"/>
                    </w:rPr>
                    <w:t>呼吸</w:t>
                  </w:r>
                  <w:r>
                    <w:rPr>
                      <w:rFonts w:hint="eastAsia"/>
                      <w:szCs w:val="21"/>
                      <w:highlight w:val="none"/>
                      <w:lang w:eastAsia="zh-CN"/>
                    </w:rPr>
                    <w:t>废气</w:t>
                  </w:r>
                  <w:r>
                    <w:rPr>
                      <w:szCs w:val="21"/>
                      <w:highlight w:val="none"/>
                    </w:rPr>
                    <w:t>：</w:t>
                  </w:r>
                  <w:r>
                    <w:rPr>
                      <w:rFonts w:hint="eastAsia"/>
                      <w:szCs w:val="21"/>
                      <w:highlight w:val="none"/>
                      <w:lang w:val="en-US" w:eastAsia="zh-CN"/>
                    </w:rPr>
                    <w:t>引风机+</w:t>
                  </w:r>
                  <w:r>
                    <w:rPr>
                      <w:szCs w:val="21"/>
                      <w:highlight w:val="none"/>
                    </w:rPr>
                    <w:t>脉冲除尘器</w:t>
                  </w:r>
                  <w:r>
                    <w:rPr>
                      <w:rFonts w:hint="eastAsia"/>
                      <w:szCs w:val="21"/>
                      <w:highlight w:val="none"/>
                      <w:lang w:val="en-US" w:eastAsia="zh-CN"/>
                    </w:rPr>
                    <w:t>+</w:t>
                  </w:r>
                  <w:r>
                    <w:rPr>
                      <w:szCs w:val="21"/>
                      <w:highlight w:val="none"/>
                    </w:rPr>
                    <w:t>1</w:t>
                  </w:r>
                  <w:r>
                    <w:rPr>
                      <w:rFonts w:hint="eastAsia"/>
                      <w:szCs w:val="21"/>
                      <w:highlight w:val="none"/>
                    </w:rPr>
                    <w:t>5</w:t>
                  </w:r>
                  <w:r>
                    <w:rPr>
                      <w:szCs w:val="21"/>
                      <w:highlight w:val="none"/>
                    </w:rPr>
                    <w:t>m高排气筒（DA001）</w:t>
                  </w:r>
                  <w:r>
                    <w:rPr>
                      <w:rFonts w:hint="eastAsia"/>
                      <w:szCs w:val="21"/>
                      <w:highlight w:val="none"/>
                    </w:rPr>
                    <w:t>。</w:t>
                  </w:r>
                </w:p>
              </w:tc>
              <w:tc>
                <w:tcPr>
                  <w:tcW w:w="1214" w:type="pct"/>
                  <w:noWrap/>
                  <w:vAlign w:val="center"/>
                </w:tcPr>
                <w:p w14:paraId="320C9A52">
                  <w:pPr>
                    <w:spacing w:before="48" w:beforeLines="20"/>
                    <w:jc w:val="center"/>
                    <w:rPr>
                      <w:rFonts w:hint="eastAsia" w:eastAsia="宋体"/>
                      <w:szCs w:val="21"/>
                      <w:highlight w:val="none"/>
                      <w:lang w:eastAsia="zh-CN"/>
                    </w:rPr>
                  </w:pPr>
                  <w:r>
                    <w:rPr>
                      <w:rFonts w:hint="eastAsia"/>
                      <w:szCs w:val="21"/>
                      <w:highlight w:val="none"/>
                      <w:lang w:val="en-US" w:eastAsia="zh-CN"/>
                    </w:rPr>
                    <w:t>/</w:t>
                  </w:r>
                </w:p>
              </w:tc>
              <w:tc>
                <w:tcPr>
                  <w:tcW w:w="1057" w:type="pct"/>
                  <w:shd w:val="clear" w:color="auto" w:fill="auto"/>
                  <w:noWrap/>
                  <w:vAlign w:val="center"/>
                </w:tcPr>
                <w:p w14:paraId="2BF76C98">
                  <w:pPr>
                    <w:spacing w:before="48" w:beforeLines="20"/>
                    <w:jc w:val="center"/>
                    <w:rPr>
                      <w:rFonts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w:t>
                  </w:r>
                  <w:r>
                    <w:rPr>
                      <w:rFonts w:hint="eastAsia"/>
                      <w:szCs w:val="21"/>
                      <w:highlight w:val="none"/>
                      <w:lang w:eastAsia="zh-CN"/>
                    </w:rPr>
                    <w:t>水泥仓</w:t>
                  </w:r>
                  <w:r>
                    <w:rPr>
                      <w:rFonts w:hint="eastAsia"/>
                      <w:szCs w:val="21"/>
                      <w:highlight w:val="none"/>
                      <w:lang w:val="en-US" w:eastAsia="zh-CN"/>
                    </w:rPr>
                    <w:t>呼吸</w:t>
                  </w:r>
                  <w:r>
                    <w:rPr>
                      <w:rFonts w:hint="eastAsia"/>
                      <w:szCs w:val="21"/>
                      <w:highlight w:val="none"/>
                      <w:lang w:eastAsia="zh-CN"/>
                    </w:rPr>
                    <w:t>废气</w:t>
                  </w:r>
                  <w:r>
                    <w:rPr>
                      <w:szCs w:val="21"/>
                      <w:highlight w:val="none"/>
                    </w:rPr>
                    <w:t>：</w:t>
                  </w:r>
                  <w:r>
                    <w:rPr>
                      <w:rFonts w:hint="eastAsia"/>
                      <w:szCs w:val="21"/>
                      <w:highlight w:val="none"/>
                      <w:lang w:val="en-US" w:eastAsia="zh-CN"/>
                    </w:rPr>
                    <w:t>引风机+</w:t>
                  </w:r>
                  <w:r>
                    <w:rPr>
                      <w:szCs w:val="21"/>
                      <w:highlight w:val="none"/>
                    </w:rPr>
                    <w:t>脉冲除尘器</w:t>
                  </w:r>
                  <w:r>
                    <w:rPr>
                      <w:rFonts w:hint="eastAsia"/>
                      <w:szCs w:val="21"/>
                      <w:highlight w:val="none"/>
                      <w:lang w:val="en-US" w:eastAsia="zh-CN"/>
                    </w:rPr>
                    <w:t>+</w:t>
                  </w:r>
                  <w:r>
                    <w:rPr>
                      <w:szCs w:val="21"/>
                      <w:highlight w:val="none"/>
                    </w:rPr>
                    <w:t>1</w:t>
                  </w:r>
                  <w:r>
                    <w:rPr>
                      <w:rFonts w:hint="eastAsia"/>
                      <w:szCs w:val="21"/>
                      <w:highlight w:val="none"/>
                    </w:rPr>
                    <w:t>5</w:t>
                  </w:r>
                  <w:r>
                    <w:rPr>
                      <w:szCs w:val="21"/>
                      <w:highlight w:val="none"/>
                    </w:rPr>
                    <w:t>m高排气筒（DA001）</w:t>
                  </w:r>
                  <w:r>
                    <w:rPr>
                      <w:rFonts w:hint="eastAsia"/>
                      <w:szCs w:val="21"/>
                      <w:highlight w:val="none"/>
                    </w:rPr>
                    <w:t>。</w:t>
                  </w:r>
                </w:p>
              </w:tc>
              <w:tc>
                <w:tcPr>
                  <w:tcW w:w="673" w:type="pct"/>
                  <w:vMerge w:val="restart"/>
                  <w:noWrap/>
                  <w:vAlign w:val="center"/>
                </w:tcPr>
                <w:p w14:paraId="48791153">
                  <w:pPr>
                    <w:spacing w:before="48" w:beforeLines="20"/>
                    <w:jc w:val="center"/>
                    <w:rPr>
                      <w:rFonts w:hint="eastAsia" w:eastAsia="宋体"/>
                      <w:szCs w:val="21"/>
                      <w:lang w:eastAsia="zh-CN"/>
                    </w:rPr>
                  </w:pPr>
                  <w:r>
                    <w:rPr>
                      <w:rFonts w:hint="eastAsia"/>
                      <w:szCs w:val="21"/>
                      <w:lang w:eastAsia="zh-CN"/>
                    </w:rPr>
                    <w:t>改建项目依托原有排气筒</w:t>
                  </w:r>
                  <w:r>
                    <w:rPr>
                      <w:color w:val="auto"/>
                      <w:szCs w:val="21"/>
                    </w:rPr>
                    <w:t>（DA00</w:t>
                  </w:r>
                  <w:r>
                    <w:rPr>
                      <w:rFonts w:hint="eastAsia"/>
                      <w:color w:val="auto"/>
                      <w:szCs w:val="21"/>
                      <w:lang w:val="en-US" w:eastAsia="zh-CN"/>
                    </w:rPr>
                    <w:t>2DA003</w:t>
                  </w:r>
                  <w:r>
                    <w:rPr>
                      <w:color w:val="auto"/>
                      <w:szCs w:val="21"/>
                    </w:rPr>
                    <w:t>）</w:t>
                  </w:r>
                </w:p>
              </w:tc>
            </w:tr>
            <w:tr w14:paraId="1D73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jc w:val="center"/>
              </w:trPr>
              <w:tc>
                <w:tcPr>
                  <w:tcW w:w="325" w:type="pct"/>
                  <w:vMerge w:val="continue"/>
                  <w:noWrap/>
                  <w:vAlign w:val="center"/>
                </w:tcPr>
                <w:p w14:paraId="429E226B">
                  <w:pPr>
                    <w:spacing w:before="48" w:beforeLines="20"/>
                    <w:jc w:val="center"/>
                  </w:pPr>
                </w:p>
              </w:tc>
              <w:tc>
                <w:tcPr>
                  <w:tcW w:w="533" w:type="pct"/>
                  <w:vMerge w:val="continue"/>
                  <w:noWrap/>
                  <w:vAlign w:val="center"/>
                </w:tcPr>
                <w:p w14:paraId="67BD7DC0">
                  <w:pPr>
                    <w:spacing w:before="48" w:beforeLines="20"/>
                    <w:jc w:val="center"/>
                  </w:pPr>
                </w:p>
              </w:tc>
              <w:tc>
                <w:tcPr>
                  <w:tcW w:w="1195" w:type="pct"/>
                  <w:noWrap/>
                  <w:vAlign w:val="center"/>
                </w:tcPr>
                <w:p w14:paraId="5423BB7E">
                  <w:pPr>
                    <w:spacing w:before="48" w:beforeLines="20"/>
                    <w:jc w:val="center"/>
                    <w:rPr>
                      <w:rFonts w:hint="eastAsia"/>
                      <w:szCs w:val="21"/>
                    </w:rPr>
                  </w:pPr>
                  <w:r>
                    <w:rPr>
                      <w:rFonts w:hint="eastAsia"/>
                      <w:szCs w:val="21"/>
                      <w:lang w:val="en-US" w:eastAsia="zh-CN"/>
                    </w:rPr>
                    <w:t>2#</w:t>
                  </w:r>
                  <w:r>
                    <w:rPr>
                      <w:rFonts w:hint="eastAsia"/>
                      <w:szCs w:val="21"/>
                      <w:lang w:eastAsia="zh-CN"/>
                    </w:rPr>
                    <w:t>水泥仓废气</w:t>
                  </w:r>
                  <w:r>
                    <w:rPr>
                      <w:szCs w:val="21"/>
                    </w:rPr>
                    <w:t>：</w:t>
                  </w:r>
                  <w:r>
                    <w:rPr>
                      <w:rFonts w:hint="eastAsia"/>
                      <w:color w:val="auto"/>
                      <w:szCs w:val="21"/>
                      <w:lang w:val="en-US" w:eastAsia="zh-CN"/>
                    </w:rPr>
                    <w:t>引风机+</w:t>
                  </w:r>
                  <w:r>
                    <w:rPr>
                      <w:szCs w:val="21"/>
                    </w:rPr>
                    <w:t>脉冲除尘器</w:t>
                  </w:r>
                  <w:r>
                    <w:rPr>
                      <w:rFonts w:hint="eastAsia"/>
                      <w:szCs w:val="21"/>
                      <w:lang w:val="en-US" w:eastAsia="zh-CN"/>
                    </w:rPr>
                    <w:t>+</w:t>
                  </w:r>
                  <w:r>
                    <w:rPr>
                      <w:szCs w:val="21"/>
                    </w:rPr>
                    <w:t>1</w:t>
                  </w:r>
                  <w:r>
                    <w:rPr>
                      <w:rFonts w:hint="eastAsia"/>
                      <w:szCs w:val="21"/>
                    </w:rPr>
                    <w:t>5</w:t>
                  </w:r>
                  <w:r>
                    <w:rPr>
                      <w:szCs w:val="21"/>
                    </w:rPr>
                    <w:t>m高排气筒（DA002）</w:t>
                  </w:r>
                  <w:r>
                    <w:rPr>
                      <w:rFonts w:hint="eastAsia"/>
                      <w:szCs w:val="21"/>
                    </w:rPr>
                    <w:t>。</w:t>
                  </w:r>
                </w:p>
              </w:tc>
              <w:tc>
                <w:tcPr>
                  <w:tcW w:w="1214" w:type="pct"/>
                  <w:noWrap/>
                  <w:vAlign w:val="center"/>
                </w:tcPr>
                <w:p w14:paraId="02979D2E">
                  <w:pPr>
                    <w:spacing w:before="48" w:beforeLines="20"/>
                    <w:jc w:val="center"/>
                  </w:pPr>
                  <w:r>
                    <w:rPr>
                      <w:rFonts w:hint="eastAsia"/>
                      <w:szCs w:val="21"/>
                      <w:lang w:val="en-US" w:eastAsia="zh-CN"/>
                    </w:rPr>
                    <w:t>草木灰</w:t>
                  </w:r>
                  <w:r>
                    <w:rPr>
                      <w:rFonts w:hint="eastAsia"/>
                      <w:szCs w:val="21"/>
                      <w:lang w:eastAsia="zh-CN"/>
                    </w:rPr>
                    <w:t>仓废气</w:t>
                  </w:r>
                  <w:r>
                    <w:rPr>
                      <w:szCs w:val="21"/>
                    </w:rPr>
                    <w:t>：</w:t>
                  </w:r>
                  <w:r>
                    <w:rPr>
                      <w:rFonts w:hint="eastAsia"/>
                      <w:color w:val="auto"/>
                      <w:szCs w:val="21"/>
                      <w:lang w:val="en-US" w:eastAsia="zh-CN"/>
                    </w:rPr>
                    <w:t>引风机+</w:t>
                  </w:r>
                  <w:r>
                    <w:rPr>
                      <w:szCs w:val="21"/>
                    </w:rPr>
                    <w:t>脉冲除尘器</w:t>
                  </w:r>
                  <w:r>
                    <w:rPr>
                      <w:rFonts w:hint="eastAsia"/>
                      <w:szCs w:val="21"/>
                      <w:lang w:val="en-US" w:eastAsia="zh-CN"/>
                    </w:rPr>
                    <w:t>+</w:t>
                  </w:r>
                  <w:r>
                    <w:rPr>
                      <w:szCs w:val="21"/>
                    </w:rPr>
                    <w:t>1</w:t>
                  </w:r>
                  <w:r>
                    <w:rPr>
                      <w:rFonts w:hint="eastAsia"/>
                      <w:szCs w:val="21"/>
                    </w:rPr>
                    <w:t>5</w:t>
                  </w:r>
                  <w:r>
                    <w:rPr>
                      <w:szCs w:val="21"/>
                    </w:rPr>
                    <w:t>m高排气筒（DA002）</w:t>
                  </w:r>
                </w:p>
              </w:tc>
              <w:tc>
                <w:tcPr>
                  <w:tcW w:w="1057" w:type="pct"/>
                  <w:noWrap/>
                  <w:vAlign w:val="center"/>
                </w:tcPr>
                <w:p w14:paraId="7F31E566">
                  <w:pPr>
                    <w:spacing w:before="48" w:beforeLines="2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草木灰</w:t>
                  </w:r>
                  <w:r>
                    <w:rPr>
                      <w:rFonts w:hint="eastAsia"/>
                      <w:szCs w:val="21"/>
                      <w:lang w:eastAsia="zh-CN"/>
                    </w:rPr>
                    <w:t>仓废气</w:t>
                  </w:r>
                  <w:r>
                    <w:rPr>
                      <w:szCs w:val="21"/>
                    </w:rPr>
                    <w:t>：</w:t>
                  </w:r>
                  <w:r>
                    <w:rPr>
                      <w:rFonts w:hint="eastAsia"/>
                      <w:color w:val="auto"/>
                      <w:szCs w:val="21"/>
                      <w:lang w:val="en-US" w:eastAsia="zh-CN"/>
                    </w:rPr>
                    <w:t>引风机+</w:t>
                  </w:r>
                  <w:r>
                    <w:rPr>
                      <w:szCs w:val="21"/>
                    </w:rPr>
                    <w:t>脉冲除尘器</w:t>
                  </w:r>
                  <w:r>
                    <w:rPr>
                      <w:rFonts w:hint="eastAsia"/>
                      <w:szCs w:val="21"/>
                      <w:lang w:val="en-US" w:eastAsia="zh-CN"/>
                    </w:rPr>
                    <w:t>+</w:t>
                  </w:r>
                  <w:r>
                    <w:rPr>
                      <w:szCs w:val="21"/>
                    </w:rPr>
                    <w:t>1</w:t>
                  </w:r>
                  <w:r>
                    <w:rPr>
                      <w:rFonts w:hint="eastAsia"/>
                      <w:szCs w:val="21"/>
                    </w:rPr>
                    <w:t>5</w:t>
                  </w:r>
                  <w:r>
                    <w:rPr>
                      <w:szCs w:val="21"/>
                    </w:rPr>
                    <w:t>m高排气筒（DA002）</w:t>
                  </w:r>
                </w:p>
              </w:tc>
              <w:tc>
                <w:tcPr>
                  <w:tcW w:w="673" w:type="pct"/>
                  <w:vMerge w:val="continue"/>
                  <w:noWrap/>
                  <w:vAlign w:val="center"/>
                </w:tcPr>
                <w:p w14:paraId="422D13EB">
                  <w:pPr>
                    <w:spacing w:before="48" w:beforeLines="20"/>
                    <w:jc w:val="center"/>
                    <w:rPr>
                      <w:szCs w:val="21"/>
                    </w:rPr>
                  </w:pPr>
                </w:p>
              </w:tc>
            </w:tr>
            <w:tr w14:paraId="1493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25" w:type="pct"/>
                  <w:vMerge w:val="continue"/>
                  <w:noWrap/>
                  <w:vAlign w:val="center"/>
                </w:tcPr>
                <w:p w14:paraId="0488BF3B">
                  <w:pPr>
                    <w:spacing w:before="48" w:beforeLines="20"/>
                    <w:jc w:val="center"/>
                    <w:rPr>
                      <w:rFonts w:hint="eastAsia"/>
                      <w:szCs w:val="21"/>
                    </w:rPr>
                  </w:pPr>
                </w:p>
              </w:tc>
              <w:tc>
                <w:tcPr>
                  <w:tcW w:w="533" w:type="pct"/>
                  <w:vMerge w:val="continue"/>
                  <w:noWrap/>
                  <w:vAlign w:val="center"/>
                </w:tcPr>
                <w:p w14:paraId="1379215E">
                  <w:pPr>
                    <w:spacing w:before="48" w:beforeLines="20"/>
                    <w:jc w:val="center"/>
                    <w:rPr>
                      <w:rFonts w:hint="eastAsia"/>
                      <w:szCs w:val="21"/>
                    </w:rPr>
                  </w:pPr>
                </w:p>
              </w:tc>
              <w:tc>
                <w:tcPr>
                  <w:tcW w:w="1195" w:type="pct"/>
                  <w:noWrap/>
                  <w:vAlign w:val="center"/>
                </w:tcPr>
                <w:p w14:paraId="2A558C03">
                  <w:pPr>
                    <w:spacing w:before="48" w:beforeLines="20"/>
                    <w:jc w:val="center"/>
                    <w:rPr>
                      <w:rFonts w:hint="eastAsia"/>
                      <w:color w:val="auto"/>
                      <w:szCs w:val="21"/>
                      <w:highlight w:val="none"/>
                      <w:lang w:val="en-US" w:eastAsia="zh-CN"/>
                    </w:rPr>
                  </w:pPr>
                  <w:r>
                    <w:rPr>
                      <w:color w:val="auto"/>
                      <w:szCs w:val="21"/>
                      <w:highlight w:val="none"/>
                    </w:rPr>
                    <w:t>物料混合搅拌</w:t>
                  </w:r>
                  <w:r>
                    <w:rPr>
                      <w:rFonts w:hint="eastAsia"/>
                      <w:color w:val="auto"/>
                      <w:szCs w:val="21"/>
                      <w:highlight w:val="none"/>
                      <w:lang w:val="en-US" w:eastAsia="zh-CN"/>
                    </w:rPr>
                    <w:t>设备密闭，无粉尘外溢；</w:t>
                  </w:r>
                </w:p>
                <w:p w14:paraId="75A478CA">
                  <w:pPr>
                    <w:spacing w:before="48" w:beforeLines="20"/>
                    <w:jc w:val="center"/>
                    <w:rPr>
                      <w:rFonts w:hint="eastAsia"/>
                      <w:szCs w:val="21"/>
                      <w:highlight w:val="none"/>
                    </w:rPr>
                  </w:pPr>
                  <w:r>
                    <w:rPr>
                      <w:color w:val="auto"/>
                      <w:szCs w:val="21"/>
                      <w:highlight w:val="none"/>
                    </w:rPr>
                    <w:t>不合格品破碎</w:t>
                  </w:r>
                  <w:r>
                    <w:rPr>
                      <w:rFonts w:hint="eastAsia"/>
                      <w:color w:val="auto"/>
                      <w:szCs w:val="21"/>
                      <w:highlight w:val="none"/>
                      <w:lang w:eastAsia="zh-CN"/>
                    </w:rPr>
                    <w:t>废气、</w:t>
                  </w:r>
                  <w:r>
                    <w:rPr>
                      <w:rFonts w:hint="eastAsia"/>
                      <w:color w:val="auto"/>
                      <w:szCs w:val="21"/>
                      <w:highlight w:val="none"/>
                      <w:lang w:val="en-US" w:eastAsia="zh-CN"/>
                    </w:rPr>
                    <w:t>投料废气</w:t>
                  </w:r>
                  <w:r>
                    <w:rPr>
                      <w:rFonts w:hint="eastAsia"/>
                      <w:color w:val="auto"/>
                      <w:szCs w:val="21"/>
                      <w:highlight w:val="none"/>
                    </w:rPr>
                    <w:t>：</w:t>
                  </w:r>
                  <w:r>
                    <w:rPr>
                      <w:color w:val="auto"/>
                      <w:szCs w:val="21"/>
                      <w:highlight w:val="none"/>
                    </w:rPr>
                    <w:t>集气罩</w:t>
                  </w:r>
                  <w:r>
                    <w:rPr>
                      <w:rFonts w:hint="eastAsia"/>
                      <w:color w:val="auto"/>
                      <w:szCs w:val="21"/>
                      <w:highlight w:val="none"/>
                      <w:lang w:val="en-US" w:eastAsia="zh-CN"/>
                    </w:rPr>
                    <w:t>+</w:t>
                  </w:r>
                  <w:r>
                    <w:rPr>
                      <w:rFonts w:hint="eastAsia"/>
                      <w:color w:val="auto"/>
                      <w:szCs w:val="21"/>
                      <w:highlight w:val="none"/>
                      <w:lang w:eastAsia="zh-CN"/>
                    </w:rPr>
                    <w:t>脉冲</w:t>
                  </w:r>
                  <w:r>
                    <w:rPr>
                      <w:color w:val="auto"/>
                      <w:szCs w:val="21"/>
                      <w:highlight w:val="none"/>
                    </w:rPr>
                    <w:t>除尘器</w:t>
                  </w:r>
                  <w:r>
                    <w:rPr>
                      <w:rFonts w:hint="eastAsia"/>
                      <w:color w:val="auto"/>
                      <w:szCs w:val="21"/>
                      <w:highlight w:val="none"/>
                      <w:lang w:val="en-US" w:eastAsia="zh-CN"/>
                    </w:rPr>
                    <w:t>+</w:t>
                  </w:r>
                  <w:r>
                    <w:rPr>
                      <w:color w:val="auto"/>
                      <w:szCs w:val="21"/>
                      <w:highlight w:val="none"/>
                    </w:rPr>
                    <w:t>15m高排气筒（DA00</w:t>
                  </w:r>
                  <w:r>
                    <w:rPr>
                      <w:rFonts w:hint="eastAsia"/>
                      <w:color w:val="auto"/>
                      <w:szCs w:val="21"/>
                      <w:highlight w:val="none"/>
                      <w:lang w:val="en-US" w:eastAsia="zh-CN"/>
                    </w:rPr>
                    <w:t>3</w:t>
                  </w:r>
                  <w:r>
                    <w:rPr>
                      <w:color w:val="auto"/>
                      <w:szCs w:val="21"/>
                      <w:highlight w:val="none"/>
                    </w:rPr>
                    <w:t>）。</w:t>
                  </w:r>
                </w:p>
              </w:tc>
              <w:tc>
                <w:tcPr>
                  <w:tcW w:w="1214" w:type="pct"/>
                  <w:noWrap/>
                  <w:vAlign w:val="center"/>
                </w:tcPr>
                <w:p w14:paraId="0E36441B">
                  <w:pPr>
                    <w:spacing w:before="48" w:beforeLines="20"/>
                    <w:jc w:val="center"/>
                    <w:rPr>
                      <w:rFonts w:hint="eastAsia"/>
                      <w:szCs w:val="21"/>
                      <w:highlight w:val="none"/>
                    </w:rPr>
                  </w:pPr>
                  <w:r>
                    <w:rPr>
                      <w:szCs w:val="21"/>
                      <w:highlight w:val="none"/>
                    </w:rPr>
                    <w:t>物料混合搅拌和下料废气、破碎松散废气</w:t>
                  </w:r>
                  <w:r>
                    <w:rPr>
                      <w:rFonts w:hint="eastAsia"/>
                      <w:szCs w:val="21"/>
                      <w:highlight w:val="none"/>
                      <w:lang w:eastAsia="zh-CN"/>
                    </w:rPr>
                    <w:t>：</w:t>
                  </w:r>
                  <w:r>
                    <w:rPr>
                      <w:rFonts w:hint="eastAsia"/>
                      <w:color w:val="auto"/>
                      <w:szCs w:val="21"/>
                      <w:highlight w:val="none"/>
                      <w:lang w:val="en-US" w:eastAsia="zh-CN"/>
                    </w:rPr>
                    <w:t>引风机+</w:t>
                  </w:r>
                  <w:r>
                    <w:rPr>
                      <w:szCs w:val="21"/>
                      <w:highlight w:val="none"/>
                    </w:rPr>
                    <w:t>脉冲除尘器</w:t>
                  </w:r>
                  <w:r>
                    <w:rPr>
                      <w:rFonts w:hint="eastAsia"/>
                      <w:szCs w:val="21"/>
                      <w:highlight w:val="none"/>
                      <w:lang w:val="en-US" w:eastAsia="zh-CN"/>
                    </w:rPr>
                    <w:t>+</w:t>
                  </w:r>
                  <w:r>
                    <w:rPr>
                      <w:szCs w:val="21"/>
                      <w:highlight w:val="none"/>
                    </w:rPr>
                    <w:t>1</w:t>
                  </w:r>
                  <w:r>
                    <w:rPr>
                      <w:rFonts w:hint="eastAsia"/>
                      <w:szCs w:val="21"/>
                      <w:highlight w:val="none"/>
                    </w:rPr>
                    <w:t>5</w:t>
                  </w:r>
                  <w:r>
                    <w:rPr>
                      <w:szCs w:val="21"/>
                      <w:highlight w:val="none"/>
                    </w:rPr>
                    <w:t>m高排气筒（DA00</w:t>
                  </w:r>
                  <w:r>
                    <w:rPr>
                      <w:rFonts w:hint="eastAsia"/>
                      <w:szCs w:val="21"/>
                      <w:highlight w:val="none"/>
                      <w:lang w:val="en-US" w:eastAsia="zh-CN"/>
                    </w:rPr>
                    <w:t>3</w:t>
                  </w:r>
                  <w:r>
                    <w:rPr>
                      <w:szCs w:val="21"/>
                      <w:highlight w:val="none"/>
                    </w:rPr>
                    <w:t>）</w:t>
                  </w:r>
                </w:p>
              </w:tc>
              <w:tc>
                <w:tcPr>
                  <w:tcW w:w="1057" w:type="pct"/>
                  <w:shd w:val="clear" w:color="auto" w:fill="auto"/>
                  <w:noWrap/>
                  <w:vAlign w:val="center"/>
                </w:tcPr>
                <w:p w14:paraId="139F236F">
                  <w:pPr>
                    <w:spacing w:before="48" w:beforeLines="20"/>
                    <w:jc w:val="center"/>
                    <w:rPr>
                      <w:rFonts w:hint="eastAsia" w:ascii="Times New Roman" w:hAnsi="Times New Roman" w:eastAsia="宋体" w:cs="Times New Roman"/>
                      <w:kern w:val="2"/>
                      <w:sz w:val="21"/>
                      <w:szCs w:val="21"/>
                      <w:highlight w:val="none"/>
                      <w:lang w:val="en-US" w:eastAsia="zh-CN" w:bidi="ar-SA"/>
                    </w:rPr>
                  </w:pPr>
                  <w:r>
                    <w:rPr>
                      <w:szCs w:val="21"/>
                      <w:highlight w:val="none"/>
                    </w:rPr>
                    <w:t>物料混合搅拌和下料废气、破碎松散废气</w:t>
                  </w:r>
                  <w:r>
                    <w:rPr>
                      <w:rFonts w:hint="eastAsia"/>
                      <w:szCs w:val="21"/>
                      <w:highlight w:val="none"/>
                      <w:lang w:eastAsia="zh-CN"/>
                    </w:rPr>
                    <w:t>：</w:t>
                  </w:r>
                  <w:r>
                    <w:rPr>
                      <w:rFonts w:hint="eastAsia"/>
                      <w:color w:val="auto"/>
                      <w:szCs w:val="21"/>
                      <w:highlight w:val="none"/>
                      <w:lang w:val="en-US" w:eastAsia="zh-CN"/>
                    </w:rPr>
                    <w:t>依托</w:t>
                  </w:r>
                  <w:r>
                    <w:rPr>
                      <w:color w:val="auto"/>
                      <w:szCs w:val="21"/>
                      <w:highlight w:val="none"/>
                    </w:rPr>
                    <w:t>集气罩</w:t>
                  </w:r>
                  <w:r>
                    <w:rPr>
                      <w:rFonts w:hint="eastAsia"/>
                      <w:color w:val="auto"/>
                      <w:szCs w:val="21"/>
                      <w:highlight w:val="none"/>
                      <w:lang w:val="en-US" w:eastAsia="zh-CN"/>
                    </w:rPr>
                    <w:t>+</w:t>
                  </w:r>
                  <w:r>
                    <w:rPr>
                      <w:rFonts w:hint="eastAsia"/>
                      <w:color w:val="auto"/>
                      <w:szCs w:val="21"/>
                      <w:highlight w:val="none"/>
                      <w:lang w:eastAsia="zh-CN"/>
                    </w:rPr>
                    <w:t>脉冲</w:t>
                  </w:r>
                  <w:r>
                    <w:rPr>
                      <w:color w:val="auto"/>
                      <w:szCs w:val="21"/>
                      <w:highlight w:val="none"/>
                    </w:rPr>
                    <w:t>除尘器</w:t>
                  </w:r>
                  <w:r>
                    <w:rPr>
                      <w:rFonts w:hint="eastAsia"/>
                      <w:color w:val="auto"/>
                      <w:szCs w:val="21"/>
                      <w:highlight w:val="none"/>
                      <w:lang w:val="en-US" w:eastAsia="zh-CN"/>
                    </w:rPr>
                    <w:t>+</w:t>
                  </w:r>
                  <w:r>
                    <w:rPr>
                      <w:color w:val="auto"/>
                      <w:szCs w:val="21"/>
                      <w:highlight w:val="none"/>
                    </w:rPr>
                    <w:t>15m高排气筒（DA00</w:t>
                  </w:r>
                  <w:r>
                    <w:rPr>
                      <w:rFonts w:hint="eastAsia"/>
                      <w:color w:val="auto"/>
                      <w:szCs w:val="21"/>
                      <w:highlight w:val="none"/>
                      <w:lang w:val="en-US" w:eastAsia="zh-CN"/>
                    </w:rPr>
                    <w:t>3</w:t>
                  </w:r>
                  <w:r>
                    <w:rPr>
                      <w:color w:val="auto"/>
                      <w:szCs w:val="21"/>
                      <w:highlight w:val="none"/>
                    </w:rPr>
                    <w:t>）</w:t>
                  </w:r>
                </w:p>
              </w:tc>
              <w:tc>
                <w:tcPr>
                  <w:tcW w:w="673" w:type="pct"/>
                  <w:vMerge w:val="continue"/>
                  <w:noWrap/>
                  <w:vAlign w:val="center"/>
                </w:tcPr>
                <w:p w14:paraId="165F79B5">
                  <w:pPr>
                    <w:spacing w:before="48" w:beforeLines="20"/>
                    <w:jc w:val="center"/>
                    <w:rPr>
                      <w:rFonts w:hint="eastAsia"/>
                      <w:szCs w:val="21"/>
                    </w:rPr>
                  </w:pPr>
                </w:p>
              </w:tc>
            </w:tr>
            <w:tr w14:paraId="7E58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25" w:type="pct"/>
                  <w:vMerge w:val="continue"/>
                  <w:noWrap/>
                  <w:vAlign w:val="center"/>
                </w:tcPr>
                <w:p w14:paraId="1DA1A991">
                  <w:pPr>
                    <w:spacing w:before="48" w:beforeLines="20"/>
                    <w:jc w:val="center"/>
                    <w:rPr>
                      <w:rFonts w:hint="eastAsia"/>
                      <w:szCs w:val="21"/>
                    </w:rPr>
                  </w:pPr>
                </w:p>
              </w:tc>
              <w:tc>
                <w:tcPr>
                  <w:tcW w:w="533" w:type="pct"/>
                  <w:vMerge w:val="continue"/>
                  <w:noWrap/>
                  <w:vAlign w:val="center"/>
                </w:tcPr>
                <w:p w14:paraId="43CC31C0">
                  <w:pPr>
                    <w:spacing w:before="48" w:beforeLines="20"/>
                    <w:jc w:val="center"/>
                    <w:rPr>
                      <w:rFonts w:hint="eastAsia"/>
                      <w:szCs w:val="21"/>
                    </w:rPr>
                  </w:pPr>
                </w:p>
              </w:tc>
              <w:tc>
                <w:tcPr>
                  <w:tcW w:w="1195" w:type="pct"/>
                  <w:noWrap/>
                  <w:vAlign w:val="center"/>
                </w:tcPr>
                <w:p w14:paraId="6BF3E751">
                  <w:pPr>
                    <w:spacing w:before="48" w:beforeLines="20"/>
                    <w:jc w:val="center"/>
                    <w:rPr>
                      <w:rFonts w:hint="eastAsia"/>
                      <w:szCs w:val="21"/>
                    </w:rPr>
                  </w:pPr>
                  <w:r>
                    <w:rPr>
                      <w:rFonts w:hint="eastAsia"/>
                      <w:color w:val="000000" w:themeColor="text1"/>
                      <w:szCs w:val="21"/>
                      <w:lang w:eastAsia="zh-CN"/>
                      <w14:textFill>
                        <w14:solidFill>
                          <w14:schemeClr w14:val="tx1"/>
                        </w14:solidFill>
                      </w14:textFill>
                    </w:rPr>
                    <w:t>污泥贮存废气</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喷洒除臭剂处理。</w:t>
                  </w:r>
                </w:p>
              </w:tc>
              <w:tc>
                <w:tcPr>
                  <w:tcW w:w="1214" w:type="pct"/>
                  <w:shd w:val="clear" w:color="auto" w:fill="auto"/>
                  <w:noWrap/>
                  <w:vAlign w:val="center"/>
                </w:tcPr>
                <w:p w14:paraId="53424EEB">
                  <w:pPr>
                    <w:spacing w:before="48" w:beforeLines="20"/>
                    <w:jc w:val="center"/>
                    <w:rPr>
                      <w:rFonts w:hint="eastAsia" w:ascii="Times New Roman" w:hAnsi="Times New Roman" w:eastAsia="宋体" w:cs="Times New Roman"/>
                      <w:kern w:val="2"/>
                      <w:sz w:val="21"/>
                      <w:szCs w:val="21"/>
                      <w:lang w:val="en-US" w:eastAsia="zh-CN" w:bidi="ar-SA"/>
                    </w:rPr>
                  </w:pPr>
                  <w:r>
                    <w:rPr>
                      <w:rFonts w:hint="eastAsia"/>
                      <w:color w:val="000000" w:themeColor="text1"/>
                      <w:szCs w:val="21"/>
                      <w:lang w:eastAsia="zh-CN"/>
                      <w14:textFill>
                        <w14:solidFill>
                          <w14:schemeClr w14:val="tx1"/>
                        </w14:solidFill>
                      </w14:textFill>
                    </w:rPr>
                    <w:t>污泥贮存废气</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喷洒除臭剂处理。</w:t>
                  </w:r>
                </w:p>
              </w:tc>
              <w:tc>
                <w:tcPr>
                  <w:tcW w:w="1057" w:type="pct"/>
                  <w:shd w:val="clear" w:color="auto" w:fill="auto"/>
                  <w:noWrap/>
                  <w:vAlign w:val="center"/>
                </w:tcPr>
                <w:p w14:paraId="3F794A5D">
                  <w:pPr>
                    <w:spacing w:before="48" w:beforeLines="20"/>
                    <w:jc w:val="center"/>
                    <w:rPr>
                      <w:rFonts w:hint="eastAsia" w:ascii="Times New Roman" w:hAnsi="Times New Roman" w:eastAsia="宋体" w:cs="Times New Roman"/>
                      <w:kern w:val="2"/>
                      <w:sz w:val="21"/>
                      <w:szCs w:val="21"/>
                      <w:lang w:val="en-US" w:eastAsia="zh-CN" w:bidi="ar-SA"/>
                    </w:rPr>
                  </w:pPr>
                  <w:r>
                    <w:rPr>
                      <w:rFonts w:hint="eastAsia"/>
                      <w:color w:val="000000" w:themeColor="text1"/>
                      <w:szCs w:val="21"/>
                      <w:lang w:eastAsia="zh-CN"/>
                      <w14:textFill>
                        <w14:solidFill>
                          <w14:schemeClr w14:val="tx1"/>
                        </w14:solidFill>
                      </w14:textFill>
                    </w:rPr>
                    <w:t>污泥贮存废气</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喷洒除臭剂处理。</w:t>
                  </w:r>
                </w:p>
              </w:tc>
              <w:tc>
                <w:tcPr>
                  <w:tcW w:w="673" w:type="pct"/>
                  <w:vMerge w:val="continue"/>
                  <w:noWrap/>
                  <w:vAlign w:val="center"/>
                </w:tcPr>
                <w:p w14:paraId="72DAB174">
                  <w:pPr>
                    <w:spacing w:before="48" w:beforeLines="20"/>
                    <w:jc w:val="center"/>
                    <w:rPr>
                      <w:rFonts w:hint="eastAsia"/>
                      <w:szCs w:val="21"/>
                    </w:rPr>
                  </w:pPr>
                </w:p>
              </w:tc>
            </w:tr>
            <w:tr w14:paraId="56B5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25" w:type="pct"/>
                  <w:vMerge w:val="continue"/>
                  <w:noWrap/>
                  <w:vAlign w:val="center"/>
                </w:tcPr>
                <w:p w14:paraId="26E333F7">
                  <w:pPr>
                    <w:spacing w:before="48" w:beforeLines="20"/>
                    <w:jc w:val="center"/>
                    <w:rPr>
                      <w:rFonts w:hint="eastAsia"/>
                      <w:szCs w:val="21"/>
                    </w:rPr>
                  </w:pPr>
                </w:p>
              </w:tc>
              <w:tc>
                <w:tcPr>
                  <w:tcW w:w="533" w:type="pct"/>
                  <w:vMerge w:val="continue"/>
                  <w:noWrap/>
                  <w:vAlign w:val="center"/>
                </w:tcPr>
                <w:p w14:paraId="48EC6CA2">
                  <w:pPr>
                    <w:spacing w:before="48" w:beforeLines="20"/>
                    <w:jc w:val="center"/>
                    <w:rPr>
                      <w:rFonts w:hint="eastAsia"/>
                      <w:szCs w:val="21"/>
                    </w:rPr>
                  </w:pPr>
                </w:p>
              </w:tc>
              <w:tc>
                <w:tcPr>
                  <w:tcW w:w="1195" w:type="pct"/>
                  <w:noWrap/>
                  <w:vAlign w:val="center"/>
                </w:tcPr>
                <w:p w14:paraId="786AFFEB">
                  <w:pPr>
                    <w:spacing w:before="48" w:beforeLines="20"/>
                    <w:jc w:val="center"/>
                    <w:rPr>
                      <w:rFonts w:hint="eastAsia"/>
                      <w:szCs w:val="21"/>
                    </w:rPr>
                  </w:pPr>
                  <w:r>
                    <w:rPr>
                      <w:rFonts w:hint="eastAsia"/>
                      <w:color w:val="auto"/>
                      <w:szCs w:val="21"/>
                      <w:lang w:eastAsia="zh-CN"/>
                    </w:rPr>
                    <w:t>卸料起尘</w:t>
                  </w:r>
                  <w:r>
                    <w:rPr>
                      <w:rFonts w:hint="eastAsia"/>
                      <w:color w:val="auto"/>
                      <w:szCs w:val="21"/>
                    </w:rPr>
                    <w:t>：</w:t>
                  </w:r>
                  <w:r>
                    <w:rPr>
                      <w:rFonts w:hint="eastAsia"/>
                      <w:color w:val="auto"/>
                      <w:szCs w:val="21"/>
                      <w:lang w:eastAsia="zh-CN"/>
                    </w:rPr>
                    <w:t>降低卸料高度，开启雾炮洒水降尘。</w:t>
                  </w:r>
                </w:p>
              </w:tc>
              <w:tc>
                <w:tcPr>
                  <w:tcW w:w="1214" w:type="pct"/>
                  <w:shd w:val="clear" w:color="auto" w:fill="auto"/>
                  <w:noWrap/>
                  <w:vAlign w:val="center"/>
                </w:tcPr>
                <w:p w14:paraId="1BFE2695">
                  <w:pPr>
                    <w:spacing w:before="48" w:beforeLines="20"/>
                    <w:jc w:val="center"/>
                    <w:rPr>
                      <w:rFonts w:hint="eastAsia" w:ascii="Times New Roman" w:hAnsi="Times New Roman" w:eastAsia="宋体" w:cs="Times New Roman"/>
                      <w:kern w:val="2"/>
                      <w:sz w:val="21"/>
                      <w:szCs w:val="21"/>
                      <w:lang w:val="en-US" w:eastAsia="zh-CN" w:bidi="ar-SA"/>
                    </w:rPr>
                  </w:pPr>
                  <w:r>
                    <w:rPr>
                      <w:rFonts w:hint="eastAsia"/>
                      <w:color w:val="auto"/>
                      <w:szCs w:val="21"/>
                      <w:lang w:eastAsia="zh-CN"/>
                    </w:rPr>
                    <w:t>卸料起尘</w:t>
                  </w:r>
                  <w:r>
                    <w:rPr>
                      <w:rFonts w:hint="eastAsia"/>
                      <w:color w:val="auto"/>
                      <w:szCs w:val="21"/>
                    </w:rPr>
                    <w:t>：</w:t>
                  </w:r>
                  <w:r>
                    <w:rPr>
                      <w:rFonts w:hint="eastAsia"/>
                      <w:color w:val="auto"/>
                      <w:szCs w:val="21"/>
                      <w:lang w:eastAsia="zh-CN"/>
                    </w:rPr>
                    <w:t>降低卸料高度，开启雾炮洒水降尘。</w:t>
                  </w:r>
                </w:p>
              </w:tc>
              <w:tc>
                <w:tcPr>
                  <w:tcW w:w="1057" w:type="pct"/>
                  <w:shd w:val="clear" w:color="auto" w:fill="auto"/>
                  <w:noWrap/>
                  <w:vAlign w:val="center"/>
                </w:tcPr>
                <w:p w14:paraId="2077661C">
                  <w:pPr>
                    <w:spacing w:before="48" w:beforeLines="20"/>
                    <w:jc w:val="center"/>
                    <w:rPr>
                      <w:rFonts w:hint="eastAsia" w:ascii="Times New Roman" w:hAnsi="Times New Roman" w:eastAsia="宋体" w:cs="Times New Roman"/>
                      <w:kern w:val="2"/>
                      <w:sz w:val="21"/>
                      <w:szCs w:val="21"/>
                      <w:lang w:val="en-US" w:eastAsia="zh-CN" w:bidi="ar-SA"/>
                    </w:rPr>
                  </w:pPr>
                  <w:r>
                    <w:rPr>
                      <w:rFonts w:hint="eastAsia"/>
                      <w:color w:val="auto"/>
                      <w:szCs w:val="21"/>
                      <w:lang w:eastAsia="zh-CN"/>
                    </w:rPr>
                    <w:t>卸料起尘</w:t>
                  </w:r>
                  <w:r>
                    <w:rPr>
                      <w:rFonts w:hint="eastAsia"/>
                      <w:color w:val="auto"/>
                      <w:szCs w:val="21"/>
                    </w:rPr>
                    <w:t>：</w:t>
                  </w:r>
                  <w:r>
                    <w:rPr>
                      <w:rFonts w:hint="eastAsia"/>
                      <w:color w:val="auto"/>
                      <w:szCs w:val="21"/>
                      <w:lang w:eastAsia="zh-CN"/>
                    </w:rPr>
                    <w:t>降低卸料高度，开启雾炮洒水降尘。</w:t>
                  </w:r>
                </w:p>
              </w:tc>
              <w:tc>
                <w:tcPr>
                  <w:tcW w:w="673" w:type="pct"/>
                  <w:vMerge w:val="continue"/>
                  <w:noWrap/>
                  <w:vAlign w:val="center"/>
                </w:tcPr>
                <w:p w14:paraId="6B92D10A">
                  <w:pPr>
                    <w:spacing w:before="48" w:beforeLines="20"/>
                    <w:jc w:val="center"/>
                    <w:rPr>
                      <w:rFonts w:hint="eastAsia"/>
                      <w:szCs w:val="21"/>
                    </w:rPr>
                  </w:pPr>
                </w:p>
              </w:tc>
            </w:tr>
            <w:tr w14:paraId="166B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25" w:type="pct"/>
                  <w:vMerge w:val="continue"/>
                  <w:noWrap/>
                  <w:vAlign w:val="center"/>
                </w:tcPr>
                <w:p w14:paraId="7D2B3D54">
                  <w:pPr>
                    <w:spacing w:before="48" w:beforeLines="20"/>
                    <w:jc w:val="center"/>
                    <w:rPr>
                      <w:rFonts w:hint="eastAsia"/>
                      <w:szCs w:val="21"/>
                    </w:rPr>
                  </w:pPr>
                </w:p>
              </w:tc>
              <w:tc>
                <w:tcPr>
                  <w:tcW w:w="533" w:type="pct"/>
                  <w:vMerge w:val="continue"/>
                  <w:noWrap/>
                  <w:vAlign w:val="center"/>
                </w:tcPr>
                <w:p w14:paraId="4085BB23">
                  <w:pPr>
                    <w:spacing w:before="48" w:beforeLines="20"/>
                    <w:jc w:val="center"/>
                    <w:rPr>
                      <w:rFonts w:hint="eastAsia"/>
                      <w:szCs w:val="21"/>
                    </w:rPr>
                  </w:pPr>
                </w:p>
              </w:tc>
              <w:tc>
                <w:tcPr>
                  <w:tcW w:w="1195" w:type="pct"/>
                  <w:noWrap/>
                  <w:vAlign w:val="center"/>
                </w:tcPr>
                <w:p w14:paraId="532C56D7">
                  <w:pPr>
                    <w:spacing w:before="48" w:beforeLines="20"/>
                    <w:jc w:val="center"/>
                    <w:rPr>
                      <w:rFonts w:hint="eastAsia"/>
                      <w:szCs w:val="21"/>
                    </w:rPr>
                  </w:pPr>
                  <w:r>
                    <w:rPr>
                      <w:color w:val="auto"/>
                      <w:szCs w:val="21"/>
                    </w:rPr>
                    <w:t>运输</w:t>
                  </w:r>
                  <w:r>
                    <w:rPr>
                      <w:rFonts w:hint="eastAsia"/>
                      <w:color w:val="auto"/>
                      <w:szCs w:val="21"/>
                      <w:lang w:eastAsia="zh-CN"/>
                    </w:rPr>
                    <w:t>扬尘</w:t>
                  </w:r>
                  <w:r>
                    <w:rPr>
                      <w:rFonts w:hint="eastAsia"/>
                      <w:color w:val="auto"/>
                      <w:szCs w:val="21"/>
                    </w:rPr>
                    <w:t>：采取运输车辆篷布覆盖，运输过程限速按规定线路行驶</w:t>
                  </w:r>
                  <w:r>
                    <w:rPr>
                      <w:rFonts w:hint="eastAsia"/>
                      <w:color w:val="auto"/>
                      <w:szCs w:val="21"/>
                      <w:lang w:eastAsia="zh-CN"/>
                    </w:rPr>
                    <w:t>。</w:t>
                  </w:r>
                </w:p>
              </w:tc>
              <w:tc>
                <w:tcPr>
                  <w:tcW w:w="1214" w:type="pct"/>
                  <w:shd w:val="clear" w:color="auto" w:fill="auto"/>
                  <w:noWrap/>
                  <w:vAlign w:val="center"/>
                </w:tcPr>
                <w:p w14:paraId="01DC5028">
                  <w:pPr>
                    <w:spacing w:before="48" w:beforeLines="20"/>
                    <w:jc w:val="center"/>
                    <w:rPr>
                      <w:rFonts w:hint="eastAsia" w:ascii="Times New Roman" w:hAnsi="Times New Roman" w:eastAsia="宋体" w:cs="Times New Roman"/>
                      <w:kern w:val="2"/>
                      <w:sz w:val="21"/>
                      <w:szCs w:val="21"/>
                      <w:lang w:val="en-US" w:eastAsia="zh-CN" w:bidi="ar-SA"/>
                    </w:rPr>
                  </w:pPr>
                  <w:r>
                    <w:rPr>
                      <w:color w:val="auto"/>
                      <w:szCs w:val="21"/>
                    </w:rPr>
                    <w:t>运输</w:t>
                  </w:r>
                  <w:r>
                    <w:rPr>
                      <w:rFonts w:hint="eastAsia"/>
                      <w:color w:val="auto"/>
                      <w:szCs w:val="21"/>
                      <w:lang w:eastAsia="zh-CN"/>
                    </w:rPr>
                    <w:t>扬尘</w:t>
                  </w:r>
                  <w:r>
                    <w:rPr>
                      <w:rFonts w:hint="eastAsia"/>
                      <w:color w:val="auto"/>
                      <w:szCs w:val="21"/>
                    </w:rPr>
                    <w:t>：采取运输车辆篷布覆盖，运输过程限速按规定线路行驶</w:t>
                  </w:r>
                  <w:r>
                    <w:rPr>
                      <w:rFonts w:hint="eastAsia"/>
                      <w:color w:val="auto"/>
                      <w:szCs w:val="21"/>
                      <w:lang w:eastAsia="zh-CN"/>
                    </w:rPr>
                    <w:t>。</w:t>
                  </w:r>
                </w:p>
              </w:tc>
              <w:tc>
                <w:tcPr>
                  <w:tcW w:w="1057" w:type="pct"/>
                  <w:shd w:val="clear" w:color="auto" w:fill="auto"/>
                  <w:noWrap/>
                  <w:vAlign w:val="center"/>
                </w:tcPr>
                <w:p w14:paraId="7CB7B65F">
                  <w:pPr>
                    <w:spacing w:before="48" w:beforeLines="20"/>
                    <w:jc w:val="center"/>
                    <w:rPr>
                      <w:rFonts w:hint="eastAsia" w:ascii="Times New Roman" w:hAnsi="Times New Roman" w:eastAsia="宋体" w:cs="Times New Roman"/>
                      <w:kern w:val="2"/>
                      <w:sz w:val="21"/>
                      <w:szCs w:val="21"/>
                      <w:lang w:val="en-US" w:eastAsia="zh-CN" w:bidi="ar-SA"/>
                    </w:rPr>
                  </w:pPr>
                  <w:r>
                    <w:rPr>
                      <w:color w:val="auto"/>
                      <w:szCs w:val="21"/>
                    </w:rPr>
                    <w:t>运输</w:t>
                  </w:r>
                  <w:r>
                    <w:rPr>
                      <w:rFonts w:hint="eastAsia"/>
                      <w:color w:val="auto"/>
                      <w:szCs w:val="21"/>
                      <w:lang w:eastAsia="zh-CN"/>
                    </w:rPr>
                    <w:t>扬尘</w:t>
                  </w:r>
                  <w:r>
                    <w:rPr>
                      <w:rFonts w:hint="eastAsia"/>
                      <w:color w:val="auto"/>
                      <w:szCs w:val="21"/>
                    </w:rPr>
                    <w:t>：采取运输车辆篷布覆盖，运输过程限速按规定线路行驶</w:t>
                  </w:r>
                  <w:r>
                    <w:rPr>
                      <w:rFonts w:hint="eastAsia"/>
                      <w:color w:val="auto"/>
                      <w:szCs w:val="21"/>
                      <w:lang w:eastAsia="zh-CN"/>
                    </w:rPr>
                    <w:t>。</w:t>
                  </w:r>
                </w:p>
              </w:tc>
              <w:tc>
                <w:tcPr>
                  <w:tcW w:w="673" w:type="pct"/>
                  <w:vMerge w:val="continue"/>
                  <w:noWrap/>
                  <w:vAlign w:val="center"/>
                </w:tcPr>
                <w:p w14:paraId="21BC5CE6">
                  <w:pPr>
                    <w:spacing w:before="48" w:beforeLines="20"/>
                    <w:jc w:val="center"/>
                    <w:rPr>
                      <w:rFonts w:hint="eastAsia"/>
                      <w:szCs w:val="21"/>
                    </w:rPr>
                  </w:pPr>
                </w:p>
              </w:tc>
            </w:tr>
            <w:tr w14:paraId="5037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1179B0C2">
                  <w:pPr>
                    <w:spacing w:before="48" w:beforeLines="20"/>
                    <w:jc w:val="center"/>
                    <w:rPr>
                      <w:color w:val="FF0000"/>
                      <w:szCs w:val="21"/>
                    </w:rPr>
                  </w:pPr>
                </w:p>
              </w:tc>
              <w:tc>
                <w:tcPr>
                  <w:tcW w:w="533" w:type="pct"/>
                  <w:noWrap/>
                  <w:vAlign w:val="center"/>
                </w:tcPr>
                <w:p w14:paraId="0C56FEBA">
                  <w:pPr>
                    <w:adjustRightInd w:val="0"/>
                    <w:snapToGrid w:val="0"/>
                    <w:jc w:val="center"/>
                    <w:rPr>
                      <w:szCs w:val="21"/>
                    </w:rPr>
                  </w:pPr>
                  <w:r>
                    <w:rPr>
                      <w:szCs w:val="21"/>
                    </w:rPr>
                    <w:t>噪声治理</w:t>
                  </w:r>
                </w:p>
              </w:tc>
              <w:tc>
                <w:tcPr>
                  <w:tcW w:w="1195" w:type="pct"/>
                  <w:noWrap/>
                  <w:vAlign w:val="center"/>
                </w:tcPr>
                <w:p w14:paraId="43269321">
                  <w:pPr>
                    <w:widowControl/>
                    <w:jc w:val="center"/>
                    <w:rPr>
                      <w:szCs w:val="21"/>
                    </w:rPr>
                  </w:pPr>
                  <w:r>
                    <w:rPr>
                      <w:szCs w:val="21"/>
                    </w:rPr>
                    <w:t>选用低噪声设备，采用厂房隔声、距离衰减等措施</w:t>
                  </w:r>
                  <w:r>
                    <w:rPr>
                      <w:rFonts w:hint="eastAsia"/>
                      <w:szCs w:val="21"/>
                      <w:lang w:eastAsia="zh-CN"/>
                    </w:rPr>
                    <w:t>。</w:t>
                  </w:r>
                </w:p>
              </w:tc>
              <w:tc>
                <w:tcPr>
                  <w:tcW w:w="1214" w:type="pct"/>
                  <w:noWrap/>
                  <w:vAlign w:val="center"/>
                </w:tcPr>
                <w:p w14:paraId="62F92AF1">
                  <w:pPr>
                    <w:spacing w:before="48" w:beforeLines="20"/>
                    <w:jc w:val="center"/>
                    <w:rPr>
                      <w:szCs w:val="21"/>
                    </w:rPr>
                  </w:pPr>
                  <w:r>
                    <w:rPr>
                      <w:szCs w:val="21"/>
                    </w:rPr>
                    <w:t>隔声、消声、减振、设备定期保养</w:t>
                  </w:r>
                  <w:r>
                    <w:rPr>
                      <w:rFonts w:hint="eastAsia"/>
                      <w:szCs w:val="21"/>
                    </w:rPr>
                    <w:t>、绿化</w:t>
                  </w:r>
                  <w:r>
                    <w:rPr>
                      <w:szCs w:val="21"/>
                    </w:rPr>
                    <w:t>等</w:t>
                  </w:r>
                </w:p>
              </w:tc>
              <w:tc>
                <w:tcPr>
                  <w:tcW w:w="1057" w:type="pct"/>
                  <w:noWrap/>
                  <w:vAlign w:val="center"/>
                </w:tcPr>
                <w:p w14:paraId="649A29F0">
                  <w:pPr>
                    <w:spacing w:before="48" w:beforeLines="20"/>
                    <w:jc w:val="center"/>
                    <w:rPr>
                      <w:szCs w:val="21"/>
                    </w:rPr>
                  </w:pPr>
                  <w:r>
                    <w:rPr>
                      <w:szCs w:val="21"/>
                    </w:rPr>
                    <w:t>隔声、消声、减振、设备定期保养</w:t>
                  </w:r>
                  <w:r>
                    <w:rPr>
                      <w:rFonts w:hint="eastAsia"/>
                      <w:szCs w:val="21"/>
                    </w:rPr>
                    <w:t>、绿化</w:t>
                  </w:r>
                  <w:r>
                    <w:rPr>
                      <w:szCs w:val="21"/>
                    </w:rPr>
                    <w:t>等</w:t>
                  </w:r>
                </w:p>
              </w:tc>
              <w:tc>
                <w:tcPr>
                  <w:tcW w:w="673" w:type="pct"/>
                  <w:noWrap/>
                  <w:vAlign w:val="center"/>
                </w:tcPr>
                <w:p w14:paraId="53A56BD1">
                  <w:pPr>
                    <w:spacing w:before="48" w:beforeLines="20"/>
                    <w:jc w:val="center"/>
                    <w:rPr>
                      <w:rFonts w:hint="eastAsia" w:eastAsia="宋体"/>
                      <w:szCs w:val="21"/>
                      <w:lang w:eastAsia="zh-CN"/>
                    </w:rPr>
                  </w:pPr>
                  <w:r>
                    <w:rPr>
                      <w:rFonts w:hint="eastAsia" w:eastAsia="宋体"/>
                      <w:szCs w:val="21"/>
                      <w:lang w:val="en-US" w:eastAsia="zh-CN"/>
                    </w:rPr>
                    <w:t>新增产噪设备</w:t>
                  </w:r>
                </w:p>
              </w:tc>
            </w:tr>
            <w:tr w14:paraId="671D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58171F0C">
                  <w:pPr>
                    <w:spacing w:before="48" w:beforeLines="20"/>
                    <w:jc w:val="center"/>
                    <w:rPr>
                      <w:color w:val="FF0000"/>
                      <w:szCs w:val="21"/>
                    </w:rPr>
                  </w:pPr>
                </w:p>
              </w:tc>
              <w:tc>
                <w:tcPr>
                  <w:tcW w:w="533" w:type="pct"/>
                  <w:vMerge w:val="restart"/>
                  <w:noWrap/>
                  <w:vAlign w:val="center"/>
                </w:tcPr>
                <w:p w14:paraId="29079C11">
                  <w:pPr>
                    <w:adjustRightInd w:val="0"/>
                    <w:snapToGrid w:val="0"/>
                    <w:jc w:val="center"/>
                    <w:rPr>
                      <w:szCs w:val="21"/>
                    </w:rPr>
                  </w:pPr>
                  <w:r>
                    <w:rPr>
                      <w:szCs w:val="21"/>
                    </w:rPr>
                    <w:t>固废治理</w:t>
                  </w:r>
                </w:p>
              </w:tc>
              <w:tc>
                <w:tcPr>
                  <w:tcW w:w="1195" w:type="pct"/>
                  <w:noWrap/>
                  <w:vAlign w:val="center"/>
                </w:tcPr>
                <w:p w14:paraId="5077D644">
                  <w:pPr>
                    <w:widowControl/>
                    <w:jc w:val="center"/>
                    <w:rPr>
                      <w:szCs w:val="21"/>
                    </w:rPr>
                  </w:pPr>
                  <w:r>
                    <w:rPr>
                      <w:rFonts w:hint="eastAsia"/>
                      <w:color w:val="000000" w:themeColor="text1"/>
                      <w:kern w:val="0"/>
                      <w:szCs w:val="21"/>
                      <w:lang w:eastAsia="zh-CN" w:bidi="ar"/>
                      <w14:textFill>
                        <w14:solidFill>
                          <w14:schemeClr w14:val="tx1"/>
                        </w14:solidFill>
                      </w14:textFill>
                    </w:rPr>
                    <w:t>一般固废暂存间：位于厂区西北侧，面积约</w:t>
                  </w:r>
                  <w:r>
                    <w:rPr>
                      <w:rFonts w:hint="eastAsia"/>
                      <w:color w:val="000000" w:themeColor="text1"/>
                      <w:kern w:val="0"/>
                      <w:szCs w:val="21"/>
                      <w:lang w:val="en-US" w:eastAsia="zh-CN" w:bidi="ar"/>
                      <w14:textFill>
                        <w14:solidFill>
                          <w14:schemeClr w14:val="tx1"/>
                        </w14:solidFill>
                      </w14:textFill>
                    </w:rPr>
                    <w:t>20m</w:t>
                  </w:r>
                  <w:r>
                    <w:rPr>
                      <w:rFonts w:hint="eastAsia"/>
                      <w:color w:val="000000" w:themeColor="text1"/>
                      <w:kern w:val="0"/>
                      <w:szCs w:val="21"/>
                      <w:vertAlign w:val="superscript"/>
                      <w:lang w:val="en-US" w:eastAsia="zh-CN" w:bidi="ar"/>
                      <w14:textFill>
                        <w14:solidFill>
                          <w14:schemeClr w14:val="tx1"/>
                        </w14:solidFill>
                      </w14:textFill>
                    </w:rPr>
                    <w:t>2</w:t>
                  </w:r>
                  <w:r>
                    <w:rPr>
                      <w:rFonts w:hint="eastAsia"/>
                      <w:color w:val="000000" w:themeColor="text1"/>
                      <w:kern w:val="0"/>
                      <w:szCs w:val="21"/>
                      <w:vertAlign w:val="baseline"/>
                      <w:lang w:val="en-US" w:eastAsia="zh-CN" w:bidi="ar"/>
                      <w14:textFill>
                        <w14:solidFill>
                          <w14:schemeClr w14:val="tx1"/>
                        </w14:solidFill>
                      </w14:textFill>
                    </w:rPr>
                    <w:t>。</w:t>
                  </w:r>
                </w:p>
              </w:tc>
              <w:tc>
                <w:tcPr>
                  <w:tcW w:w="1214" w:type="pct"/>
                  <w:noWrap/>
                  <w:vAlign w:val="center"/>
                </w:tcPr>
                <w:p w14:paraId="147E067A">
                  <w:pPr>
                    <w:widowControl/>
                    <w:jc w:val="center"/>
                    <w:rPr>
                      <w:szCs w:val="21"/>
                    </w:rPr>
                  </w:pPr>
                  <w:r>
                    <w:rPr>
                      <w:rFonts w:hint="eastAsia"/>
                      <w:color w:val="000000" w:themeColor="text1"/>
                      <w:kern w:val="0"/>
                      <w:szCs w:val="21"/>
                      <w:lang w:eastAsia="zh-CN" w:bidi="ar"/>
                      <w14:textFill>
                        <w14:solidFill>
                          <w14:schemeClr w14:val="tx1"/>
                        </w14:solidFill>
                      </w14:textFill>
                    </w:rPr>
                    <w:t>一般固废暂存间：位于厂区西北侧，面积约</w:t>
                  </w:r>
                  <w:r>
                    <w:rPr>
                      <w:rFonts w:hint="eastAsia"/>
                      <w:color w:val="000000" w:themeColor="text1"/>
                      <w:kern w:val="0"/>
                      <w:szCs w:val="21"/>
                      <w:lang w:val="en-US" w:eastAsia="zh-CN" w:bidi="ar"/>
                      <w14:textFill>
                        <w14:solidFill>
                          <w14:schemeClr w14:val="tx1"/>
                        </w14:solidFill>
                      </w14:textFill>
                    </w:rPr>
                    <w:t>20m</w:t>
                  </w:r>
                  <w:r>
                    <w:rPr>
                      <w:rFonts w:hint="eastAsia"/>
                      <w:color w:val="000000" w:themeColor="text1"/>
                      <w:kern w:val="0"/>
                      <w:szCs w:val="21"/>
                      <w:vertAlign w:val="superscript"/>
                      <w:lang w:val="en-US" w:eastAsia="zh-CN" w:bidi="ar"/>
                      <w14:textFill>
                        <w14:solidFill>
                          <w14:schemeClr w14:val="tx1"/>
                        </w14:solidFill>
                      </w14:textFill>
                    </w:rPr>
                    <w:t>2</w:t>
                  </w:r>
                  <w:r>
                    <w:rPr>
                      <w:rFonts w:hint="eastAsia"/>
                      <w:color w:val="000000" w:themeColor="text1"/>
                      <w:kern w:val="0"/>
                      <w:szCs w:val="21"/>
                      <w:vertAlign w:val="baseline"/>
                      <w:lang w:val="en-US" w:eastAsia="zh-CN" w:bidi="ar"/>
                      <w14:textFill>
                        <w14:solidFill>
                          <w14:schemeClr w14:val="tx1"/>
                        </w14:solidFill>
                      </w14:textFill>
                    </w:rPr>
                    <w:t>。</w:t>
                  </w:r>
                </w:p>
              </w:tc>
              <w:tc>
                <w:tcPr>
                  <w:tcW w:w="1057" w:type="pct"/>
                  <w:noWrap/>
                  <w:vAlign w:val="center"/>
                </w:tcPr>
                <w:p w14:paraId="59F62E87">
                  <w:pPr>
                    <w:widowControl/>
                    <w:jc w:val="center"/>
                    <w:rPr>
                      <w:szCs w:val="21"/>
                    </w:rPr>
                  </w:pPr>
                  <w:r>
                    <w:rPr>
                      <w:rFonts w:hint="eastAsia"/>
                      <w:color w:val="000000" w:themeColor="text1"/>
                      <w:kern w:val="0"/>
                      <w:szCs w:val="21"/>
                      <w:lang w:eastAsia="zh-CN" w:bidi="ar"/>
                      <w14:textFill>
                        <w14:solidFill>
                          <w14:schemeClr w14:val="tx1"/>
                        </w14:solidFill>
                      </w14:textFill>
                    </w:rPr>
                    <w:t>一般固废暂存间：位于厂区西北侧，面积约</w:t>
                  </w:r>
                  <w:r>
                    <w:rPr>
                      <w:rFonts w:hint="eastAsia"/>
                      <w:color w:val="000000" w:themeColor="text1"/>
                      <w:kern w:val="0"/>
                      <w:szCs w:val="21"/>
                      <w:lang w:val="en-US" w:eastAsia="zh-CN" w:bidi="ar"/>
                      <w14:textFill>
                        <w14:solidFill>
                          <w14:schemeClr w14:val="tx1"/>
                        </w14:solidFill>
                      </w14:textFill>
                    </w:rPr>
                    <w:t>20m</w:t>
                  </w:r>
                  <w:r>
                    <w:rPr>
                      <w:rFonts w:hint="eastAsia"/>
                      <w:color w:val="000000" w:themeColor="text1"/>
                      <w:kern w:val="0"/>
                      <w:szCs w:val="21"/>
                      <w:vertAlign w:val="superscript"/>
                      <w:lang w:val="en-US" w:eastAsia="zh-CN" w:bidi="ar"/>
                      <w14:textFill>
                        <w14:solidFill>
                          <w14:schemeClr w14:val="tx1"/>
                        </w14:solidFill>
                      </w14:textFill>
                    </w:rPr>
                    <w:t>2</w:t>
                  </w:r>
                  <w:r>
                    <w:rPr>
                      <w:rFonts w:hint="eastAsia"/>
                      <w:color w:val="000000" w:themeColor="text1"/>
                      <w:kern w:val="0"/>
                      <w:szCs w:val="21"/>
                      <w:vertAlign w:val="baseline"/>
                      <w:lang w:val="en-US" w:eastAsia="zh-CN" w:bidi="ar"/>
                      <w14:textFill>
                        <w14:solidFill>
                          <w14:schemeClr w14:val="tx1"/>
                        </w14:solidFill>
                      </w14:textFill>
                    </w:rPr>
                    <w:t>。</w:t>
                  </w:r>
                </w:p>
              </w:tc>
              <w:tc>
                <w:tcPr>
                  <w:tcW w:w="673" w:type="pct"/>
                  <w:vMerge w:val="restart"/>
                  <w:noWrap/>
                  <w:vAlign w:val="center"/>
                </w:tcPr>
                <w:p w14:paraId="701082B8">
                  <w:pPr>
                    <w:spacing w:before="48" w:beforeLines="20"/>
                    <w:jc w:val="center"/>
                  </w:pPr>
                  <w:r>
                    <w:rPr>
                      <w:rFonts w:hint="eastAsia"/>
                      <w:color w:val="auto"/>
                      <w:lang w:val="en-US" w:eastAsia="zh-CN"/>
                    </w:rPr>
                    <w:t>依托</w:t>
                  </w:r>
                </w:p>
              </w:tc>
            </w:tr>
            <w:tr w14:paraId="294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20880BDB">
                  <w:pPr>
                    <w:spacing w:before="48" w:beforeLines="20"/>
                    <w:jc w:val="center"/>
                    <w:rPr>
                      <w:color w:val="FF0000"/>
                      <w:szCs w:val="21"/>
                    </w:rPr>
                  </w:pPr>
                </w:p>
              </w:tc>
              <w:tc>
                <w:tcPr>
                  <w:tcW w:w="533" w:type="pct"/>
                  <w:vMerge w:val="continue"/>
                  <w:noWrap/>
                  <w:vAlign w:val="center"/>
                </w:tcPr>
                <w:p w14:paraId="239520A7">
                  <w:pPr>
                    <w:spacing w:before="48" w:beforeLines="20"/>
                    <w:jc w:val="center"/>
                    <w:rPr>
                      <w:szCs w:val="21"/>
                    </w:rPr>
                  </w:pPr>
                </w:p>
              </w:tc>
              <w:tc>
                <w:tcPr>
                  <w:tcW w:w="1195" w:type="pct"/>
                  <w:noWrap/>
                  <w:vAlign w:val="center"/>
                </w:tcPr>
                <w:p w14:paraId="4812465E">
                  <w:pPr>
                    <w:pStyle w:val="33"/>
                    <w:snapToGrid w:val="0"/>
                    <w:spacing w:before="48" w:beforeLines="20"/>
                    <w:jc w:val="center"/>
                    <w:rPr>
                      <w:szCs w:val="21"/>
                    </w:rPr>
                  </w:pPr>
                  <w:r>
                    <w:rPr>
                      <w:color w:val="000000" w:themeColor="text1"/>
                      <w:sz w:val="21"/>
                      <w:szCs w:val="21"/>
                      <w14:textFill>
                        <w14:solidFill>
                          <w14:schemeClr w14:val="tx1"/>
                        </w14:solidFill>
                      </w14:textFill>
                    </w:rPr>
                    <w:t>危险废物：危废暂存间，</w:t>
                  </w:r>
                  <w:r>
                    <w:rPr>
                      <w:rFonts w:hint="eastAsia"/>
                      <w:color w:val="000000" w:themeColor="text1"/>
                      <w:kern w:val="0"/>
                      <w:sz w:val="21"/>
                      <w:szCs w:val="21"/>
                      <w:lang w:eastAsia="zh-CN" w:bidi="ar"/>
                      <w14:textFill>
                        <w14:solidFill>
                          <w14:schemeClr w14:val="tx1"/>
                        </w14:solidFill>
                      </w14:textFill>
                    </w:rPr>
                    <w:t>位于厂区西北侧</w:t>
                  </w:r>
                  <w:r>
                    <w:rPr>
                      <w:color w:val="000000" w:themeColor="text1"/>
                      <w:sz w:val="21"/>
                      <w:szCs w:val="21"/>
                      <w14:textFill>
                        <w14:solidFill>
                          <w14:schemeClr w14:val="tx1"/>
                        </w14:solidFill>
                      </w14:textFill>
                    </w:rPr>
                    <w:t>，面积</w:t>
                  </w:r>
                  <w:r>
                    <w:rPr>
                      <w:rFonts w:hint="eastAsia"/>
                      <w:color w:val="000000" w:themeColor="text1"/>
                      <w:sz w:val="21"/>
                      <w:szCs w:val="21"/>
                      <w14:textFill>
                        <w14:solidFill>
                          <w14:schemeClr w14:val="tx1"/>
                        </w14:solidFill>
                      </w14:textFill>
                    </w:rPr>
                    <w:t>10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1214" w:type="pct"/>
                  <w:noWrap/>
                  <w:vAlign w:val="center"/>
                </w:tcPr>
                <w:p w14:paraId="1135FCBF">
                  <w:pPr>
                    <w:pStyle w:val="33"/>
                    <w:snapToGrid w:val="0"/>
                    <w:spacing w:before="48" w:beforeLines="20"/>
                    <w:jc w:val="center"/>
                    <w:rPr>
                      <w:szCs w:val="21"/>
                    </w:rPr>
                  </w:pPr>
                  <w:r>
                    <w:rPr>
                      <w:color w:val="000000" w:themeColor="text1"/>
                      <w:sz w:val="21"/>
                      <w:szCs w:val="21"/>
                      <w14:textFill>
                        <w14:solidFill>
                          <w14:schemeClr w14:val="tx1"/>
                        </w14:solidFill>
                      </w14:textFill>
                    </w:rPr>
                    <w:t>危险废物：危废暂存间，</w:t>
                  </w:r>
                  <w:r>
                    <w:rPr>
                      <w:rFonts w:hint="eastAsia"/>
                      <w:color w:val="000000" w:themeColor="text1"/>
                      <w:kern w:val="0"/>
                      <w:sz w:val="21"/>
                      <w:szCs w:val="21"/>
                      <w:lang w:eastAsia="zh-CN" w:bidi="ar"/>
                      <w14:textFill>
                        <w14:solidFill>
                          <w14:schemeClr w14:val="tx1"/>
                        </w14:solidFill>
                      </w14:textFill>
                    </w:rPr>
                    <w:t>位于厂区西北侧</w:t>
                  </w:r>
                  <w:r>
                    <w:rPr>
                      <w:color w:val="000000" w:themeColor="text1"/>
                      <w:sz w:val="21"/>
                      <w:szCs w:val="21"/>
                      <w14:textFill>
                        <w14:solidFill>
                          <w14:schemeClr w14:val="tx1"/>
                        </w14:solidFill>
                      </w14:textFill>
                    </w:rPr>
                    <w:t>，面积</w:t>
                  </w:r>
                  <w:r>
                    <w:rPr>
                      <w:rFonts w:hint="eastAsia"/>
                      <w:color w:val="000000" w:themeColor="text1"/>
                      <w:sz w:val="21"/>
                      <w:szCs w:val="21"/>
                      <w14:textFill>
                        <w14:solidFill>
                          <w14:schemeClr w14:val="tx1"/>
                        </w14:solidFill>
                      </w14:textFill>
                    </w:rPr>
                    <w:t>10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1057" w:type="pct"/>
                  <w:noWrap/>
                  <w:vAlign w:val="center"/>
                </w:tcPr>
                <w:p w14:paraId="3A2AB888">
                  <w:pPr>
                    <w:pStyle w:val="33"/>
                    <w:snapToGrid w:val="0"/>
                    <w:spacing w:before="48" w:beforeLines="20"/>
                    <w:jc w:val="center"/>
                    <w:rPr>
                      <w:szCs w:val="21"/>
                    </w:rPr>
                  </w:pPr>
                  <w:r>
                    <w:rPr>
                      <w:color w:val="000000" w:themeColor="text1"/>
                      <w:sz w:val="21"/>
                      <w:szCs w:val="21"/>
                      <w14:textFill>
                        <w14:solidFill>
                          <w14:schemeClr w14:val="tx1"/>
                        </w14:solidFill>
                      </w14:textFill>
                    </w:rPr>
                    <w:t>危险废物：危废暂存间，</w:t>
                  </w:r>
                  <w:r>
                    <w:rPr>
                      <w:rFonts w:hint="eastAsia"/>
                      <w:color w:val="000000" w:themeColor="text1"/>
                      <w:kern w:val="0"/>
                      <w:sz w:val="21"/>
                      <w:szCs w:val="21"/>
                      <w:lang w:eastAsia="zh-CN" w:bidi="ar"/>
                      <w14:textFill>
                        <w14:solidFill>
                          <w14:schemeClr w14:val="tx1"/>
                        </w14:solidFill>
                      </w14:textFill>
                    </w:rPr>
                    <w:t>位于厂区西北侧</w:t>
                  </w:r>
                  <w:r>
                    <w:rPr>
                      <w:color w:val="000000" w:themeColor="text1"/>
                      <w:sz w:val="21"/>
                      <w:szCs w:val="21"/>
                      <w14:textFill>
                        <w14:solidFill>
                          <w14:schemeClr w14:val="tx1"/>
                        </w14:solidFill>
                      </w14:textFill>
                    </w:rPr>
                    <w:t>，面积</w:t>
                  </w:r>
                  <w:r>
                    <w:rPr>
                      <w:rFonts w:hint="eastAsia"/>
                      <w:color w:val="000000" w:themeColor="text1"/>
                      <w:sz w:val="21"/>
                      <w:szCs w:val="21"/>
                      <w14:textFill>
                        <w14:solidFill>
                          <w14:schemeClr w14:val="tx1"/>
                        </w14:solidFill>
                      </w14:textFill>
                    </w:rPr>
                    <w:t>10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p>
              </w:tc>
              <w:tc>
                <w:tcPr>
                  <w:tcW w:w="673" w:type="pct"/>
                  <w:vMerge w:val="continue"/>
                  <w:noWrap/>
                  <w:vAlign w:val="center"/>
                </w:tcPr>
                <w:p w14:paraId="6399C396">
                  <w:pPr>
                    <w:spacing w:before="48" w:beforeLines="20"/>
                    <w:jc w:val="center"/>
                    <w:rPr>
                      <w:color w:val="FF0000"/>
                      <w:szCs w:val="21"/>
                    </w:rPr>
                  </w:pPr>
                </w:p>
              </w:tc>
            </w:tr>
            <w:tr w14:paraId="5ADC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7038725B">
                  <w:pPr>
                    <w:spacing w:before="48" w:beforeLines="20"/>
                    <w:jc w:val="center"/>
                    <w:rPr>
                      <w:color w:val="FF0000"/>
                      <w:szCs w:val="21"/>
                    </w:rPr>
                  </w:pPr>
                </w:p>
              </w:tc>
              <w:tc>
                <w:tcPr>
                  <w:tcW w:w="533" w:type="pct"/>
                  <w:vMerge w:val="continue"/>
                  <w:noWrap/>
                  <w:vAlign w:val="center"/>
                </w:tcPr>
                <w:p w14:paraId="74973077">
                  <w:pPr>
                    <w:spacing w:before="48" w:beforeLines="20"/>
                    <w:jc w:val="center"/>
                    <w:rPr>
                      <w:color w:val="FF0000"/>
                      <w:szCs w:val="21"/>
                    </w:rPr>
                  </w:pPr>
                </w:p>
              </w:tc>
              <w:tc>
                <w:tcPr>
                  <w:tcW w:w="1195" w:type="pct"/>
                  <w:noWrap/>
                  <w:vAlign w:val="center"/>
                </w:tcPr>
                <w:p w14:paraId="1758B75F">
                  <w:pPr>
                    <w:adjustRightInd w:val="0"/>
                    <w:snapToGrid w:val="0"/>
                    <w:spacing w:before="48" w:beforeLines="20"/>
                    <w:jc w:val="center"/>
                    <w:rPr>
                      <w:szCs w:val="21"/>
                    </w:rPr>
                  </w:pPr>
                  <w:r>
                    <w:rPr>
                      <w:szCs w:val="21"/>
                    </w:rPr>
                    <w:t>生活垃圾：垃圾桶等</w:t>
                  </w:r>
                </w:p>
              </w:tc>
              <w:tc>
                <w:tcPr>
                  <w:tcW w:w="1214" w:type="pct"/>
                  <w:noWrap/>
                  <w:vAlign w:val="center"/>
                </w:tcPr>
                <w:p w14:paraId="5115A6F4">
                  <w:pPr>
                    <w:adjustRightInd w:val="0"/>
                    <w:snapToGrid w:val="0"/>
                    <w:spacing w:before="48" w:beforeLines="20"/>
                    <w:jc w:val="center"/>
                    <w:rPr>
                      <w:szCs w:val="21"/>
                    </w:rPr>
                  </w:pPr>
                  <w:r>
                    <w:rPr>
                      <w:szCs w:val="21"/>
                    </w:rPr>
                    <w:t>生活垃圾：垃圾桶等</w:t>
                  </w:r>
                </w:p>
              </w:tc>
              <w:tc>
                <w:tcPr>
                  <w:tcW w:w="1057" w:type="pct"/>
                  <w:noWrap/>
                  <w:vAlign w:val="center"/>
                </w:tcPr>
                <w:p w14:paraId="178C8AE5">
                  <w:pPr>
                    <w:adjustRightInd w:val="0"/>
                    <w:snapToGrid w:val="0"/>
                    <w:spacing w:before="48" w:beforeLines="20"/>
                    <w:jc w:val="center"/>
                    <w:rPr>
                      <w:szCs w:val="21"/>
                    </w:rPr>
                  </w:pPr>
                  <w:r>
                    <w:rPr>
                      <w:szCs w:val="21"/>
                    </w:rPr>
                    <w:t>生活垃圾：垃圾桶等</w:t>
                  </w:r>
                </w:p>
              </w:tc>
              <w:tc>
                <w:tcPr>
                  <w:tcW w:w="673" w:type="pct"/>
                  <w:noWrap/>
                  <w:vAlign w:val="center"/>
                </w:tcPr>
                <w:p w14:paraId="3C5050E1">
                  <w:pPr>
                    <w:pStyle w:val="12"/>
                    <w:rPr>
                      <w:color w:val="FF0000"/>
                      <w:szCs w:val="21"/>
                    </w:rPr>
                  </w:pPr>
                  <w:r>
                    <w:rPr>
                      <w:rFonts w:hint="eastAsia"/>
                      <w:lang w:val="en-US" w:eastAsia="zh-CN"/>
                    </w:rPr>
                    <w:t>改建新增</w:t>
                  </w:r>
                </w:p>
              </w:tc>
            </w:tr>
            <w:tr w14:paraId="103E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43438565">
                  <w:pPr>
                    <w:spacing w:before="48" w:beforeLines="20"/>
                    <w:jc w:val="center"/>
                    <w:rPr>
                      <w:color w:val="FF0000"/>
                      <w:szCs w:val="21"/>
                    </w:rPr>
                  </w:pPr>
                </w:p>
              </w:tc>
              <w:tc>
                <w:tcPr>
                  <w:tcW w:w="533" w:type="pct"/>
                  <w:noWrap/>
                  <w:vAlign w:val="center"/>
                </w:tcPr>
                <w:p w14:paraId="7EE99B7A">
                  <w:pPr>
                    <w:adjustRightInd w:val="0"/>
                    <w:snapToGrid w:val="0"/>
                    <w:jc w:val="center"/>
                    <w:rPr>
                      <w:szCs w:val="21"/>
                    </w:rPr>
                  </w:pPr>
                  <w:r>
                    <w:rPr>
                      <w:szCs w:val="21"/>
                    </w:rPr>
                    <w:t>地下水、土壤</w:t>
                  </w:r>
                </w:p>
              </w:tc>
              <w:tc>
                <w:tcPr>
                  <w:tcW w:w="1195" w:type="pct"/>
                  <w:noWrap/>
                  <w:vAlign w:val="center"/>
                </w:tcPr>
                <w:p w14:paraId="2BDD981F">
                  <w:pPr>
                    <w:pStyle w:val="43"/>
                    <w:adjustRightInd w:val="0"/>
                    <w:spacing w:before="48" w:beforeLines="20" w:line="240" w:lineRule="exact"/>
                    <w:ind w:firstLine="0" w:firstLineChars="0"/>
                    <w:rPr>
                      <w:szCs w:val="21"/>
                    </w:rPr>
                  </w:pPr>
                  <w:r>
                    <w:rPr>
                      <w:rFonts w:hint="eastAsia" w:cs="Times New Roman"/>
                      <w:color w:val="auto"/>
                      <w:sz w:val="21"/>
                      <w:szCs w:val="21"/>
                      <w:lang w:val="en-US" w:eastAsia="zh-CN"/>
                    </w:rPr>
                    <w:t>厂区内危废间、污泥储存区、沉淀池需要做重点防渗，其他区域做一般防渗；租赁的厂房已采用抗渗混凝土防渗；因此本项目</w:t>
                  </w:r>
                  <w:r>
                    <w:rPr>
                      <w:rFonts w:hint="eastAsia" w:cs="Times New Roman"/>
                      <w:color w:val="auto"/>
                      <w:sz w:val="21"/>
                      <w:szCs w:val="21"/>
                      <w:lang w:eastAsia="zh-CN"/>
                    </w:rPr>
                    <w:t>危废暂存间、沉淀池只需采用</w:t>
                  </w:r>
                  <w:r>
                    <w:rPr>
                      <w:rFonts w:hint="default" w:ascii="Times New Roman" w:hAnsi="Times New Roman" w:cs="Times New Roman"/>
                      <w:color w:val="auto"/>
                      <w:sz w:val="21"/>
                      <w:szCs w:val="21"/>
                    </w:rPr>
                    <w:t>环氧树脂漆（1.5mm）进行重点防渗，渗透系数≤1×10</w:t>
                  </w:r>
                  <w:r>
                    <w:rPr>
                      <w:rFonts w:hint="default" w:ascii="Times New Roman" w:hAnsi="Times New Roman" w:cs="Times New Roman"/>
                      <w:color w:val="auto"/>
                      <w:sz w:val="21"/>
                      <w:szCs w:val="21"/>
                      <w:vertAlign w:val="superscript"/>
                    </w:rPr>
                    <w:t>-</w:t>
                  </w:r>
                  <w:r>
                    <w:rPr>
                      <w:rFonts w:hint="eastAsia" w:cs="Times New Roman"/>
                      <w:color w:val="auto"/>
                      <w:sz w:val="21"/>
                      <w:szCs w:val="21"/>
                      <w:vertAlign w:val="superscript"/>
                      <w:lang w:val="en-US" w:eastAsia="zh-CN"/>
                    </w:rPr>
                    <w:t>10</w:t>
                  </w:r>
                  <w:r>
                    <w:rPr>
                      <w:rFonts w:hint="default" w:ascii="Times New Roman" w:hAnsi="Times New Roman" w:cs="Times New Roman"/>
                      <w:color w:val="auto"/>
                      <w:sz w:val="21"/>
                      <w:szCs w:val="21"/>
                    </w:rPr>
                    <w:t>cm/s。</w:t>
                  </w:r>
                </w:p>
              </w:tc>
              <w:tc>
                <w:tcPr>
                  <w:tcW w:w="1214" w:type="pct"/>
                  <w:noWrap/>
                  <w:vAlign w:val="center"/>
                </w:tcPr>
                <w:p w14:paraId="5E45042E">
                  <w:pPr>
                    <w:pStyle w:val="43"/>
                    <w:adjustRightInd w:val="0"/>
                    <w:spacing w:before="48" w:beforeLines="20" w:line="240" w:lineRule="exact"/>
                    <w:rPr>
                      <w:szCs w:val="21"/>
                    </w:rPr>
                  </w:pPr>
                  <w:r>
                    <w:rPr>
                      <w:szCs w:val="21"/>
                    </w:rPr>
                    <w:t>重点防渗区域，需采取地坪硬化、防渗措施。一般防渗区域采取地面硬化处理。</w:t>
                  </w:r>
                </w:p>
              </w:tc>
              <w:tc>
                <w:tcPr>
                  <w:tcW w:w="1057" w:type="pct"/>
                  <w:noWrap/>
                  <w:vAlign w:val="center"/>
                </w:tcPr>
                <w:p w14:paraId="51CE67E5">
                  <w:pPr>
                    <w:pStyle w:val="43"/>
                    <w:adjustRightInd w:val="0"/>
                    <w:spacing w:before="48" w:beforeLines="20" w:line="240" w:lineRule="exact"/>
                    <w:rPr>
                      <w:szCs w:val="21"/>
                    </w:rPr>
                  </w:pPr>
                  <w:r>
                    <w:rPr>
                      <w:szCs w:val="21"/>
                    </w:rPr>
                    <w:t>重点防渗区域，需采取地坪硬化、防渗措施。一般防渗区域采取地面硬化处理。</w:t>
                  </w:r>
                </w:p>
              </w:tc>
              <w:tc>
                <w:tcPr>
                  <w:tcW w:w="673" w:type="pct"/>
                  <w:noWrap/>
                  <w:vAlign w:val="center"/>
                </w:tcPr>
                <w:p w14:paraId="3F27C703">
                  <w:pPr>
                    <w:spacing w:before="48" w:beforeLines="20"/>
                    <w:jc w:val="center"/>
                    <w:rPr>
                      <w:rFonts w:hint="eastAsia" w:eastAsia="宋体"/>
                      <w:szCs w:val="21"/>
                      <w:lang w:eastAsia="zh-CN"/>
                    </w:rPr>
                  </w:pPr>
                  <w:r>
                    <w:rPr>
                      <w:rFonts w:hint="eastAsia"/>
                      <w:szCs w:val="21"/>
                      <w:lang w:eastAsia="zh-CN"/>
                    </w:rPr>
                    <w:t>改建</w:t>
                  </w:r>
                </w:p>
                <w:p w14:paraId="556AF8EA">
                  <w:pPr>
                    <w:spacing w:before="48" w:beforeLines="20"/>
                    <w:jc w:val="center"/>
                    <w:rPr>
                      <w:szCs w:val="21"/>
                    </w:rPr>
                  </w:pPr>
                  <w:r>
                    <w:rPr>
                      <w:rFonts w:hint="eastAsia"/>
                      <w:szCs w:val="21"/>
                    </w:rPr>
                    <w:t>新增</w:t>
                  </w:r>
                </w:p>
              </w:tc>
            </w:tr>
            <w:tr w14:paraId="4AF8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5" w:type="pct"/>
                  <w:vMerge w:val="continue"/>
                  <w:noWrap/>
                  <w:vAlign w:val="center"/>
                </w:tcPr>
                <w:p w14:paraId="738A2F17">
                  <w:pPr>
                    <w:spacing w:before="48" w:beforeLines="20"/>
                    <w:jc w:val="center"/>
                    <w:rPr>
                      <w:color w:val="FF0000"/>
                      <w:szCs w:val="21"/>
                    </w:rPr>
                  </w:pPr>
                </w:p>
              </w:tc>
              <w:tc>
                <w:tcPr>
                  <w:tcW w:w="533" w:type="pct"/>
                  <w:noWrap/>
                  <w:vAlign w:val="center"/>
                </w:tcPr>
                <w:p w14:paraId="365611E1">
                  <w:pPr>
                    <w:adjustRightInd w:val="0"/>
                    <w:snapToGrid w:val="0"/>
                    <w:jc w:val="center"/>
                    <w:rPr>
                      <w:szCs w:val="21"/>
                    </w:rPr>
                  </w:pPr>
                  <w:r>
                    <w:rPr>
                      <w:color w:val="auto"/>
                      <w:szCs w:val="21"/>
                    </w:rPr>
                    <w:t>风险</w:t>
                  </w:r>
                </w:p>
              </w:tc>
              <w:tc>
                <w:tcPr>
                  <w:tcW w:w="1195" w:type="pct"/>
                  <w:noWrap/>
                  <w:vAlign w:val="center"/>
                </w:tcPr>
                <w:p w14:paraId="73426F41">
                  <w:pPr>
                    <w:pStyle w:val="43"/>
                    <w:adjustRightInd w:val="0"/>
                    <w:spacing w:before="48" w:beforeLines="20" w:line="240" w:lineRule="exact"/>
                    <w:ind w:firstLine="0" w:firstLineChars="0"/>
                    <w:rPr>
                      <w:szCs w:val="21"/>
                    </w:rPr>
                  </w:pPr>
                  <w:r>
                    <w:rPr>
                      <w:rFonts w:hint="default" w:ascii="Times New Roman" w:hAnsi="Times New Roman" w:eastAsia="宋体" w:cs="Times New Roman"/>
                      <w:color w:val="auto"/>
                      <w:sz w:val="21"/>
                      <w:szCs w:val="21"/>
                      <w:lang w:eastAsia="zh-CN"/>
                    </w:rPr>
                    <w:t>设置室外消火栓、灭火器、制定风险应急预案等</w:t>
                  </w:r>
                  <w:r>
                    <w:rPr>
                      <w:rFonts w:hint="eastAsia" w:cs="Times New Roman"/>
                      <w:color w:val="auto"/>
                      <w:sz w:val="21"/>
                      <w:szCs w:val="21"/>
                      <w:lang w:eastAsia="zh-CN"/>
                    </w:rPr>
                    <w:t>。</w:t>
                  </w:r>
                </w:p>
              </w:tc>
              <w:tc>
                <w:tcPr>
                  <w:tcW w:w="1214" w:type="pct"/>
                  <w:noWrap/>
                  <w:vAlign w:val="center"/>
                </w:tcPr>
                <w:p w14:paraId="47BF6FD0">
                  <w:pPr>
                    <w:pStyle w:val="43"/>
                    <w:adjustRightInd w:val="0"/>
                    <w:spacing w:before="48" w:beforeLines="20" w:line="240" w:lineRule="exact"/>
                    <w:rPr>
                      <w:szCs w:val="21"/>
                    </w:rPr>
                  </w:pPr>
                  <w:r>
                    <w:rPr>
                      <w:szCs w:val="21"/>
                    </w:rPr>
                    <w:t>设置室外消火栓、灭火器、制定风险应急预案等。</w:t>
                  </w:r>
                </w:p>
              </w:tc>
              <w:tc>
                <w:tcPr>
                  <w:tcW w:w="1057" w:type="pct"/>
                  <w:noWrap/>
                  <w:vAlign w:val="center"/>
                </w:tcPr>
                <w:p w14:paraId="556937DC">
                  <w:pPr>
                    <w:pStyle w:val="43"/>
                    <w:adjustRightInd w:val="0"/>
                    <w:spacing w:before="48" w:beforeLines="20" w:line="240" w:lineRule="exact"/>
                    <w:rPr>
                      <w:szCs w:val="21"/>
                    </w:rPr>
                  </w:pPr>
                  <w:r>
                    <w:rPr>
                      <w:szCs w:val="21"/>
                    </w:rPr>
                    <w:t>设置室外消火栓、灭火器、制定风险应急预案等。</w:t>
                  </w:r>
                </w:p>
              </w:tc>
              <w:tc>
                <w:tcPr>
                  <w:tcW w:w="673" w:type="pct"/>
                  <w:noWrap/>
                  <w:vAlign w:val="center"/>
                </w:tcPr>
                <w:p w14:paraId="06375FCA">
                  <w:pPr>
                    <w:spacing w:before="48" w:beforeLines="20"/>
                    <w:jc w:val="center"/>
                    <w:rPr>
                      <w:rFonts w:hint="eastAsia"/>
                      <w:szCs w:val="21"/>
                      <w:lang w:eastAsia="zh-CN"/>
                    </w:rPr>
                  </w:pPr>
                  <w:r>
                    <w:rPr>
                      <w:rFonts w:hint="eastAsia"/>
                      <w:szCs w:val="21"/>
                      <w:lang w:eastAsia="zh-CN"/>
                    </w:rPr>
                    <w:t>改建</w:t>
                  </w:r>
                </w:p>
                <w:p w14:paraId="09478FCB">
                  <w:pPr>
                    <w:spacing w:before="48" w:beforeLines="20"/>
                    <w:jc w:val="center"/>
                    <w:rPr>
                      <w:szCs w:val="21"/>
                    </w:rPr>
                  </w:pPr>
                  <w:r>
                    <w:rPr>
                      <w:rFonts w:hint="eastAsia"/>
                      <w:szCs w:val="21"/>
                    </w:rPr>
                    <w:t>新增</w:t>
                  </w:r>
                </w:p>
              </w:tc>
            </w:tr>
          </w:tbl>
          <w:p w14:paraId="2E80AE51">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宋体" w:hAnsi="宋体" w:cs="宋体"/>
                <w:b/>
                <w:bCs/>
                <w:color w:val="auto"/>
                <w:sz w:val="24"/>
                <w:lang w:val="en-US" w:eastAsia="zh-CN"/>
              </w:rPr>
            </w:pPr>
            <w:r>
              <w:rPr>
                <w:rFonts w:hint="eastAsia" w:ascii="宋体" w:hAnsi="宋体" w:cs="宋体"/>
                <w:b/>
                <w:bCs/>
                <w:color w:val="auto"/>
                <w:sz w:val="24"/>
                <w:lang w:val="en-US" w:eastAsia="zh-CN"/>
              </w:rPr>
              <w:t>依托可行性分析：</w:t>
            </w:r>
          </w:p>
          <w:p w14:paraId="012477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生产车间</w:t>
            </w:r>
            <w:r>
              <w:rPr>
                <w:rFonts w:hint="eastAsia" w:ascii="Times New Roman" w:hAnsi="Times New Roman" w:cs="Times New Roman"/>
                <w:color w:val="auto"/>
                <w:sz w:val="24"/>
                <w:lang w:val="en-US" w:eastAsia="zh-CN"/>
              </w:rPr>
              <w:t>、水泥仓</w:t>
            </w:r>
            <w:r>
              <w:rPr>
                <w:rFonts w:hint="default" w:ascii="Times New Roman" w:hAnsi="Times New Roman" w:cs="Times New Roman"/>
                <w:color w:val="auto"/>
                <w:sz w:val="24"/>
                <w:lang w:val="en-US" w:eastAsia="zh-CN"/>
              </w:rPr>
              <w:t>：本次</w:t>
            </w:r>
            <w:r>
              <w:rPr>
                <w:rFonts w:hint="eastAsia" w:ascii="Times New Roman" w:hAnsi="Times New Roman" w:cs="Times New Roman"/>
                <w:color w:val="auto"/>
                <w:sz w:val="24"/>
                <w:lang w:val="en-US" w:eastAsia="zh-CN"/>
              </w:rPr>
              <w:t>改</w:t>
            </w:r>
            <w:r>
              <w:rPr>
                <w:rFonts w:hint="default" w:ascii="Times New Roman" w:hAnsi="Times New Roman" w:cs="Times New Roman"/>
                <w:color w:val="auto"/>
                <w:sz w:val="24"/>
                <w:lang w:val="en-US" w:eastAsia="zh-CN"/>
              </w:rPr>
              <w:t>建项目拟依托现有</w:t>
            </w:r>
            <w:r>
              <w:rPr>
                <w:rFonts w:hint="eastAsia" w:ascii="Times New Roman" w:hAnsi="Times New Roman" w:cs="Times New Roman"/>
                <w:color w:val="auto"/>
                <w:sz w:val="24"/>
                <w:lang w:val="en-US" w:eastAsia="zh-CN"/>
              </w:rPr>
              <w:t>生产车间</w:t>
            </w:r>
            <w:r>
              <w:rPr>
                <w:rFonts w:hint="default" w:ascii="Times New Roman" w:hAnsi="Times New Roman" w:cs="Times New Roman"/>
                <w:color w:val="auto"/>
                <w:sz w:val="24"/>
                <w:lang w:val="en-US" w:eastAsia="zh-CN"/>
              </w:rPr>
              <w:t>，新增</w:t>
            </w:r>
            <w:r>
              <w:rPr>
                <w:rFonts w:hint="eastAsia" w:ascii="Times New Roman" w:hAnsi="Times New Roman" w:cs="Times New Roman"/>
                <w:color w:val="auto"/>
                <w:sz w:val="24"/>
                <w:lang w:val="en-US" w:eastAsia="zh-CN"/>
              </w:rPr>
              <w:t>搅拌机、粉碎机、分筛机等设备</w:t>
            </w:r>
            <w:r>
              <w:rPr>
                <w:rFonts w:hint="eastAsia" w:cs="Times New Roman"/>
                <w:color w:val="auto"/>
                <w:sz w:val="24"/>
                <w:lang w:val="en-US" w:eastAsia="zh-CN"/>
              </w:rPr>
              <w:t>，对原有道路建养材料生产项目进行改建，改建后</w:t>
            </w:r>
            <w:r>
              <w:rPr>
                <w:rFonts w:hint="default" w:ascii="Times New Roman" w:hAnsi="Times New Roman" w:cs="Times New Roman"/>
                <w:color w:val="auto"/>
                <w:sz w:val="24"/>
                <w:lang w:val="en-US" w:eastAsia="zh-CN"/>
              </w:rPr>
              <w:t>平面布局合理，能够满足生产需要。</w:t>
            </w:r>
          </w:p>
          <w:p w14:paraId="1065A2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eastAsia" w:cs="Times New Roman"/>
                <w:color w:val="auto"/>
                <w:sz w:val="24"/>
                <w:lang w:val="en-US" w:eastAsia="zh-CN"/>
              </w:rPr>
              <w:t>废水治理</w:t>
            </w:r>
            <w:r>
              <w:rPr>
                <w:rFonts w:hint="default" w:ascii="Times New Roman" w:hAnsi="Times New Roman" w:cs="Times New Roman"/>
                <w:color w:val="auto"/>
                <w:sz w:val="24"/>
                <w:lang w:val="en-US" w:eastAsia="zh-CN"/>
              </w:rPr>
              <w:t>：项目采用市政供水，本次</w:t>
            </w:r>
            <w:r>
              <w:rPr>
                <w:rFonts w:hint="eastAsia" w:ascii="Times New Roman" w:hAnsi="Times New Roman" w:cs="Times New Roman"/>
                <w:color w:val="auto"/>
                <w:sz w:val="24"/>
                <w:lang w:val="en-US" w:eastAsia="zh-CN"/>
              </w:rPr>
              <w:t>改</w:t>
            </w:r>
            <w:r>
              <w:rPr>
                <w:rFonts w:hint="default" w:ascii="Times New Roman" w:hAnsi="Times New Roman" w:cs="Times New Roman"/>
                <w:color w:val="auto"/>
                <w:sz w:val="24"/>
                <w:lang w:val="en-US" w:eastAsia="zh-CN"/>
              </w:rPr>
              <w:t>建项目建成后</w:t>
            </w:r>
            <w:r>
              <w:rPr>
                <w:rFonts w:hint="eastAsia" w:cs="Times New Roman"/>
                <w:color w:val="auto"/>
                <w:sz w:val="24"/>
                <w:lang w:val="en-US" w:eastAsia="zh-CN"/>
              </w:rPr>
              <w:t>新增劳动定员3人，新增</w:t>
            </w:r>
            <w:r>
              <w:rPr>
                <w:rFonts w:hint="default" w:ascii="Times New Roman" w:hAnsi="Times New Roman" w:cs="Times New Roman"/>
                <w:color w:val="auto"/>
                <w:sz w:val="24"/>
                <w:lang w:val="en-US" w:eastAsia="zh-CN"/>
              </w:rPr>
              <w:t>生活污水排放量</w:t>
            </w:r>
            <w:r>
              <w:rPr>
                <w:rFonts w:hint="eastAsia" w:cs="Times New Roman"/>
                <w:color w:val="auto"/>
                <w:sz w:val="24"/>
                <w:lang w:val="en-US" w:eastAsia="zh-CN"/>
              </w:rPr>
              <w:t>0.17</w:t>
            </w:r>
            <w:r>
              <w:rPr>
                <w:rFonts w:hint="default" w:ascii="Times New Roman" w:hAnsi="Times New Roman" w:cs="Times New Roman"/>
                <w:color w:val="auto"/>
                <w:sz w:val="24"/>
                <w:lang w:val="en-US" w:eastAsia="zh-CN"/>
              </w:rPr>
              <w:t>t/d；项目现状设有化粪池，能够满足生活污水处理要求，依托可行</w:t>
            </w:r>
            <w:r>
              <w:rPr>
                <w:rFonts w:hint="eastAsia" w:cs="Times New Roman"/>
                <w:color w:val="auto"/>
                <w:sz w:val="24"/>
                <w:lang w:val="en-US" w:eastAsia="zh-CN"/>
              </w:rPr>
              <w:t>；</w:t>
            </w:r>
          </w:p>
          <w:p w14:paraId="4EAC69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kern w:val="0"/>
                <w:sz w:val="24"/>
              </w:rPr>
            </w:pPr>
            <w:r>
              <w:rPr>
                <w:rFonts w:hint="default" w:ascii="Times New Roman" w:hAnsi="Times New Roman" w:cs="Times New Roman"/>
                <w:color w:val="auto"/>
                <w:sz w:val="24"/>
                <w:lang w:val="en-US" w:eastAsia="zh-CN"/>
              </w:rPr>
              <w:t>固废治理：</w:t>
            </w:r>
            <w:r>
              <w:rPr>
                <w:rFonts w:hint="eastAsia" w:cs="Times New Roman"/>
                <w:color w:val="auto"/>
                <w:sz w:val="24"/>
                <w:lang w:val="en-US" w:eastAsia="zh-CN"/>
              </w:rPr>
              <w:t>原</w:t>
            </w:r>
            <w:r>
              <w:rPr>
                <w:rFonts w:hint="default" w:ascii="Times New Roman" w:hAnsi="Times New Roman" w:cs="Times New Roman"/>
                <w:color w:val="auto"/>
                <w:sz w:val="24"/>
                <w:lang w:val="en-US" w:eastAsia="zh-CN"/>
              </w:rPr>
              <w:t>项目设有1个</w:t>
            </w:r>
            <w:r>
              <w:rPr>
                <w:rFonts w:hint="eastAsia" w:ascii="Times New Roman" w:hAnsi="Times New Roman" w:cs="Times New Roman"/>
                <w:color w:val="auto"/>
                <w:sz w:val="24"/>
                <w:lang w:val="en-US" w:eastAsia="zh-CN"/>
              </w:rPr>
              <w:t>危险</w:t>
            </w:r>
            <w:r>
              <w:rPr>
                <w:rFonts w:hint="default" w:ascii="Times New Roman" w:hAnsi="Times New Roman" w:cs="Times New Roman"/>
                <w:color w:val="auto"/>
                <w:sz w:val="24"/>
                <w:lang w:val="en-US" w:eastAsia="zh-CN"/>
              </w:rPr>
              <w:t>废物暂存</w:t>
            </w:r>
            <w:r>
              <w:rPr>
                <w:rFonts w:hint="eastAsia" w:ascii="Times New Roman" w:hAnsi="Times New Roman" w:cs="Times New Roman"/>
                <w:color w:val="auto"/>
                <w:sz w:val="24"/>
                <w:lang w:val="en-US" w:eastAsia="zh-CN"/>
              </w:rPr>
              <w:t>间</w:t>
            </w:r>
            <w:r>
              <w:rPr>
                <w:rFonts w:hint="default" w:ascii="Times New Roman" w:hAnsi="Times New Roman" w:cs="Times New Roman"/>
                <w:color w:val="auto"/>
                <w:sz w:val="24"/>
                <w:lang w:val="en-US" w:eastAsia="zh-CN"/>
              </w:rPr>
              <w:t>，约</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，位于位于厂区西北侧。本次</w:t>
            </w:r>
            <w:r>
              <w:rPr>
                <w:rFonts w:hint="eastAsia" w:ascii="Times New Roman" w:hAnsi="Times New Roman" w:cs="Times New Roman"/>
                <w:color w:val="auto"/>
                <w:sz w:val="24"/>
                <w:lang w:val="en-US" w:eastAsia="zh-CN"/>
              </w:rPr>
              <w:t>改</w:t>
            </w:r>
            <w:r>
              <w:rPr>
                <w:rFonts w:hint="default" w:ascii="Times New Roman" w:hAnsi="Times New Roman" w:cs="Times New Roman"/>
                <w:color w:val="auto"/>
                <w:sz w:val="24"/>
                <w:lang w:val="en-US" w:eastAsia="zh-CN"/>
              </w:rPr>
              <w:t>建项目</w:t>
            </w:r>
            <w:r>
              <w:rPr>
                <w:rFonts w:hint="eastAsia" w:ascii="Times New Roman" w:hAnsi="Times New Roman" w:cs="Times New Roman"/>
                <w:color w:val="auto"/>
                <w:sz w:val="24"/>
                <w:lang w:val="en-US" w:eastAsia="zh-CN"/>
              </w:rPr>
              <w:t>不</w:t>
            </w:r>
            <w:r>
              <w:rPr>
                <w:rFonts w:hint="default" w:ascii="Times New Roman" w:hAnsi="Times New Roman" w:cs="Times New Roman"/>
                <w:color w:val="auto"/>
                <w:sz w:val="24"/>
                <w:lang w:val="en-US" w:eastAsia="zh-CN"/>
              </w:rPr>
              <w:t>新增危废种类</w:t>
            </w:r>
            <w:r>
              <w:rPr>
                <w:rFonts w:hint="eastAsia" w:cs="Times New Roman"/>
                <w:color w:val="auto"/>
                <w:sz w:val="24"/>
                <w:lang w:val="en-US" w:eastAsia="zh-CN"/>
              </w:rPr>
              <w:t>且</w:t>
            </w:r>
            <w:r>
              <w:rPr>
                <w:rFonts w:hint="eastAsia" w:ascii="Times New Roman" w:hAnsi="Times New Roman" w:cs="Times New Roman"/>
                <w:color w:val="auto"/>
                <w:sz w:val="24"/>
                <w:lang w:val="en-US" w:eastAsia="zh-CN"/>
              </w:rPr>
              <w:t>产生量较小，</w:t>
            </w:r>
            <w:r>
              <w:rPr>
                <w:rFonts w:hint="default" w:ascii="Times New Roman" w:hAnsi="Times New Roman" w:cs="Times New Roman"/>
                <w:color w:val="auto"/>
                <w:sz w:val="24"/>
                <w:lang w:val="en-US" w:eastAsia="zh-CN"/>
              </w:rPr>
              <w:t>危废间</w:t>
            </w:r>
            <w:r>
              <w:rPr>
                <w:rFonts w:hint="eastAsia" w:ascii="Times New Roman" w:hAnsi="Times New Roman" w:cs="Times New Roman"/>
                <w:color w:val="auto"/>
                <w:sz w:val="24"/>
                <w:lang w:val="en-US" w:eastAsia="zh-CN"/>
              </w:rPr>
              <w:t>不新增面积</w:t>
            </w:r>
            <w:r>
              <w:rPr>
                <w:rFonts w:hint="default" w:ascii="Times New Roman" w:hAnsi="Times New Roman" w:cs="Times New Roman"/>
                <w:color w:val="auto"/>
                <w:sz w:val="24"/>
                <w:lang w:val="en-US" w:eastAsia="zh-CN"/>
              </w:rPr>
              <w:t>。项目根据危废产生量重新签订危废合同，现有</w:t>
            </w:r>
            <w:r>
              <w:rPr>
                <w:rFonts w:hint="eastAsia" w:cs="Times New Roman"/>
                <w:color w:val="auto"/>
                <w:sz w:val="24"/>
                <w:lang w:val="en-US" w:eastAsia="zh-CN"/>
              </w:rPr>
              <w:t>危废</w:t>
            </w:r>
            <w:r>
              <w:rPr>
                <w:rFonts w:hint="default" w:ascii="Times New Roman" w:hAnsi="Times New Roman" w:cs="Times New Roman"/>
                <w:color w:val="auto"/>
                <w:sz w:val="24"/>
                <w:lang w:val="en-US" w:eastAsia="zh-CN"/>
              </w:rPr>
              <w:t>暂存设施能够满足本次</w:t>
            </w:r>
            <w:r>
              <w:rPr>
                <w:rFonts w:hint="eastAsia" w:ascii="Times New Roman" w:hAnsi="Times New Roman" w:cs="Times New Roman"/>
                <w:color w:val="auto"/>
                <w:sz w:val="24"/>
                <w:lang w:val="en-US" w:eastAsia="zh-CN"/>
              </w:rPr>
              <w:t>改</w:t>
            </w:r>
            <w:r>
              <w:rPr>
                <w:rFonts w:hint="default" w:ascii="Times New Roman" w:hAnsi="Times New Roman" w:cs="Times New Roman"/>
                <w:color w:val="auto"/>
                <w:sz w:val="24"/>
                <w:lang w:val="en-US" w:eastAsia="zh-CN"/>
              </w:rPr>
              <w:t>建项目贮存需求。</w:t>
            </w:r>
          </w:p>
          <w:p w14:paraId="67D52B4D">
            <w:pPr>
              <w:adjustRightInd w:val="0"/>
              <w:snapToGrid w:val="0"/>
              <w:spacing w:before="120" w:beforeLines="50" w:line="360" w:lineRule="auto"/>
              <w:rPr>
                <w:b/>
                <w:bCs/>
                <w:kern w:val="0"/>
                <w:sz w:val="24"/>
              </w:rPr>
            </w:pPr>
            <w:r>
              <w:rPr>
                <w:rFonts w:hint="eastAsia"/>
                <w:b/>
                <w:bCs/>
                <w:kern w:val="0"/>
                <w:sz w:val="24"/>
              </w:rPr>
              <w:t>2、</w:t>
            </w:r>
            <w:r>
              <w:rPr>
                <w:b/>
                <w:bCs/>
                <w:kern w:val="0"/>
                <w:sz w:val="24"/>
              </w:rPr>
              <w:t>项目主要产品及产能</w:t>
            </w:r>
          </w:p>
          <w:p w14:paraId="5204A9B4">
            <w:pPr>
              <w:adjustRightInd w:val="0"/>
              <w:snapToGrid w:val="0"/>
              <w:spacing w:line="360" w:lineRule="auto"/>
              <w:ind w:firstLine="480" w:firstLineChars="200"/>
              <w:rPr>
                <w:kern w:val="0"/>
                <w:sz w:val="24"/>
              </w:rPr>
            </w:pPr>
            <w:r>
              <w:rPr>
                <w:kern w:val="0"/>
                <w:sz w:val="24"/>
              </w:rPr>
              <w:t>项目主要产品及产能见表</w:t>
            </w:r>
            <w:r>
              <w:rPr>
                <w:rFonts w:hint="eastAsia"/>
                <w:kern w:val="0"/>
                <w:sz w:val="24"/>
              </w:rPr>
              <w:t>2</w:t>
            </w:r>
            <w:r>
              <w:rPr>
                <w:rFonts w:hint="eastAsia"/>
                <w:kern w:val="0"/>
                <w:sz w:val="24"/>
                <w:lang w:val="en-US" w:eastAsia="zh-CN"/>
              </w:rPr>
              <w:t>-</w:t>
            </w:r>
            <w:r>
              <w:rPr>
                <w:rFonts w:hint="eastAsia"/>
                <w:kern w:val="0"/>
                <w:sz w:val="24"/>
              </w:rPr>
              <w:t>4。</w:t>
            </w:r>
          </w:p>
          <w:p w14:paraId="36CD16AD">
            <w:pPr>
              <w:adjustRightInd w:val="0"/>
              <w:snapToGrid w:val="0"/>
              <w:spacing w:line="360" w:lineRule="auto"/>
              <w:jc w:val="center"/>
              <w:rPr>
                <w:b/>
                <w:bCs/>
                <w:kern w:val="0"/>
                <w:sz w:val="24"/>
              </w:rPr>
            </w:pPr>
            <w:r>
              <w:rPr>
                <w:b/>
                <w:bCs/>
                <w:kern w:val="0"/>
                <w:sz w:val="24"/>
              </w:rPr>
              <w:t>表2</w:t>
            </w:r>
            <w:r>
              <w:rPr>
                <w:rFonts w:hint="eastAsia"/>
                <w:b/>
                <w:bCs/>
                <w:kern w:val="0"/>
                <w:sz w:val="24"/>
                <w:lang w:val="en-US" w:eastAsia="zh-CN"/>
              </w:rPr>
              <w:t>-</w:t>
            </w:r>
            <w:r>
              <w:rPr>
                <w:rFonts w:hint="eastAsia"/>
                <w:b/>
                <w:bCs/>
                <w:kern w:val="0"/>
                <w:sz w:val="24"/>
              </w:rPr>
              <w:t>4</w:t>
            </w:r>
            <w:r>
              <w:rPr>
                <w:b/>
                <w:bCs/>
                <w:kern w:val="0"/>
                <w:sz w:val="24"/>
              </w:rPr>
              <w:t xml:space="preserve">  项目主要产品及产能一览表</w:t>
            </w:r>
          </w:p>
          <w:tbl>
            <w:tblPr>
              <w:tblStyle w:val="28"/>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504"/>
              <w:gridCol w:w="1505"/>
              <w:gridCol w:w="1103"/>
              <w:gridCol w:w="1237"/>
              <w:gridCol w:w="1237"/>
              <w:gridCol w:w="922"/>
            </w:tblGrid>
            <w:tr w14:paraId="112F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08B47A7E">
                  <w:pPr>
                    <w:autoSpaceDE w:val="0"/>
                    <w:autoSpaceDN w:val="0"/>
                    <w:adjustRightInd w:val="0"/>
                    <w:snapToGrid w:val="0"/>
                    <w:jc w:val="center"/>
                    <w:rPr>
                      <w:szCs w:val="21"/>
                    </w:rPr>
                  </w:pPr>
                  <w:r>
                    <w:rPr>
                      <w:szCs w:val="21"/>
                    </w:rPr>
                    <w:t>序号</w:t>
                  </w:r>
                </w:p>
              </w:tc>
              <w:tc>
                <w:tcPr>
                  <w:tcW w:w="3009" w:type="dxa"/>
                  <w:gridSpan w:val="2"/>
                  <w:noWrap/>
                  <w:vAlign w:val="center"/>
                </w:tcPr>
                <w:p w14:paraId="59D7305C">
                  <w:pPr>
                    <w:autoSpaceDE w:val="0"/>
                    <w:autoSpaceDN w:val="0"/>
                    <w:adjustRightInd w:val="0"/>
                    <w:snapToGrid w:val="0"/>
                    <w:jc w:val="center"/>
                    <w:rPr>
                      <w:szCs w:val="21"/>
                    </w:rPr>
                  </w:pPr>
                  <w:r>
                    <w:rPr>
                      <w:szCs w:val="21"/>
                    </w:rPr>
                    <w:t>产品名称</w:t>
                  </w:r>
                </w:p>
              </w:tc>
              <w:tc>
                <w:tcPr>
                  <w:tcW w:w="1103" w:type="dxa"/>
                  <w:noWrap/>
                  <w:vAlign w:val="center"/>
                </w:tcPr>
                <w:p w14:paraId="42AFA8B0">
                  <w:pPr>
                    <w:autoSpaceDE w:val="0"/>
                    <w:autoSpaceDN w:val="0"/>
                    <w:adjustRightInd w:val="0"/>
                    <w:snapToGrid w:val="0"/>
                    <w:jc w:val="center"/>
                    <w:rPr>
                      <w:szCs w:val="21"/>
                    </w:rPr>
                  </w:pPr>
                  <w:r>
                    <w:rPr>
                      <w:szCs w:val="21"/>
                    </w:rPr>
                    <w:t>单位</w:t>
                  </w:r>
                </w:p>
              </w:tc>
              <w:tc>
                <w:tcPr>
                  <w:tcW w:w="1237" w:type="dxa"/>
                  <w:noWrap/>
                  <w:vAlign w:val="center"/>
                </w:tcPr>
                <w:p w14:paraId="19066682">
                  <w:pPr>
                    <w:autoSpaceDE w:val="0"/>
                    <w:autoSpaceDN w:val="0"/>
                    <w:adjustRightInd w:val="0"/>
                    <w:snapToGrid w:val="0"/>
                    <w:jc w:val="center"/>
                    <w:rPr>
                      <w:szCs w:val="21"/>
                    </w:rPr>
                  </w:pPr>
                  <w:r>
                    <w:rPr>
                      <w:szCs w:val="21"/>
                    </w:rPr>
                    <w:t>产能</w:t>
                  </w:r>
                  <w:r>
                    <w:rPr>
                      <w:rFonts w:hint="eastAsia"/>
                      <w:bCs/>
                      <w:szCs w:val="21"/>
                    </w:rPr>
                    <w:t>（</w:t>
                  </w:r>
                  <w:r>
                    <w:rPr>
                      <w:rFonts w:hint="eastAsia"/>
                      <w:bCs/>
                      <w:szCs w:val="21"/>
                      <w:lang w:eastAsia="zh-CN"/>
                    </w:rPr>
                    <w:t>技改</w:t>
                  </w:r>
                  <w:r>
                    <w:rPr>
                      <w:bCs/>
                      <w:szCs w:val="21"/>
                    </w:rPr>
                    <w:t>前</w:t>
                  </w:r>
                  <w:r>
                    <w:rPr>
                      <w:rFonts w:hint="eastAsia"/>
                      <w:bCs/>
                      <w:szCs w:val="21"/>
                    </w:rPr>
                    <w:t>）</w:t>
                  </w:r>
                </w:p>
              </w:tc>
              <w:tc>
                <w:tcPr>
                  <w:tcW w:w="1237" w:type="dxa"/>
                  <w:noWrap/>
                  <w:vAlign w:val="center"/>
                </w:tcPr>
                <w:p w14:paraId="61AB5047">
                  <w:pPr>
                    <w:autoSpaceDE w:val="0"/>
                    <w:autoSpaceDN w:val="0"/>
                    <w:adjustRightInd w:val="0"/>
                    <w:snapToGrid w:val="0"/>
                    <w:jc w:val="center"/>
                    <w:rPr>
                      <w:szCs w:val="21"/>
                    </w:rPr>
                  </w:pPr>
                  <w:r>
                    <w:rPr>
                      <w:szCs w:val="21"/>
                    </w:rPr>
                    <w:t>产能</w:t>
                  </w:r>
                  <w:r>
                    <w:rPr>
                      <w:rFonts w:hint="eastAsia"/>
                      <w:bCs/>
                      <w:szCs w:val="21"/>
                    </w:rPr>
                    <w:t>（</w:t>
                  </w:r>
                  <w:r>
                    <w:rPr>
                      <w:rFonts w:hint="eastAsia"/>
                      <w:bCs/>
                      <w:szCs w:val="21"/>
                      <w:lang w:eastAsia="zh-CN"/>
                    </w:rPr>
                    <w:t>技改</w:t>
                  </w:r>
                  <w:r>
                    <w:rPr>
                      <w:rFonts w:hint="eastAsia"/>
                      <w:bCs/>
                      <w:szCs w:val="21"/>
                    </w:rPr>
                    <w:t>后）</w:t>
                  </w:r>
                </w:p>
              </w:tc>
              <w:tc>
                <w:tcPr>
                  <w:tcW w:w="922" w:type="dxa"/>
                  <w:noWrap/>
                  <w:vAlign w:val="center"/>
                </w:tcPr>
                <w:p w14:paraId="752577F5">
                  <w:pPr>
                    <w:autoSpaceDE w:val="0"/>
                    <w:autoSpaceDN w:val="0"/>
                    <w:snapToGrid w:val="0"/>
                    <w:spacing w:before="48" w:beforeLines="20"/>
                    <w:jc w:val="center"/>
                    <w:rPr>
                      <w:szCs w:val="21"/>
                    </w:rPr>
                  </w:pPr>
                  <w:r>
                    <w:rPr>
                      <w:szCs w:val="21"/>
                    </w:rPr>
                    <w:t>产能变化</w:t>
                  </w:r>
                </w:p>
              </w:tc>
            </w:tr>
            <w:tr w14:paraId="3350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442436E8">
                  <w:pPr>
                    <w:adjustRightInd w:val="0"/>
                    <w:snapToGrid w:val="0"/>
                    <w:jc w:val="center"/>
                    <w:rPr>
                      <w:szCs w:val="21"/>
                    </w:rPr>
                  </w:pPr>
                  <w:r>
                    <w:rPr>
                      <w:color w:val="auto"/>
                      <w:szCs w:val="21"/>
                    </w:rPr>
                    <w:t>1</w:t>
                  </w:r>
                </w:p>
              </w:tc>
              <w:tc>
                <w:tcPr>
                  <w:tcW w:w="1504" w:type="dxa"/>
                  <w:vMerge w:val="restart"/>
                  <w:noWrap/>
                  <w:vAlign w:val="center"/>
                </w:tcPr>
                <w:p w14:paraId="332C9FB7">
                  <w:pPr>
                    <w:adjustRightInd w:val="0"/>
                    <w:snapToGrid w:val="0"/>
                    <w:jc w:val="center"/>
                    <w:rPr>
                      <w:szCs w:val="21"/>
                    </w:rPr>
                  </w:pPr>
                  <w:r>
                    <w:rPr>
                      <w:rFonts w:hint="eastAsia"/>
                      <w:color w:val="auto"/>
                      <w:szCs w:val="21"/>
                      <w:lang w:eastAsia="zh-CN"/>
                    </w:rPr>
                    <w:t>免烧砖</w:t>
                  </w:r>
                </w:p>
              </w:tc>
              <w:tc>
                <w:tcPr>
                  <w:tcW w:w="1505" w:type="dxa"/>
                  <w:noWrap/>
                  <w:vAlign w:val="center"/>
                </w:tcPr>
                <w:p w14:paraId="60F8DAEF">
                  <w:pPr>
                    <w:adjustRightInd w:val="0"/>
                    <w:snapToGrid w:val="0"/>
                    <w:jc w:val="center"/>
                    <w:rPr>
                      <w:kern w:val="0"/>
                      <w:szCs w:val="21"/>
                    </w:rPr>
                  </w:pPr>
                  <w:r>
                    <w:rPr>
                      <w:rFonts w:ascii="宋体" w:hAnsi="宋体" w:cs="宋体"/>
                      <w:color w:val="auto"/>
                      <w:szCs w:val="21"/>
                    </w:rPr>
                    <w:t>高速护坡砖</w:t>
                  </w:r>
                </w:p>
              </w:tc>
              <w:tc>
                <w:tcPr>
                  <w:tcW w:w="1103" w:type="dxa"/>
                  <w:vMerge w:val="restart"/>
                  <w:noWrap/>
                  <w:vAlign w:val="center"/>
                </w:tcPr>
                <w:p w14:paraId="2595C04B">
                  <w:pPr>
                    <w:autoSpaceDE w:val="0"/>
                    <w:autoSpaceDN w:val="0"/>
                    <w:adjustRightInd w:val="0"/>
                    <w:snapToGrid w:val="0"/>
                    <w:jc w:val="center"/>
                    <w:rPr>
                      <w:rFonts w:hint="default" w:eastAsia="宋体"/>
                      <w:kern w:val="0"/>
                      <w:szCs w:val="21"/>
                      <w:lang w:val="en-US" w:eastAsia="zh-CN"/>
                    </w:rPr>
                  </w:pPr>
                  <w:r>
                    <w:rPr>
                      <w:rFonts w:hint="eastAsia"/>
                      <w:kern w:val="0"/>
                      <w:szCs w:val="21"/>
                      <w:lang w:eastAsia="zh-CN"/>
                    </w:rPr>
                    <w:t>万块</w:t>
                  </w:r>
                  <w:r>
                    <w:rPr>
                      <w:rFonts w:hint="eastAsia"/>
                      <w:kern w:val="0"/>
                      <w:szCs w:val="21"/>
                      <w:lang w:val="en-US" w:eastAsia="zh-CN"/>
                    </w:rPr>
                    <w:t>/a</w:t>
                  </w:r>
                </w:p>
              </w:tc>
              <w:tc>
                <w:tcPr>
                  <w:tcW w:w="1237" w:type="dxa"/>
                  <w:noWrap/>
                  <w:vAlign w:val="center"/>
                </w:tcPr>
                <w:p w14:paraId="0A12F6C6">
                  <w:pPr>
                    <w:adjustRightInd w:val="0"/>
                    <w:snapToGrid w:val="0"/>
                    <w:jc w:val="center"/>
                    <w:rPr>
                      <w:szCs w:val="21"/>
                    </w:rPr>
                  </w:pPr>
                  <w:r>
                    <w:rPr>
                      <w:rFonts w:hint="eastAsia"/>
                      <w:b w:val="0"/>
                      <w:bCs w:val="0"/>
                      <w:color w:val="auto"/>
                      <w:szCs w:val="21"/>
                    </w:rPr>
                    <w:t>4000</w:t>
                  </w:r>
                </w:p>
              </w:tc>
              <w:tc>
                <w:tcPr>
                  <w:tcW w:w="1237" w:type="dxa"/>
                  <w:noWrap/>
                  <w:vAlign w:val="center"/>
                </w:tcPr>
                <w:p w14:paraId="29BA176C">
                  <w:pPr>
                    <w:adjustRightInd w:val="0"/>
                    <w:snapToGrid w:val="0"/>
                    <w:jc w:val="center"/>
                    <w:rPr>
                      <w:szCs w:val="21"/>
                    </w:rPr>
                  </w:pPr>
                  <w:r>
                    <w:rPr>
                      <w:rFonts w:hint="eastAsia"/>
                      <w:b w:val="0"/>
                      <w:bCs w:val="0"/>
                      <w:color w:val="auto"/>
                      <w:szCs w:val="21"/>
                      <w:lang w:val="en-US" w:eastAsia="zh-CN"/>
                    </w:rPr>
                    <w:t>1333</w:t>
                  </w:r>
                </w:p>
              </w:tc>
              <w:tc>
                <w:tcPr>
                  <w:tcW w:w="922" w:type="dxa"/>
                  <w:noWrap/>
                  <w:vAlign w:val="center"/>
                </w:tcPr>
                <w:p w14:paraId="51302BB0">
                  <w:pPr>
                    <w:widowControl/>
                    <w:snapToGrid w:val="0"/>
                    <w:spacing w:before="48" w:beforeLines="20"/>
                    <w:jc w:val="center"/>
                    <w:textAlignment w:val="center"/>
                    <w:rPr>
                      <w:rFonts w:hint="default" w:eastAsia="宋体"/>
                      <w:szCs w:val="21"/>
                      <w:lang w:val="en-US" w:eastAsia="zh-CN"/>
                    </w:rPr>
                  </w:pPr>
                  <w:r>
                    <w:rPr>
                      <w:rFonts w:hint="eastAsia"/>
                      <w:szCs w:val="21"/>
                      <w:lang w:val="en-US" w:eastAsia="zh-CN"/>
                    </w:rPr>
                    <w:t>-2667</w:t>
                  </w:r>
                </w:p>
              </w:tc>
            </w:tr>
            <w:tr w14:paraId="2EEE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67CBA727">
                  <w:pPr>
                    <w:adjustRightInd w:val="0"/>
                    <w:snapToGrid w:val="0"/>
                    <w:jc w:val="center"/>
                    <w:rPr>
                      <w:rFonts w:hint="eastAsia"/>
                      <w:szCs w:val="21"/>
                    </w:rPr>
                  </w:pPr>
                  <w:r>
                    <w:rPr>
                      <w:color w:val="auto"/>
                      <w:szCs w:val="21"/>
                    </w:rPr>
                    <w:t>2</w:t>
                  </w:r>
                </w:p>
              </w:tc>
              <w:tc>
                <w:tcPr>
                  <w:tcW w:w="1504" w:type="dxa"/>
                  <w:vMerge w:val="continue"/>
                  <w:noWrap/>
                  <w:vAlign w:val="center"/>
                </w:tcPr>
                <w:p w14:paraId="589B2342">
                  <w:pPr>
                    <w:adjustRightInd w:val="0"/>
                    <w:snapToGrid w:val="0"/>
                    <w:jc w:val="center"/>
                    <w:rPr>
                      <w:kern w:val="0"/>
                      <w:szCs w:val="21"/>
                    </w:rPr>
                  </w:pPr>
                </w:p>
              </w:tc>
              <w:tc>
                <w:tcPr>
                  <w:tcW w:w="1505" w:type="dxa"/>
                  <w:vMerge w:val="restart"/>
                  <w:noWrap/>
                  <w:vAlign w:val="center"/>
                </w:tcPr>
                <w:p w14:paraId="1DEA3E05">
                  <w:pPr>
                    <w:adjustRightInd w:val="0"/>
                    <w:snapToGrid w:val="0"/>
                    <w:jc w:val="center"/>
                    <w:rPr>
                      <w:rFonts w:hint="eastAsia"/>
                      <w:kern w:val="0"/>
                      <w:szCs w:val="21"/>
                    </w:rPr>
                  </w:pPr>
                  <w:r>
                    <w:rPr>
                      <w:rFonts w:hint="eastAsia"/>
                      <w:color w:val="auto"/>
                      <w:szCs w:val="21"/>
                    </w:rPr>
                    <w:t>各类生态路面环保砖</w:t>
                  </w:r>
                </w:p>
              </w:tc>
              <w:tc>
                <w:tcPr>
                  <w:tcW w:w="1103" w:type="dxa"/>
                  <w:vMerge w:val="continue"/>
                  <w:noWrap/>
                  <w:vAlign w:val="center"/>
                </w:tcPr>
                <w:p w14:paraId="363F5AD2">
                  <w:pPr>
                    <w:autoSpaceDE w:val="0"/>
                    <w:autoSpaceDN w:val="0"/>
                    <w:adjustRightInd w:val="0"/>
                    <w:snapToGrid w:val="0"/>
                    <w:jc w:val="center"/>
                    <w:rPr>
                      <w:kern w:val="0"/>
                      <w:szCs w:val="21"/>
                    </w:rPr>
                  </w:pPr>
                </w:p>
              </w:tc>
              <w:tc>
                <w:tcPr>
                  <w:tcW w:w="1237" w:type="dxa"/>
                  <w:noWrap/>
                  <w:vAlign w:val="center"/>
                </w:tcPr>
                <w:p w14:paraId="11245C7E">
                  <w:pPr>
                    <w:adjustRightInd w:val="0"/>
                    <w:snapToGrid w:val="0"/>
                    <w:jc w:val="center"/>
                    <w:rPr>
                      <w:rFonts w:hint="eastAsia"/>
                      <w:kern w:val="0"/>
                      <w:szCs w:val="21"/>
                    </w:rPr>
                  </w:pPr>
                  <w:r>
                    <w:rPr>
                      <w:rFonts w:hint="eastAsia"/>
                      <w:b w:val="0"/>
                      <w:bCs w:val="0"/>
                      <w:color w:val="auto"/>
                      <w:szCs w:val="21"/>
                      <w:lang w:val="en-US" w:eastAsia="zh-CN"/>
                    </w:rPr>
                    <w:t>500</w:t>
                  </w:r>
                </w:p>
              </w:tc>
              <w:tc>
                <w:tcPr>
                  <w:tcW w:w="1237" w:type="dxa"/>
                  <w:noWrap/>
                  <w:vAlign w:val="center"/>
                </w:tcPr>
                <w:p w14:paraId="3422DFE4">
                  <w:pPr>
                    <w:adjustRightInd w:val="0"/>
                    <w:snapToGrid w:val="0"/>
                    <w:jc w:val="center"/>
                    <w:rPr>
                      <w:rFonts w:hint="eastAsia"/>
                      <w:szCs w:val="21"/>
                    </w:rPr>
                  </w:pPr>
                  <w:r>
                    <w:rPr>
                      <w:rFonts w:hint="eastAsia"/>
                      <w:b w:val="0"/>
                      <w:bCs w:val="0"/>
                      <w:color w:val="auto"/>
                      <w:szCs w:val="21"/>
                      <w:lang w:val="en-US" w:eastAsia="zh-CN"/>
                    </w:rPr>
                    <w:t>167</w:t>
                  </w:r>
                </w:p>
              </w:tc>
              <w:tc>
                <w:tcPr>
                  <w:tcW w:w="922" w:type="dxa"/>
                  <w:noWrap/>
                  <w:vAlign w:val="center"/>
                </w:tcPr>
                <w:p w14:paraId="0177D0EF">
                  <w:pPr>
                    <w:widowControl/>
                    <w:snapToGrid w:val="0"/>
                    <w:spacing w:before="48" w:beforeLines="20"/>
                    <w:jc w:val="center"/>
                    <w:textAlignment w:val="center"/>
                    <w:rPr>
                      <w:rFonts w:hint="default" w:eastAsia="宋体"/>
                      <w:kern w:val="0"/>
                      <w:szCs w:val="21"/>
                      <w:lang w:val="en-US" w:eastAsia="zh-CN"/>
                    </w:rPr>
                  </w:pPr>
                  <w:r>
                    <w:rPr>
                      <w:rFonts w:hint="eastAsia"/>
                      <w:kern w:val="0"/>
                      <w:szCs w:val="21"/>
                      <w:lang w:val="en-US" w:eastAsia="zh-CN"/>
                    </w:rPr>
                    <w:t>-333</w:t>
                  </w:r>
                </w:p>
              </w:tc>
            </w:tr>
            <w:tr w14:paraId="68C2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6DCBB8AC">
                  <w:pPr>
                    <w:adjustRightInd w:val="0"/>
                    <w:snapToGrid w:val="0"/>
                    <w:jc w:val="center"/>
                    <w:rPr>
                      <w:szCs w:val="21"/>
                    </w:rPr>
                  </w:pPr>
                  <w:r>
                    <w:rPr>
                      <w:rFonts w:hint="eastAsia"/>
                      <w:color w:val="auto"/>
                      <w:szCs w:val="21"/>
                      <w:lang w:val="en-US" w:eastAsia="zh-CN"/>
                    </w:rPr>
                    <w:t>3</w:t>
                  </w:r>
                </w:p>
              </w:tc>
              <w:tc>
                <w:tcPr>
                  <w:tcW w:w="1504" w:type="dxa"/>
                  <w:vMerge w:val="continue"/>
                  <w:noWrap/>
                  <w:vAlign w:val="center"/>
                </w:tcPr>
                <w:p w14:paraId="58FF3011">
                  <w:pPr>
                    <w:adjustRightInd w:val="0"/>
                    <w:snapToGrid w:val="0"/>
                    <w:jc w:val="center"/>
                    <w:rPr>
                      <w:kern w:val="0"/>
                      <w:szCs w:val="21"/>
                    </w:rPr>
                  </w:pPr>
                </w:p>
              </w:tc>
              <w:tc>
                <w:tcPr>
                  <w:tcW w:w="1505" w:type="dxa"/>
                  <w:vMerge w:val="continue"/>
                  <w:noWrap/>
                  <w:vAlign w:val="center"/>
                </w:tcPr>
                <w:p w14:paraId="3F953F9B">
                  <w:pPr>
                    <w:adjustRightInd w:val="0"/>
                    <w:snapToGrid w:val="0"/>
                    <w:jc w:val="center"/>
                    <w:rPr>
                      <w:kern w:val="0"/>
                      <w:szCs w:val="21"/>
                    </w:rPr>
                  </w:pPr>
                </w:p>
              </w:tc>
              <w:tc>
                <w:tcPr>
                  <w:tcW w:w="1103" w:type="dxa"/>
                  <w:vMerge w:val="continue"/>
                  <w:noWrap/>
                  <w:vAlign w:val="center"/>
                </w:tcPr>
                <w:p w14:paraId="44F0C2A2">
                  <w:pPr>
                    <w:autoSpaceDE w:val="0"/>
                    <w:autoSpaceDN w:val="0"/>
                    <w:adjustRightInd w:val="0"/>
                    <w:snapToGrid w:val="0"/>
                    <w:jc w:val="center"/>
                    <w:rPr>
                      <w:kern w:val="0"/>
                      <w:szCs w:val="21"/>
                    </w:rPr>
                  </w:pPr>
                </w:p>
              </w:tc>
              <w:tc>
                <w:tcPr>
                  <w:tcW w:w="1237" w:type="dxa"/>
                  <w:noWrap/>
                  <w:vAlign w:val="center"/>
                </w:tcPr>
                <w:p w14:paraId="0C1F94CC">
                  <w:pPr>
                    <w:adjustRightInd w:val="0"/>
                    <w:snapToGrid w:val="0"/>
                    <w:jc w:val="center"/>
                    <w:rPr>
                      <w:kern w:val="0"/>
                      <w:szCs w:val="21"/>
                    </w:rPr>
                  </w:pPr>
                  <w:r>
                    <w:rPr>
                      <w:rFonts w:hint="eastAsia"/>
                      <w:b w:val="0"/>
                      <w:bCs w:val="0"/>
                      <w:color w:val="auto"/>
                      <w:szCs w:val="21"/>
                      <w:lang w:val="en-US" w:eastAsia="zh-CN"/>
                    </w:rPr>
                    <w:t>500</w:t>
                  </w:r>
                </w:p>
              </w:tc>
              <w:tc>
                <w:tcPr>
                  <w:tcW w:w="1237" w:type="dxa"/>
                  <w:noWrap/>
                  <w:vAlign w:val="center"/>
                </w:tcPr>
                <w:p w14:paraId="03309F19">
                  <w:pPr>
                    <w:adjustRightInd w:val="0"/>
                    <w:snapToGrid w:val="0"/>
                    <w:jc w:val="center"/>
                    <w:rPr>
                      <w:szCs w:val="21"/>
                    </w:rPr>
                  </w:pPr>
                  <w:r>
                    <w:rPr>
                      <w:rFonts w:hint="eastAsia"/>
                      <w:b w:val="0"/>
                      <w:bCs w:val="0"/>
                      <w:color w:val="auto"/>
                      <w:szCs w:val="21"/>
                      <w:lang w:val="en-US" w:eastAsia="zh-CN"/>
                    </w:rPr>
                    <w:t>166</w:t>
                  </w:r>
                </w:p>
              </w:tc>
              <w:tc>
                <w:tcPr>
                  <w:tcW w:w="922" w:type="dxa"/>
                  <w:noWrap/>
                  <w:vAlign w:val="center"/>
                </w:tcPr>
                <w:p w14:paraId="4322FF37">
                  <w:pPr>
                    <w:widowControl/>
                    <w:snapToGrid w:val="0"/>
                    <w:spacing w:before="48" w:beforeLines="20"/>
                    <w:jc w:val="center"/>
                    <w:textAlignment w:val="center"/>
                    <w:rPr>
                      <w:rFonts w:hint="default" w:eastAsia="宋体"/>
                      <w:kern w:val="0"/>
                      <w:szCs w:val="21"/>
                      <w:lang w:val="en-US" w:eastAsia="zh-CN"/>
                    </w:rPr>
                  </w:pPr>
                  <w:r>
                    <w:rPr>
                      <w:rFonts w:hint="eastAsia"/>
                      <w:kern w:val="0"/>
                      <w:szCs w:val="21"/>
                      <w:lang w:val="en-US" w:eastAsia="zh-CN"/>
                    </w:rPr>
                    <w:t>-334</w:t>
                  </w:r>
                </w:p>
              </w:tc>
            </w:tr>
            <w:tr w14:paraId="62A9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054F5DBE">
                  <w:pPr>
                    <w:jc w:val="center"/>
                    <w:rPr>
                      <w:rFonts w:hint="eastAsia" w:eastAsia="宋体"/>
                      <w:szCs w:val="21"/>
                      <w:lang w:eastAsia="zh-CN"/>
                    </w:rPr>
                  </w:pPr>
                  <w:r>
                    <w:rPr>
                      <w:rFonts w:hint="eastAsia"/>
                      <w:szCs w:val="21"/>
                      <w:lang w:val="en-US" w:eastAsia="zh-CN"/>
                    </w:rPr>
                    <w:t>4</w:t>
                  </w:r>
                </w:p>
              </w:tc>
              <w:tc>
                <w:tcPr>
                  <w:tcW w:w="3009" w:type="dxa"/>
                  <w:gridSpan w:val="2"/>
                  <w:noWrap/>
                  <w:vAlign w:val="center"/>
                </w:tcPr>
                <w:p w14:paraId="509B1C0B">
                  <w:pPr>
                    <w:tabs>
                      <w:tab w:val="left" w:pos="332"/>
                    </w:tabs>
                    <w:jc w:val="center"/>
                    <w:rPr>
                      <w:rFonts w:hint="eastAsia" w:eastAsia="宋体"/>
                      <w:kern w:val="0"/>
                      <w:szCs w:val="21"/>
                      <w:lang w:eastAsia="zh-CN"/>
                    </w:rPr>
                  </w:pPr>
                  <w:r>
                    <w:rPr>
                      <w:rFonts w:hint="eastAsia"/>
                      <w:kern w:val="0"/>
                      <w:szCs w:val="21"/>
                      <w:lang w:eastAsia="zh-CN"/>
                    </w:rPr>
                    <w:t>固化土</w:t>
                  </w:r>
                </w:p>
              </w:tc>
              <w:tc>
                <w:tcPr>
                  <w:tcW w:w="1103" w:type="dxa"/>
                  <w:noWrap/>
                  <w:vAlign w:val="center"/>
                </w:tcPr>
                <w:p w14:paraId="33AA3134">
                  <w:pPr>
                    <w:autoSpaceDE w:val="0"/>
                    <w:autoSpaceDN w:val="0"/>
                    <w:adjustRightInd w:val="0"/>
                    <w:snapToGrid w:val="0"/>
                    <w:jc w:val="center"/>
                    <w:rPr>
                      <w:szCs w:val="21"/>
                    </w:rPr>
                  </w:pPr>
                  <w:r>
                    <w:rPr>
                      <w:kern w:val="0"/>
                      <w:szCs w:val="21"/>
                    </w:rPr>
                    <w:t>t/a</w:t>
                  </w:r>
                </w:p>
              </w:tc>
              <w:tc>
                <w:tcPr>
                  <w:tcW w:w="1237" w:type="dxa"/>
                  <w:noWrap/>
                  <w:vAlign w:val="center"/>
                </w:tcPr>
                <w:p w14:paraId="12CFFDC1">
                  <w:pPr>
                    <w:autoSpaceDE w:val="0"/>
                    <w:autoSpaceDN w:val="0"/>
                    <w:adjustRightInd w:val="0"/>
                    <w:snapToGrid w:val="0"/>
                    <w:jc w:val="center"/>
                    <w:rPr>
                      <w:rFonts w:hint="eastAsia" w:eastAsia="宋体"/>
                      <w:szCs w:val="21"/>
                      <w:lang w:eastAsia="zh-CN"/>
                    </w:rPr>
                  </w:pPr>
                  <w:r>
                    <w:rPr>
                      <w:rFonts w:hint="eastAsia"/>
                      <w:kern w:val="0"/>
                      <w:szCs w:val="21"/>
                      <w:lang w:val="en-US" w:eastAsia="zh-CN"/>
                    </w:rPr>
                    <w:t>0</w:t>
                  </w:r>
                </w:p>
              </w:tc>
              <w:tc>
                <w:tcPr>
                  <w:tcW w:w="1237" w:type="dxa"/>
                  <w:noWrap/>
                  <w:vAlign w:val="center"/>
                </w:tcPr>
                <w:p w14:paraId="7E4D1B7D">
                  <w:pPr>
                    <w:jc w:val="center"/>
                    <w:rPr>
                      <w:rFonts w:hint="default" w:eastAsia="宋体"/>
                      <w:szCs w:val="21"/>
                      <w:lang w:val="en-US" w:eastAsia="zh-CN"/>
                    </w:rPr>
                  </w:pPr>
                  <w:r>
                    <w:rPr>
                      <w:rFonts w:hint="eastAsia"/>
                      <w:szCs w:val="21"/>
                      <w:lang w:val="en-US" w:eastAsia="zh-CN"/>
                    </w:rPr>
                    <w:t>30000</w:t>
                  </w:r>
                </w:p>
              </w:tc>
              <w:tc>
                <w:tcPr>
                  <w:tcW w:w="922" w:type="dxa"/>
                  <w:noWrap/>
                  <w:vAlign w:val="center"/>
                </w:tcPr>
                <w:p w14:paraId="39B5EC28">
                  <w:pPr>
                    <w:widowControl/>
                    <w:snapToGrid w:val="0"/>
                    <w:spacing w:before="48" w:beforeLines="20"/>
                    <w:jc w:val="center"/>
                    <w:textAlignment w:val="center"/>
                    <w:rPr>
                      <w:rFonts w:hint="default" w:eastAsia="宋体"/>
                      <w:szCs w:val="21"/>
                      <w:lang w:val="en-US" w:eastAsia="zh-CN"/>
                    </w:rPr>
                  </w:pPr>
                  <w:r>
                    <w:rPr>
                      <w:rFonts w:hint="eastAsia"/>
                      <w:szCs w:val="21"/>
                    </w:rPr>
                    <w:t>+</w:t>
                  </w:r>
                  <w:r>
                    <w:rPr>
                      <w:rFonts w:hint="eastAsia"/>
                      <w:szCs w:val="21"/>
                      <w:lang w:val="en-US" w:eastAsia="zh-CN"/>
                    </w:rPr>
                    <w:t>30000</w:t>
                  </w:r>
                </w:p>
              </w:tc>
            </w:tr>
            <w:tr w14:paraId="3447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6F329D1F">
                  <w:pPr>
                    <w:jc w:val="center"/>
                    <w:rPr>
                      <w:rFonts w:hint="eastAsia" w:eastAsia="宋体"/>
                      <w:szCs w:val="21"/>
                      <w:lang w:val="en-US" w:eastAsia="zh-CN"/>
                    </w:rPr>
                  </w:pPr>
                  <w:r>
                    <w:rPr>
                      <w:rFonts w:hint="eastAsia"/>
                      <w:szCs w:val="21"/>
                      <w:lang w:val="en-US" w:eastAsia="zh-CN"/>
                    </w:rPr>
                    <w:t>5</w:t>
                  </w:r>
                </w:p>
              </w:tc>
              <w:tc>
                <w:tcPr>
                  <w:tcW w:w="3009" w:type="dxa"/>
                  <w:gridSpan w:val="2"/>
                  <w:noWrap/>
                  <w:vAlign w:val="center"/>
                </w:tcPr>
                <w:p w14:paraId="084BF0C5">
                  <w:pPr>
                    <w:tabs>
                      <w:tab w:val="left" w:pos="332"/>
                    </w:tabs>
                    <w:jc w:val="center"/>
                    <w:rPr>
                      <w:rFonts w:hint="eastAsia" w:eastAsia="宋体"/>
                      <w:kern w:val="0"/>
                      <w:szCs w:val="21"/>
                      <w:lang w:eastAsia="zh-CN"/>
                    </w:rPr>
                  </w:pPr>
                  <w:r>
                    <w:rPr>
                      <w:rFonts w:hint="eastAsia"/>
                      <w:kern w:val="0"/>
                      <w:szCs w:val="21"/>
                      <w:lang w:eastAsia="zh-CN"/>
                    </w:rPr>
                    <w:t>回填土</w:t>
                  </w:r>
                </w:p>
              </w:tc>
              <w:tc>
                <w:tcPr>
                  <w:tcW w:w="1103" w:type="dxa"/>
                  <w:noWrap/>
                  <w:vAlign w:val="center"/>
                </w:tcPr>
                <w:p w14:paraId="49506AF2">
                  <w:pPr>
                    <w:autoSpaceDE w:val="0"/>
                    <w:autoSpaceDN w:val="0"/>
                    <w:adjustRightInd w:val="0"/>
                    <w:snapToGrid w:val="0"/>
                    <w:jc w:val="center"/>
                    <w:rPr>
                      <w:kern w:val="0"/>
                      <w:szCs w:val="21"/>
                    </w:rPr>
                  </w:pPr>
                  <w:r>
                    <w:rPr>
                      <w:kern w:val="0"/>
                      <w:szCs w:val="21"/>
                    </w:rPr>
                    <w:t>t/a</w:t>
                  </w:r>
                </w:p>
              </w:tc>
              <w:tc>
                <w:tcPr>
                  <w:tcW w:w="1237" w:type="dxa"/>
                  <w:noWrap/>
                  <w:vAlign w:val="center"/>
                </w:tcPr>
                <w:p w14:paraId="1D14A0E3">
                  <w:pPr>
                    <w:autoSpaceDE w:val="0"/>
                    <w:autoSpaceDN w:val="0"/>
                    <w:adjustRightInd w:val="0"/>
                    <w:snapToGrid w:val="0"/>
                    <w:jc w:val="center"/>
                    <w:rPr>
                      <w:kern w:val="0"/>
                      <w:szCs w:val="21"/>
                    </w:rPr>
                  </w:pPr>
                  <w:r>
                    <w:rPr>
                      <w:rFonts w:hint="eastAsia"/>
                      <w:kern w:val="0"/>
                      <w:szCs w:val="21"/>
                    </w:rPr>
                    <w:t>0</w:t>
                  </w:r>
                </w:p>
              </w:tc>
              <w:tc>
                <w:tcPr>
                  <w:tcW w:w="1237" w:type="dxa"/>
                  <w:noWrap/>
                  <w:vAlign w:val="center"/>
                </w:tcPr>
                <w:p w14:paraId="2BCDD880">
                  <w:pPr>
                    <w:jc w:val="center"/>
                    <w:rPr>
                      <w:szCs w:val="21"/>
                    </w:rPr>
                  </w:pPr>
                  <w:r>
                    <w:rPr>
                      <w:rFonts w:hint="eastAsia"/>
                      <w:szCs w:val="21"/>
                      <w:lang w:val="en-US" w:eastAsia="zh-CN"/>
                    </w:rPr>
                    <w:t>30000</w:t>
                  </w:r>
                </w:p>
              </w:tc>
              <w:tc>
                <w:tcPr>
                  <w:tcW w:w="922" w:type="dxa"/>
                  <w:noWrap/>
                  <w:vAlign w:val="center"/>
                </w:tcPr>
                <w:p w14:paraId="2512A233">
                  <w:pPr>
                    <w:widowControl/>
                    <w:snapToGrid w:val="0"/>
                    <w:spacing w:before="48" w:beforeLines="20"/>
                    <w:jc w:val="center"/>
                    <w:textAlignment w:val="center"/>
                    <w:rPr>
                      <w:szCs w:val="21"/>
                    </w:rPr>
                  </w:pPr>
                  <w:r>
                    <w:rPr>
                      <w:rFonts w:hint="eastAsia"/>
                      <w:szCs w:val="21"/>
                    </w:rPr>
                    <w:t>+</w:t>
                  </w:r>
                  <w:r>
                    <w:rPr>
                      <w:rFonts w:hint="eastAsia"/>
                      <w:szCs w:val="21"/>
                      <w:lang w:val="en-US" w:eastAsia="zh-CN"/>
                    </w:rPr>
                    <w:t>30000</w:t>
                  </w:r>
                </w:p>
              </w:tc>
            </w:tr>
            <w:tr w14:paraId="57C8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003A07F5">
                  <w:pPr>
                    <w:jc w:val="center"/>
                    <w:rPr>
                      <w:rFonts w:hint="eastAsia" w:eastAsia="宋体"/>
                      <w:szCs w:val="21"/>
                      <w:lang w:eastAsia="zh-CN"/>
                    </w:rPr>
                  </w:pPr>
                  <w:r>
                    <w:rPr>
                      <w:rFonts w:hint="eastAsia"/>
                      <w:szCs w:val="21"/>
                      <w:lang w:val="en-US" w:eastAsia="zh-CN"/>
                    </w:rPr>
                    <w:t>6</w:t>
                  </w:r>
                </w:p>
              </w:tc>
              <w:tc>
                <w:tcPr>
                  <w:tcW w:w="3009" w:type="dxa"/>
                  <w:gridSpan w:val="2"/>
                  <w:noWrap/>
                  <w:vAlign w:val="center"/>
                </w:tcPr>
                <w:p w14:paraId="671D9A3C">
                  <w:pPr>
                    <w:tabs>
                      <w:tab w:val="left" w:pos="332"/>
                    </w:tabs>
                    <w:jc w:val="center"/>
                    <w:rPr>
                      <w:rFonts w:hint="eastAsia" w:eastAsia="宋体"/>
                      <w:kern w:val="0"/>
                      <w:szCs w:val="21"/>
                      <w:lang w:eastAsia="zh-CN"/>
                    </w:rPr>
                  </w:pPr>
                  <w:r>
                    <w:rPr>
                      <w:rFonts w:hint="eastAsia"/>
                      <w:kern w:val="0"/>
                      <w:szCs w:val="21"/>
                      <w:lang w:eastAsia="zh-CN"/>
                    </w:rPr>
                    <w:t>绿化营养土</w:t>
                  </w:r>
                </w:p>
              </w:tc>
              <w:tc>
                <w:tcPr>
                  <w:tcW w:w="1103" w:type="dxa"/>
                  <w:noWrap/>
                  <w:vAlign w:val="center"/>
                </w:tcPr>
                <w:p w14:paraId="001B0B6D">
                  <w:pPr>
                    <w:autoSpaceDE w:val="0"/>
                    <w:autoSpaceDN w:val="0"/>
                    <w:adjustRightInd w:val="0"/>
                    <w:snapToGrid w:val="0"/>
                    <w:jc w:val="center"/>
                    <w:rPr>
                      <w:kern w:val="0"/>
                      <w:szCs w:val="21"/>
                    </w:rPr>
                  </w:pPr>
                  <w:r>
                    <w:rPr>
                      <w:kern w:val="0"/>
                      <w:szCs w:val="21"/>
                    </w:rPr>
                    <w:t>t/a</w:t>
                  </w:r>
                </w:p>
              </w:tc>
              <w:tc>
                <w:tcPr>
                  <w:tcW w:w="1237" w:type="dxa"/>
                  <w:noWrap/>
                  <w:vAlign w:val="center"/>
                </w:tcPr>
                <w:p w14:paraId="1E88E8BA">
                  <w:pPr>
                    <w:autoSpaceDE w:val="0"/>
                    <w:autoSpaceDN w:val="0"/>
                    <w:adjustRightInd w:val="0"/>
                    <w:snapToGrid w:val="0"/>
                    <w:jc w:val="center"/>
                    <w:rPr>
                      <w:kern w:val="0"/>
                      <w:szCs w:val="21"/>
                    </w:rPr>
                  </w:pPr>
                  <w:r>
                    <w:rPr>
                      <w:rFonts w:hint="eastAsia"/>
                      <w:kern w:val="0"/>
                      <w:szCs w:val="21"/>
                    </w:rPr>
                    <w:t>0</w:t>
                  </w:r>
                </w:p>
              </w:tc>
              <w:tc>
                <w:tcPr>
                  <w:tcW w:w="1237" w:type="dxa"/>
                  <w:noWrap/>
                  <w:vAlign w:val="center"/>
                </w:tcPr>
                <w:p w14:paraId="0A47B310">
                  <w:pPr>
                    <w:jc w:val="center"/>
                    <w:rPr>
                      <w:szCs w:val="21"/>
                    </w:rPr>
                  </w:pPr>
                  <w:r>
                    <w:rPr>
                      <w:rFonts w:hint="eastAsia"/>
                      <w:szCs w:val="21"/>
                      <w:lang w:val="en-US" w:eastAsia="zh-CN"/>
                    </w:rPr>
                    <w:t>20000</w:t>
                  </w:r>
                </w:p>
              </w:tc>
              <w:tc>
                <w:tcPr>
                  <w:tcW w:w="922" w:type="dxa"/>
                  <w:noWrap/>
                  <w:vAlign w:val="center"/>
                </w:tcPr>
                <w:p w14:paraId="612FC00B">
                  <w:pPr>
                    <w:widowControl/>
                    <w:snapToGrid w:val="0"/>
                    <w:spacing w:before="48" w:beforeLines="20"/>
                    <w:jc w:val="center"/>
                    <w:textAlignment w:val="center"/>
                    <w:rPr>
                      <w:szCs w:val="21"/>
                    </w:rPr>
                  </w:pPr>
                  <w:r>
                    <w:rPr>
                      <w:rFonts w:hint="eastAsia"/>
                      <w:szCs w:val="21"/>
                    </w:rPr>
                    <w:t>+</w:t>
                  </w:r>
                  <w:r>
                    <w:rPr>
                      <w:rFonts w:hint="eastAsia"/>
                      <w:szCs w:val="21"/>
                      <w:lang w:val="en-US" w:eastAsia="zh-CN"/>
                    </w:rPr>
                    <w:t>20000</w:t>
                  </w:r>
                </w:p>
              </w:tc>
            </w:tr>
            <w:tr w14:paraId="4389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noWrap/>
                  <w:vAlign w:val="center"/>
                </w:tcPr>
                <w:p w14:paraId="7E6F532A">
                  <w:pPr>
                    <w:jc w:val="center"/>
                    <w:rPr>
                      <w:rFonts w:hint="default"/>
                      <w:szCs w:val="21"/>
                      <w:lang w:val="en-US" w:eastAsia="zh-CN"/>
                    </w:rPr>
                  </w:pPr>
                  <w:r>
                    <w:rPr>
                      <w:rFonts w:hint="eastAsia"/>
                      <w:szCs w:val="21"/>
                      <w:lang w:val="en-US" w:eastAsia="zh-CN"/>
                    </w:rPr>
                    <w:t>7</w:t>
                  </w:r>
                </w:p>
              </w:tc>
              <w:tc>
                <w:tcPr>
                  <w:tcW w:w="3009" w:type="dxa"/>
                  <w:gridSpan w:val="2"/>
                  <w:noWrap/>
                  <w:vAlign w:val="center"/>
                </w:tcPr>
                <w:p w14:paraId="07EDCB01">
                  <w:pPr>
                    <w:tabs>
                      <w:tab w:val="left" w:pos="332"/>
                    </w:tabs>
                    <w:jc w:val="center"/>
                    <w:rPr>
                      <w:rFonts w:hint="eastAsia" w:eastAsia="宋体"/>
                      <w:kern w:val="0"/>
                      <w:szCs w:val="21"/>
                      <w:lang w:eastAsia="zh-CN"/>
                    </w:rPr>
                  </w:pPr>
                  <w:r>
                    <w:rPr>
                      <w:rFonts w:hint="eastAsia"/>
                      <w:kern w:val="0"/>
                      <w:szCs w:val="21"/>
                      <w:lang w:eastAsia="zh-CN"/>
                    </w:rPr>
                    <w:t>污泥颗粒</w:t>
                  </w:r>
                </w:p>
              </w:tc>
              <w:tc>
                <w:tcPr>
                  <w:tcW w:w="1103" w:type="dxa"/>
                  <w:noWrap/>
                  <w:vAlign w:val="center"/>
                </w:tcPr>
                <w:p w14:paraId="4696CF28">
                  <w:pPr>
                    <w:autoSpaceDE w:val="0"/>
                    <w:autoSpaceDN w:val="0"/>
                    <w:adjustRightInd w:val="0"/>
                    <w:snapToGrid w:val="0"/>
                    <w:jc w:val="center"/>
                    <w:rPr>
                      <w:kern w:val="0"/>
                      <w:szCs w:val="21"/>
                    </w:rPr>
                  </w:pPr>
                  <w:r>
                    <w:rPr>
                      <w:kern w:val="0"/>
                      <w:szCs w:val="21"/>
                    </w:rPr>
                    <w:t>t/a</w:t>
                  </w:r>
                </w:p>
              </w:tc>
              <w:tc>
                <w:tcPr>
                  <w:tcW w:w="1237" w:type="dxa"/>
                  <w:noWrap/>
                  <w:vAlign w:val="center"/>
                </w:tcPr>
                <w:p w14:paraId="2A0EC8EE">
                  <w:pPr>
                    <w:autoSpaceDE w:val="0"/>
                    <w:autoSpaceDN w:val="0"/>
                    <w:adjustRightInd w:val="0"/>
                    <w:snapToGrid w:val="0"/>
                    <w:jc w:val="center"/>
                    <w:rPr>
                      <w:rFonts w:hint="eastAsia" w:eastAsia="宋体"/>
                      <w:kern w:val="0"/>
                      <w:szCs w:val="21"/>
                      <w:lang w:val="en-US" w:eastAsia="zh-CN"/>
                    </w:rPr>
                  </w:pPr>
                  <w:r>
                    <w:rPr>
                      <w:rFonts w:hint="eastAsia"/>
                      <w:kern w:val="0"/>
                      <w:szCs w:val="21"/>
                      <w:lang w:val="en-US" w:eastAsia="zh-CN"/>
                    </w:rPr>
                    <w:t>0</w:t>
                  </w:r>
                </w:p>
              </w:tc>
              <w:tc>
                <w:tcPr>
                  <w:tcW w:w="1237" w:type="dxa"/>
                  <w:noWrap/>
                  <w:vAlign w:val="center"/>
                </w:tcPr>
                <w:p w14:paraId="43EAE226">
                  <w:pPr>
                    <w:jc w:val="center"/>
                    <w:rPr>
                      <w:rFonts w:hint="eastAsia"/>
                      <w:szCs w:val="21"/>
                    </w:rPr>
                  </w:pPr>
                  <w:r>
                    <w:rPr>
                      <w:rFonts w:hint="eastAsia"/>
                      <w:szCs w:val="21"/>
                      <w:lang w:val="en-US" w:eastAsia="zh-CN"/>
                    </w:rPr>
                    <w:t>20000</w:t>
                  </w:r>
                </w:p>
              </w:tc>
              <w:tc>
                <w:tcPr>
                  <w:tcW w:w="922" w:type="dxa"/>
                  <w:noWrap/>
                  <w:vAlign w:val="center"/>
                </w:tcPr>
                <w:p w14:paraId="4276E5A6">
                  <w:pPr>
                    <w:widowControl/>
                    <w:snapToGrid w:val="0"/>
                    <w:spacing w:before="48" w:beforeLines="20"/>
                    <w:jc w:val="center"/>
                    <w:textAlignment w:val="center"/>
                    <w:rPr>
                      <w:rFonts w:hint="eastAsia"/>
                      <w:szCs w:val="21"/>
                    </w:rPr>
                  </w:pPr>
                  <w:r>
                    <w:rPr>
                      <w:rFonts w:hint="eastAsia"/>
                      <w:szCs w:val="21"/>
                    </w:rPr>
                    <w:t>+</w:t>
                  </w:r>
                  <w:r>
                    <w:rPr>
                      <w:rFonts w:hint="eastAsia"/>
                      <w:szCs w:val="21"/>
                      <w:lang w:val="en-US" w:eastAsia="zh-CN"/>
                    </w:rPr>
                    <w:t>20000</w:t>
                  </w:r>
                </w:p>
              </w:tc>
            </w:tr>
          </w:tbl>
          <w:p w14:paraId="3870D908">
            <w:pPr>
              <w:numPr>
                <w:ilvl w:val="0"/>
                <w:numId w:val="0"/>
              </w:numPr>
              <w:adjustRightInd w:val="0"/>
              <w:snapToGrid w:val="0"/>
              <w:spacing w:before="120" w:beforeLines="50" w:line="360" w:lineRule="auto"/>
              <w:jc w:val="left"/>
              <w:rPr>
                <w:rFonts w:hint="eastAsia" w:eastAsia="宋体"/>
                <w:b/>
                <w:bCs/>
                <w:kern w:val="0"/>
                <w:sz w:val="21"/>
                <w:szCs w:val="21"/>
                <w:lang w:eastAsia="zh-CN"/>
              </w:rPr>
            </w:pPr>
            <w:r>
              <w:rPr>
                <w:rFonts w:hint="eastAsia"/>
                <w:b/>
                <w:bCs/>
                <w:kern w:val="0"/>
                <w:sz w:val="21"/>
                <w:szCs w:val="21"/>
                <w:lang w:eastAsia="zh-CN"/>
              </w:rPr>
              <w:t>注：《</w:t>
            </w:r>
            <w:r>
              <w:rPr>
                <w:rFonts w:hint="eastAsia" w:cs="Times New Roman"/>
                <w:b/>
                <w:bCs/>
                <w:sz w:val="21"/>
                <w:szCs w:val="21"/>
                <w:lang w:val="en-US" w:eastAsia="zh-CN"/>
              </w:rPr>
              <w:t>安徽省红跃环保科技有限公司宿州分公司道路建养材料生产项目》环境影响报告表设计三条生产线，</w:t>
            </w:r>
            <w:r>
              <w:rPr>
                <w:rFonts w:hint="default" w:cs="Times New Roman" w:eastAsiaTheme="minorEastAsia"/>
                <w:b/>
                <w:bCs/>
                <w:sz w:val="21"/>
                <w:szCs w:val="21"/>
                <w:lang w:val="en-US" w:eastAsia="zh-CN"/>
              </w:rPr>
              <w:t>年产4000万块高速护坡砖、1000万块各类生态路面环保砖</w:t>
            </w:r>
            <w:r>
              <w:rPr>
                <w:rFonts w:hint="eastAsia" w:cs="Times New Roman" w:eastAsiaTheme="minorEastAsia"/>
                <w:b/>
                <w:bCs/>
                <w:sz w:val="21"/>
                <w:szCs w:val="21"/>
                <w:lang w:val="en-US" w:eastAsia="zh-CN"/>
              </w:rPr>
              <w:t>，现实际建设一条生产线，</w:t>
            </w:r>
            <w:r>
              <w:rPr>
                <w:rFonts w:hint="default" w:ascii="Times New Roman" w:hAnsi="Times New Roman" w:cs="Times New Roman" w:eastAsiaTheme="minorEastAsia"/>
                <w:b/>
                <w:bCs/>
                <w:sz w:val="21"/>
                <w:szCs w:val="21"/>
                <w:lang w:val="en-US" w:eastAsia="zh-CN"/>
              </w:rPr>
              <w:t>年产</w:t>
            </w:r>
            <w:r>
              <w:rPr>
                <w:rFonts w:hint="eastAsia" w:cs="Times New Roman" w:eastAsiaTheme="minorEastAsia"/>
                <w:b/>
                <w:bCs/>
                <w:sz w:val="21"/>
                <w:szCs w:val="21"/>
                <w:lang w:val="en-US" w:eastAsia="zh-CN"/>
              </w:rPr>
              <w:t>1333</w:t>
            </w:r>
            <w:r>
              <w:rPr>
                <w:rFonts w:hint="default" w:ascii="Times New Roman" w:hAnsi="Times New Roman" w:cs="Times New Roman" w:eastAsiaTheme="minorEastAsia"/>
                <w:b/>
                <w:bCs/>
                <w:sz w:val="21"/>
                <w:szCs w:val="21"/>
                <w:lang w:val="en-US" w:eastAsia="zh-CN"/>
              </w:rPr>
              <w:t>万块高速护坡砖、</w:t>
            </w:r>
            <w:r>
              <w:rPr>
                <w:rFonts w:hint="eastAsia" w:cs="Times New Roman" w:eastAsiaTheme="minorEastAsia"/>
                <w:b/>
                <w:bCs/>
                <w:sz w:val="21"/>
                <w:szCs w:val="21"/>
                <w:lang w:val="en-US" w:eastAsia="zh-CN"/>
              </w:rPr>
              <w:t>333</w:t>
            </w:r>
            <w:r>
              <w:rPr>
                <w:rFonts w:hint="default" w:ascii="Times New Roman" w:hAnsi="Times New Roman" w:cs="Times New Roman" w:eastAsiaTheme="minorEastAsia"/>
                <w:b/>
                <w:bCs/>
                <w:sz w:val="21"/>
                <w:szCs w:val="21"/>
                <w:lang w:val="en-US" w:eastAsia="zh-CN"/>
              </w:rPr>
              <w:t>万块各类生态路面环保砖</w:t>
            </w:r>
            <w:r>
              <w:rPr>
                <w:rFonts w:hint="eastAsia" w:cs="Times New Roman" w:eastAsiaTheme="minorEastAsia"/>
                <w:b/>
                <w:bCs/>
                <w:sz w:val="21"/>
                <w:szCs w:val="21"/>
                <w:lang w:val="en-US" w:eastAsia="zh-CN"/>
              </w:rPr>
              <w:t>，经市场调研，</w:t>
            </w:r>
            <w:r>
              <w:rPr>
                <w:rFonts w:hint="default" w:cs="Times New Roman" w:eastAsiaTheme="minorEastAsia"/>
                <w:b/>
                <w:bCs/>
                <w:sz w:val="21"/>
                <w:szCs w:val="21"/>
                <w:lang w:val="en-US" w:eastAsia="zh-CN"/>
              </w:rPr>
              <w:t>高速护坡砖</w:t>
            </w:r>
            <w:r>
              <w:rPr>
                <w:rFonts w:hint="eastAsia" w:cs="Times New Roman" w:eastAsiaTheme="minorEastAsia"/>
                <w:b/>
                <w:bCs/>
                <w:sz w:val="21"/>
                <w:szCs w:val="21"/>
                <w:lang w:val="en-US" w:eastAsia="zh-CN"/>
              </w:rPr>
              <w:t>、</w:t>
            </w:r>
            <w:r>
              <w:rPr>
                <w:rFonts w:hint="default" w:cs="Times New Roman" w:eastAsiaTheme="minorEastAsia"/>
                <w:b/>
                <w:bCs/>
                <w:sz w:val="21"/>
                <w:szCs w:val="21"/>
                <w:lang w:val="en-US" w:eastAsia="zh-CN"/>
              </w:rPr>
              <w:t>各类生态路面环保砖</w:t>
            </w:r>
            <w:r>
              <w:rPr>
                <w:rFonts w:hint="eastAsia" w:cs="Times New Roman" w:eastAsiaTheme="minorEastAsia"/>
                <w:b/>
                <w:bCs/>
                <w:sz w:val="21"/>
                <w:szCs w:val="21"/>
                <w:lang w:val="en-US" w:eastAsia="zh-CN"/>
              </w:rPr>
              <w:t>市场行情较差，因此企业拟对原有项目进行改建，并承诺不再建设</w:t>
            </w:r>
            <w:r>
              <w:rPr>
                <w:rFonts w:hint="default" w:cs="Times New Roman" w:eastAsiaTheme="minorEastAsia"/>
                <w:b/>
                <w:bCs/>
                <w:sz w:val="21"/>
                <w:szCs w:val="21"/>
                <w:lang w:val="en-US" w:eastAsia="zh-CN"/>
              </w:rPr>
              <w:t>高速护坡砖</w:t>
            </w:r>
            <w:r>
              <w:rPr>
                <w:rFonts w:hint="eastAsia" w:cs="Times New Roman" w:eastAsiaTheme="minorEastAsia"/>
                <w:b/>
                <w:bCs/>
                <w:sz w:val="21"/>
                <w:szCs w:val="21"/>
                <w:lang w:val="en-US" w:eastAsia="zh-CN"/>
              </w:rPr>
              <w:t>、</w:t>
            </w:r>
            <w:r>
              <w:rPr>
                <w:rFonts w:hint="default" w:cs="Times New Roman" w:eastAsiaTheme="minorEastAsia"/>
                <w:b/>
                <w:bCs/>
                <w:sz w:val="21"/>
                <w:szCs w:val="21"/>
                <w:lang w:val="en-US" w:eastAsia="zh-CN"/>
              </w:rPr>
              <w:t>各类生态路面环保砖</w:t>
            </w:r>
            <w:r>
              <w:rPr>
                <w:rFonts w:hint="eastAsia" w:cs="Times New Roman" w:eastAsiaTheme="minorEastAsia"/>
                <w:b/>
                <w:bCs/>
                <w:sz w:val="21"/>
                <w:szCs w:val="21"/>
                <w:lang w:val="en-US" w:eastAsia="zh-CN"/>
              </w:rPr>
              <w:t>余下两条生产线。</w:t>
            </w:r>
          </w:p>
          <w:p w14:paraId="522CAB81">
            <w:pPr>
              <w:numPr>
                <w:ilvl w:val="0"/>
                <w:numId w:val="0"/>
              </w:numPr>
              <w:adjustRightInd w:val="0"/>
              <w:snapToGrid w:val="0"/>
              <w:spacing w:before="120" w:beforeLines="50" w:line="360" w:lineRule="auto"/>
              <w:jc w:val="left"/>
              <w:rPr>
                <w:b/>
                <w:bCs/>
                <w:kern w:val="0"/>
                <w:sz w:val="24"/>
              </w:rPr>
            </w:pPr>
            <w:r>
              <w:rPr>
                <w:rFonts w:hint="eastAsia"/>
                <w:b/>
                <w:bCs/>
                <w:kern w:val="0"/>
                <w:sz w:val="24"/>
                <w:lang w:val="en-US" w:eastAsia="zh-CN"/>
              </w:rPr>
              <w:t>3、</w:t>
            </w:r>
            <w:r>
              <w:rPr>
                <w:b/>
                <w:bCs/>
                <w:kern w:val="0"/>
                <w:sz w:val="24"/>
              </w:rPr>
              <w:t>项目主要生产单元、主要工艺、主要生产设施及设施参数</w:t>
            </w:r>
          </w:p>
          <w:p w14:paraId="7F9CBB23">
            <w:pPr>
              <w:adjustRightInd w:val="0"/>
              <w:snapToGrid w:val="0"/>
              <w:spacing w:line="360" w:lineRule="auto"/>
              <w:jc w:val="center"/>
            </w:pPr>
            <w:r>
              <w:rPr>
                <w:b/>
                <w:bCs/>
                <w:color w:val="auto"/>
                <w:kern w:val="0"/>
                <w:sz w:val="24"/>
              </w:rPr>
              <w:t>表2</w:t>
            </w:r>
            <w:r>
              <w:rPr>
                <w:rFonts w:hint="eastAsia"/>
                <w:b/>
                <w:bCs/>
                <w:color w:val="auto"/>
                <w:kern w:val="0"/>
                <w:sz w:val="24"/>
                <w:lang w:val="en-US" w:eastAsia="zh-CN"/>
              </w:rPr>
              <w:t>-5</w:t>
            </w:r>
            <w:r>
              <w:rPr>
                <w:rFonts w:hint="eastAsia"/>
                <w:b/>
                <w:bCs/>
                <w:color w:val="auto"/>
                <w:kern w:val="0"/>
                <w:sz w:val="24"/>
              </w:rPr>
              <w:t xml:space="preserve"> </w:t>
            </w:r>
            <w:r>
              <w:rPr>
                <w:b/>
                <w:bCs/>
                <w:color w:val="auto"/>
                <w:kern w:val="0"/>
                <w:sz w:val="24"/>
              </w:rPr>
              <w:t xml:space="preserve"> 项目主要生产单元、主要工艺、主要生产设施及设施参数一览表</w:t>
            </w:r>
          </w:p>
          <w:tbl>
            <w:tblPr>
              <w:tblStyle w:val="27"/>
              <w:tblW w:w="8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8"/>
              <w:gridCol w:w="968"/>
              <w:gridCol w:w="996"/>
              <w:gridCol w:w="772"/>
              <w:gridCol w:w="1205"/>
              <w:gridCol w:w="1227"/>
              <w:gridCol w:w="1214"/>
              <w:gridCol w:w="582"/>
            </w:tblGrid>
            <w:tr w14:paraId="3EC5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1F8B5FB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主要生产</w:t>
                  </w:r>
                </w:p>
                <w:p w14:paraId="61AEC25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单元名称</w:t>
                  </w:r>
                </w:p>
              </w:tc>
              <w:tc>
                <w:tcPr>
                  <w:tcW w:w="968" w:type="dxa"/>
                  <w:vMerge w:val="restart"/>
                  <w:vAlign w:val="center"/>
                </w:tcPr>
                <w:p w14:paraId="58D2902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主要</w:t>
                  </w:r>
                </w:p>
                <w:p w14:paraId="394EFAC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工艺</w:t>
                  </w:r>
                </w:p>
              </w:tc>
              <w:tc>
                <w:tcPr>
                  <w:tcW w:w="996" w:type="dxa"/>
                  <w:vMerge w:val="restart"/>
                  <w:vAlign w:val="center"/>
                </w:tcPr>
                <w:p w14:paraId="1692AAF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主要生产设施</w:t>
                  </w:r>
                </w:p>
              </w:tc>
              <w:tc>
                <w:tcPr>
                  <w:tcW w:w="1977" w:type="dxa"/>
                  <w:gridSpan w:val="2"/>
                  <w:vAlign w:val="center"/>
                </w:tcPr>
                <w:p w14:paraId="2468B6B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设施参数</w:t>
                  </w:r>
                </w:p>
              </w:tc>
              <w:tc>
                <w:tcPr>
                  <w:tcW w:w="1227" w:type="dxa"/>
                  <w:vMerge w:val="restart"/>
                  <w:vAlign w:val="center"/>
                </w:tcPr>
                <w:p w14:paraId="28D901D9">
                  <w:pPr>
                    <w:keepNext w:val="0"/>
                    <w:keepLines w:val="0"/>
                    <w:pageBreakBefore w:val="0"/>
                    <w:wordWrap/>
                    <w:overflowPunct/>
                    <w:topLinePunct w:val="0"/>
                    <w:autoSpaceDE w:val="0"/>
                    <w:autoSpaceDN w:val="0"/>
                    <w:bidi w:val="0"/>
                    <w:adjustRightInd w:val="0"/>
                    <w:snapToGrid w:val="0"/>
                    <w:jc w:val="center"/>
                    <w:rPr>
                      <w:rFonts w:hint="eastAsia"/>
                      <w:szCs w:val="21"/>
                      <w:lang w:eastAsia="zh-CN"/>
                    </w:rPr>
                  </w:pPr>
                  <w:r>
                    <w:rPr>
                      <w:rFonts w:hint="eastAsia"/>
                      <w:szCs w:val="21"/>
                      <w:lang w:eastAsia="zh-CN"/>
                    </w:rPr>
                    <w:t>数量</w:t>
                  </w:r>
                </w:p>
                <w:p w14:paraId="52FE7005">
                  <w:pPr>
                    <w:keepNext w:val="0"/>
                    <w:keepLines w:val="0"/>
                    <w:pageBreakBefore w:val="0"/>
                    <w:wordWrap/>
                    <w:overflowPunct/>
                    <w:topLinePunct w:val="0"/>
                    <w:autoSpaceDE w:val="0"/>
                    <w:autoSpaceDN w:val="0"/>
                    <w:bidi w:val="0"/>
                    <w:adjustRightInd w:val="0"/>
                    <w:snapToGrid w:val="0"/>
                    <w:jc w:val="center"/>
                    <w:rPr>
                      <w:color w:val="000000" w:themeColor="text1"/>
                      <w:kern w:val="0"/>
                      <w:sz w:val="21"/>
                      <w:szCs w:val="21"/>
                      <w14:textFill>
                        <w14:solidFill>
                          <w14:schemeClr w14:val="tx1"/>
                        </w14:solidFill>
                      </w14:textFill>
                    </w:rPr>
                  </w:pPr>
                  <w:r>
                    <w:rPr>
                      <w:rFonts w:hint="eastAsia"/>
                      <w:bCs/>
                      <w:szCs w:val="21"/>
                    </w:rPr>
                    <w:t>（</w:t>
                  </w:r>
                  <w:r>
                    <w:rPr>
                      <w:rFonts w:hint="eastAsia"/>
                      <w:bCs/>
                      <w:szCs w:val="21"/>
                      <w:lang w:eastAsia="zh-CN"/>
                    </w:rPr>
                    <w:t>技改</w:t>
                  </w:r>
                  <w:r>
                    <w:rPr>
                      <w:bCs/>
                      <w:szCs w:val="21"/>
                    </w:rPr>
                    <w:t>前</w:t>
                  </w:r>
                  <w:r>
                    <w:rPr>
                      <w:rFonts w:hint="eastAsia"/>
                      <w:bCs/>
                      <w:szCs w:val="21"/>
                    </w:rPr>
                    <w:t>）</w:t>
                  </w:r>
                </w:p>
              </w:tc>
              <w:tc>
                <w:tcPr>
                  <w:tcW w:w="1214" w:type="dxa"/>
                  <w:vMerge w:val="restart"/>
                  <w:vAlign w:val="center"/>
                </w:tcPr>
                <w:p w14:paraId="59BDEC38">
                  <w:pPr>
                    <w:keepNext w:val="0"/>
                    <w:keepLines w:val="0"/>
                    <w:pageBreakBefore w:val="0"/>
                    <w:wordWrap/>
                    <w:overflowPunct/>
                    <w:topLinePunct w:val="0"/>
                    <w:autoSpaceDE w:val="0"/>
                    <w:autoSpaceDN w:val="0"/>
                    <w:bidi w:val="0"/>
                    <w:adjustRightInd w:val="0"/>
                    <w:snapToGrid w:val="0"/>
                    <w:jc w:val="center"/>
                    <w:rPr>
                      <w:rFonts w:hint="eastAsia"/>
                      <w:szCs w:val="21"/>
                      <w:lang w:eastAsia="zh-CN"/>
                    </w:rPr>
                  </w:pPr>
                  <w:r>
                    <w:rPr>
                      <w:rFonts w:hint="eastAsia"/>
                      <w:szCs w:val="21"/>
                      <w:lang w:eastAsia="zh-CN"/>
                    </w:rPr>
                    <w:t>数量</w:t>
                  </w:r>
                </w:p>
                <w:p w14:paraId="24D236AD">
                  <w:pPr>
                    <w:keepNext w:val="0"/>
                    <w:keepLines w:val="0"/>
                    <w:pageBreakBefore w:val="0"/>
                    <w:wordWrap/>
                    <w:overflowPunct/>
                    <w:topLinePunct w:val="0"/>
                    <w:autoSpaceDE w:val="0"/>
                    <w:autoSpaceDN w:val="0"/>
                    <w:bidi w:val="0"/>
                    <w:adjustRightInd w:val="0"/>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bCs/>
                      <w:szCs w:val="21"/>
                    </w:rPr>
                    <w:t>（</w:t>
                  </w:r>
                  <w:r>
                    <w:rPr>
                      <w:rFonts w:hint="eastAsia"/>
                      <w:bCs/>
                      <w:szCs w:val="21"/>
                      <w:lang w:eastAsia="zh-CN"/>
                    </w:rPr>
                    <w:t>技改后</w:t>
                  </w:r>
                  <w:r>
                    <w:rPr>
                      <w:rFonts w:hint="eastAsia"/>
                      <w:bCs/>
                      <w:szCs w:val="21"/>
                    </w:rPr>
                    <w:t>）</w:t>
                  </w:r>
                </w:p>
              </w:tc>
              <w:tc>
                <w:tcPr>
                  <w:tcW w:w="582" w:type="dxa"/>
                  <w:vMerge w:val="restart"/>
                  <w:vAlign w:val="center"/>
                </w:tcPr>
                <w:p w14:paraId="5F38BD95">
                  <w:pPr>
                    <w:keepNext w:val="0"/>
                    <w:keepLines w:val="0"/>
                    <w:pageBreakBefore w:val="0"/>
                    <w:wordWrap/>
                    <w:overflowPunct/>
                    <w:topLinePunct w:val="0"/>
                    <w:autoSpaceDE w:val="0"/>
                    <w:autoSpaceDN w:val="0"/>
                    <w:bidi w:val="0"/>
                    <w:snapToGrid w:val="0"/>
                    <w:jc w:val="center"/>
                    <w:rPr>
                      <w:rFonts w:hint="eastAsia"/>
                      <w:szCs w:val="21"/>
                      <w:lang w:eastAsia="zh-CN"/>
                    </w:rPr>
                  </w:pPr>
                  <w:r>
                    <w:rPr>
                      <w:rFonts w:hint="eastAsia"/>
                      <w:szCs w:val="21"/>
                      <w:lang w:eastAsia="zh-CN"/>
                    </w:rPr>
                    <w:t>数量</w:t>
                  </w:r>
                </w:p>
                <w:p w14:paraId="080D9546">
                  <w:pPr>
                    <w:keepNext w:val="0"/>
                    <w:keepLines w:val="0"/>
                    <w:pageBreakBefore w:val="0"/>
                    <w:wordWrap/>
                    <w:overflowPunct/>
                    <w:topLinePunct w:val="0"/>
                    <w:autoSpaceDE w:val="0"/>
                    <w:autoSpaceDN w:val="0"/>
                    <w:bidi w:val="0"/>
                    <w:snapToGrid w:val="0"/>
                    <w:jc w:val="center"/>
                    <w:rPr>
                      <w:rFonts w:hint="eastAsia"/>
                      <w:color w:val="000000" w:themeColor="text1"/>
                      <w:kern w:val="0"/>
                      <w:sz w:val="21"/>
                      <w:szCs w:val="21"/>
                      <w:lang w:val="en-US" w:eastAsia="zh-CN"/>
                      <w14:textFill>
                        <w14:solidFill>
                          <w14:schemeClr w14:val="tx1"/>
                        </w14:solidFill>
                      </w14:textFill>
                    </w:rPr>
                  </w:pPr>
                  <w:r>
                    <w:rPr>
                      <w:szCs w:val="21"/>
                    </w:rPr>
                    <w:t>变化</w:t>
                  </w:r>
                </w:p>
              </w:tc>
            </w:tr>
            <w:tr w14:paraId="7F2EE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0629496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sz w:val="21"/>
                      <w:szCs w:val="21"/>
                      <w14:textFill>
                        <w14:solidFill>
                          <w14:schemeClr w14:val="tx1"/>
                        </w14:solidFill>
                      </w14:textFill>
                    </w:rPr>
                  </w:pPr>
                </w:p>
              </w:tc>
              <w:tc>
                <w:tcPr>
                  <w:tcW w:w="968" w:type="dxa"/>
                  <w:vMerge w:val="continue"/>
                  <w:vAlign w:val="center"/>
                </w:tcPr>
                <w:p w14:paraId="186C34D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sz w:val="21"/>
                      <w:szCs w:val="21"/>
                      <w14:textFill>
                        <w14:solidFill>
                          <w14:schemeClr w14:val="tx1"/>
                        </w14:solidFill>
                      </w14:textFill>
                    </w:rPr>
                  </w:pPr>
                </w:p>
              </w:tc>
              <w:tc>
                <w:tcPr>
                  <w:tcW w:w="996" w:type="dxa"/>
                  <w:vMerge w:val="continue"/>
                  <w:vAlign w:val="center"/>
                </w:tcPr>
                <w:p w14:paraId="7EE44B2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sz w:val="21"/>
                      <w:szCs w:val="21"/>
                      <w14:textFill>
                        <w14:solidFill>
                          <w14:schemeClr w14:val="tx1"/>
                        </w14:solidFill>
                      </w14:textFill>
                    </w:rPr>
                  </w:pPr>
                </w:p>
              </w:tc>
              <w:tc>
                <w:tcPr>
                  <w:tcW w:w="772" w:type="dxa"/>
                  <w:vAlign w:val="center"/>
                </w:tcPr>
                <w:p w14:paraId="7B0482A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参数名称</w:t>
                  </w:r>
                </w:p>
              </w:tc>
              <w:tc>
                <w:tcPr>
                  <w:tcW w:w="1205" w:type="dxa"/>
                  <w:vAlign w:val="center"/>
                </w:tcPr>
                <w:p w14:paraId="6A53D23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设计值</w:t>
                  </w:r>
                </w:p>
              </w:tc>
              <w:tc>
                <w:tcPr>
                  <w:tcW w:w="1227" w:type="dxa"/>
                  <w:vMerge w:val="continue"/>
                  <w:vAlign w:val="center"/>
                </w:tcPr>
                <w:p w14:paraId="4A81C4F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p>
              </w:tc>
              <w:tc>
                <w:tcPr>
                  <w:tcW w:w="1214" w:type="dxa"/>
                  <w:vMerge w:val="continue"/>
                  <w:vAlign w:val="center"/>
                </w:tcPr>
                <w:p w14:paraId="3197310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p>
              </w:tc>
              <w:tc>
                <w:tcPr>
                  <w:tcW w:w="582" w:type="dxa"/>
                  <w:vMerge w:val="continue"/>
                  <w:vAlign w:val="center"/>
                </w:tcPr>
                <w:p w14:paraId="04FAF44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bottom"/>
                    <w:rPr>
                      <w:color w:val="000000" w:themeColor="text1"/>
                      <w:kern w:val="0"/>
                      <w:sz w:val="21"/>
                      <w:szCs w:val="21"/>
                      <w14:textFill>
                        <w14:solidFill>
                          <w14:schemeClr w14:val="tx1"/>
                        </w14:solidFill>
                      </w14:textFill>
                    </w:rPr>
                  </w:pPr>
                </w:p>
              </w:tc>
            </w:tr>
            <w:tr w14:paraId="0238A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569ED75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kern w:val="0"/>
                      <w:sz w:val="21"/>
                      <w:szCs w:val="21"/>
                      <w:lang w:eastAsia="zh-CN"/>
                    </w:rPr>
                  </w:pPr>
                  <w:r>
                    <w:rPr>
                      <w:rFonts w:hint="eastAsia"/>
                      <w:kern w:val="0"/>
                      <w:sz w:val="21"/>
                      <w:szCs w:val="21"/>
                      <w:lang w:eastAsia="zh-CN"/>
                    </w:rPr>
                    <w:t>投料</w:t>
                  </w:r>
                </w:p>
              </w:tc>
              <w:tc>
                <w:tcPr>
                  <w:tcW w:w="968" w:type="dxa"/>
                  <w:vMerge w:val="restart"/>
                  <w:vAlign w:val="center"/>
                </w:tcPr>
                <w:p w14:paraId="45BBECA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r>
                    <w:rPr>
                      <w:rFonts w:hint="eastAsia"/>
                      <w:kern w:val="0"/>
                      <w:sz w:val="21"/>
                      <w:szCs w:val="21"/>
                      <w:lang w:eastAsia="zh-CN"/>
                    </w:rPr>
                    <w:t>投料</w:t>
                  </w:r>
                </w:p>
              </w:tc>
              <w:tc>
                <w:tcPr>
                  <w:tcW w:w="996" w:type="dxa"/>
                  <w:vAlign w:val="center"/>
                </w:tcPr>
                <w:p w14:paraId="150128E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sz w:val="21"/>
                      <w:szCs w:val="21"/>
                    </w:rPr>
                  </w:pPr>
                  <w:r>
                    <w:rPr>
                      <w:sz w:val="21"/>
                      <w:szCs w:val="21"/>
                    </w:rPr>
                    <w:t>叉车</w:t>
                  </w:r>
                </w:p>
              </w:tc>
              <w:tc>
                <w:tcPr>
                  <w:tcW w:w="772" w:type="dxa"/>
                  <w:vAlign w:val="center"/>
                </w:tcPr>
                <w:p w14:paraId="457B159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rFonts w:hint="eastAsia"/>
                      <w:color w:val="000000" w:themeColor="text1"/>
                      <w:sz w:val="21"/>
                      <w:szCs w:val="21"/>
                      <w14:textFill>
                        <w14:solidFill>
                          <w14:schemeClr w14:val="tx1"/>
                        </w14:solidFill>
                      </w14:textFill>
                    </w:rPr>
                    <w:t>型号</w:t>
                  </w:r>
                </w:p>
              </w:tc>
              <w:tc>
                <w:tcPr>
                  <w:tcW w:w="1205" w:type="dxa"/>
                  <w:vAlign w:val="center"/>
                </w:tcPr>
                <w:p w14:paraId="0F06426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lang w:val="en-US" w:eastAsia="zh-CN"/>
                    </w:rPr>
                  </w:pPr>
                  <w:r>
                    <w:rPr>
                      <w:rFonts w:hint="eastAsia"/>
                      <w:sz w:val="21"/>
                      <w:szCs w:val="21"/>
                    </w:rPr>
                    <w:t>CPCDB40吨平衡重式叉车</w:t>
                  </w:r>
                </w:p>
              </w:tc>
              <w:tc>
                <w:tcPr>
                  <w:tcW w:w="1227" w:type="dxa"/>
                  <w:vAlign w:val="center"/>
                </w:tcPr>
                <w:p w14:paraId="5494947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kern w:val="0"/>
                      <w:sz w:val="21"/>
                      <w:szCs w:val="21"/>
                      <w:lang w:val="en-US" w:eastAsia="zh-CN"/>
                    </w:rPr>
                  </w:pPr>
                  <w:r>
                    <w:rPr>
                      <w:rFonts w:hint="eastAsia"/>
                      <w:sz w:val="21"/>
                      <w:szCs w:val="21"/>
                      <w:lang w:val="en-US" w:eastAsia="zh-CN"/>
                    </w:rPr>
                    <w:t>1</w:t>
                  </w:r>
                </w:p>
              </w:tc>
              <w:tc>
                <w:tcPr>
                  <w:tcW w:w="1214" w:type="dxa"/>
                  <w:shd w:val="clear" w:color="auto" w:fill="auto"/>
                  <w:vAlign w:val="center"/>
                </w:tcPr>
                <w:p w14:paraId="0E456D2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w:t>
                  </w:r>
                </w:p>
              </w:tc>
              <w:tc>
                <w:tcPr>
                  <w:tcW w:w="582" w:type="dxa"/>
                  <w:vAlign w:val="center"/>
                </w:tcPr>
                <w:p w14:paraId="7047A18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sz w:val="21"/>
                      <w:szCs w:val="21"/>
                      <w:lang w:val="en-US" w:eastAsia="zh-CN"/>
                    </w:rPr>
                  </w:pPr>
                  <w:r>
                    <w:rPr>
                      <w:rFonts w:hint="eastAsia"/>
                      <w:sz w:val="21"/>
                      <w:szCs w:val="21"/>
                      <w:lang w:val="en-US" w:eastAsia="zh-CN"/>
                    </w:rPr>
                    <w:t>0</w:t>
                  </w:r>
                </w:p>
              </w:tc>
            </w:tr>
            <w:tr w14:paraId="6460F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1B3DAC8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p>
              </w:tc>
              <w:tc>
                <w:tcPr>
                  <w:tcW w:w="968" w:type="dxa"/>
                  <w:vMerge w:val="continue"/>
                  <w:tcBorders>
                    <w:bottom w:val="single" w:color="auto" w:sz="4" w:space="0"/>
                  </w:tcBorders>
                  <w:vAlign w:val="center"/>
                </w:tcPr>
                <w:p w14:paraId="7887764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p>
              </w:tc>
              <w:tc>
                <w:tcPr>
                  <w:tcW w:w="996" w:type="dxa"/>
                  <w:vAlign w:val="center"/>
                </w:tcPr>
                <w:p w14:paraId="4511114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sz w:val="21"/>
                      <w:szCs w:val="21"/>
                    </w:rPr>
                  </w:pPr>
                  <w:r>
                    <w:rPr>
                      <w:rFonts w:hint="eastAsia"/>
                      <w:sz w:val="21"/>
                      <w:szCs w:val="21"/>
                      <w:lang w:eastAsia="zh-CN"/>
                    </w:rPr>
                    <w:t>铲车</w:t>
                  </w:r>
                </w:p>
              </w:tc>
              <w:tc>
                <w:tcPr>
                  <w:tcW w:w="772" w:type="dxa"/>
                  <w:vAlign w:val="center"/>
                </w:tcPr>
                <w:p w14:paraId="5760BD2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rFonts w:hint="eastAsia"/>
                      <w:color w:val="000000" w:themeColor="text1"/>
                      <w:sz w:val="21"/>
                      <w:szCs w:val="21"/>
                      <w:lang w:eastAsia="zh-CN"/>
                      <w14:textFill>
                        <w14:solidFill>
                          <w14:schemeClr w14:val="tx1"/>
                        </w14:solidFill>
                      </w14:textFill>
                    </w:rPr>
                    <w:t>功率</w:t>
                  </w:r>
                </w:p>
              </w:tc>
              <w:tc>
                <w:tcPr>
                  <w:tcW w:w="1205" w:type="dxa"/>
                  <w:vAlign w:val="center"/>
                </w:tcPr>
                <w:p w14:paraId="4C419AB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lang w:val="en-US" w:eastAsia="zh-CN"/>
                    </w:rPr>
                  </w:pPr>
                  <w:r>
                    <w:rPr>
                      <w:rFonts w:hint="eastAsia"/>
                      <w:kern w:val="0"/>
                      <w:sz w:val="21"/>
                      <w:szCs w:val="21"/>
                      <w:lang w:val="en-US" w:eastAsia="zh-CN"/>
                    </w:rPr>
                    <w:t>70kw</w:t>
                  </w:r>
                </w:p>
              </w:tc>
              <w:tc>
                <w:tcPr>
                  <w:tcW w:w="1227" w:type="dxa"/>
                  <w:vAlign w:val="center"/>
                </w:tcPr>
                <w:p w14:paraId="6541AAB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kern w:val="0"/>
                      <w:sz w:val="21"/>
                      <w:szCs w:val="21"/>
                      <w:lang w:val="en-US" w:eastAsia="zh-CN"/>
                    </w:rPr>
                  </w:pPr>
                  <w:r>
                    <w:rPr>
                      <w:rFonts w:hint="eastAsia"/>
                      <w:sz w:val="21"/>
                      <w:szCs w:val="21"/>
                      <w:lang w:val="en-US" w:eastAsia="zh-CN"/>
                    </w:rPr>
                    <w:t>1</w:t>
                  </w:r>
                </w:p>
              </w:tc>
              <w:tc>
                <w:tcPr>
                  <w:tcW w:w="1214" w:type="dxa"/>
                  <w:shd w:val="clear" w:color="auto" w:fill="auto"/>
                  <w:vAlign w:val="center"/>
                </w:tcPr>
                <w:p w14:paraId="03441D6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w:t>
                  </w:r>
                </w:p>
              </w:tc>
              <w:tc>
                <w:tcPr>
                  <w:tcW w:w="582" w:type="dxa"/>
                  <w:vAlign w:val="center"/>
                </w:tcPr>
                <w:p w14:paraId="5576699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sz w:val="21"/>
                      <w:szCs w:val="21"/>
                      <w:lang w:val="en-US" w:eastAsia="zh-CN"/>
                    </w:rPr>
                  </w:pPr>
                  <w:r>
                    <w:rPr>
                      <w:rFonts w:hint="eastAsia"/>
                      <w:sz w:val="21"/>
                      <w:szCs w:val="21"/>
                      <w:lang w:val="en-US" w:eastAsia="zh-CN"/>
                    </w:rPr>
                    <w:t>0</w:t>
                  </w:r>
                </w:p>
              </w:tc>
            </w:tr>
            <w:tr w14:paraId="3C0BC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Align w:val="center"/>
                </w:tcPr>
                <w:p w14:paraId="17E9BCD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kern w:val="0"/>
                      <w:sz w:val="21"/>
                      <w:szCs w:val="21"/>
                      <w:lang w:eastAsia="zh-CN"/>
                    </w:rPr>
                  </w:pPr>
                  <w:r>
                    <w:rPr>
                      <w:rFonts w:hint="eastAsia"/>
                      <w:kern w:val="0"/>
                      <w:sz w:val="21"/>
                      <w:szCs w:val="21"/>
                      <w:lang w:eastAsia="zh-CN"/>
                    </w:rPr>
                    <w:t>上料</w:t>
                  </w:r>
                </w:p>
              </w:tc>
              <w:tc>
                <w:tcPr>
                  <w:tcW w:w="968" w:type="dxa"/>
                  <w:tcBorders>
                    <w:bottom w:val="single" w:color="auto" w:sz="4" w:space="0"/>
                  </w:tcBorders>
                  <w:vAlign w:val="center"/>
                </w:tcPr>
                <w:p w14:paraId="65BD6F2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kern w:val="0"/>
                      <w:sz w:val="21"/>
                      <w:szCs w:val="21"/>
                      <w:lang w:eastAsia="zh-CN"/>
                    </w:rPr>
                  </w:pPr>
                  <w:r>
                    <w:rPr>
                      <w:rFonts w:hint="eastAsia"/>
                      <w:kern w:val="0"/>
                      <w:sz w:val="21"/>
                      <w:szCs w:val="21"/>
                      <w:lang w:eastAsia="zh-CN"/>
                    </w:rPr>
                    <w:t>上料</w:t>
                  </w:r>
                </w:p>
              </w:tc>
              <w:tc>
                <w:tcPr>
                  <w:tcW w:w="996" w:type="dxa"/>
                  <w:vAlign w:val="center"/>
                </w:tcPr>
                <w:p w14:paraId="6D3BC87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sz w:val="21"/>
                      <w:szCs w:val="21"/>
                      <w:lang w:eastAsia="zh-CN"/>
                    </w:rPr>
                  </w:pPr>
                  <w:r>
                    <w:rPr>
                      <w:rFonts w:hint="eastAsia"/>
                      <w:sz w:val="21"/>
                      <w:szCs w:val="21"/>
                      <w:lang w:eastAsia="zh-CN"/>
                    </w:rPr>
                    <w:t>两仓配料斗</w:t>
                  </w:r>
                </w:p>
              </w:tc>
              <w:tc>
                <w:tcPr>
                  <w:tcW w:w="772" w:type="dxa"/>
                  <w:vAlign w:val="center"/>
                </w:tcPr>
                <w:p w14:paraId="232B716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型号</w:t>
                  </w:r>
                </w:p>
              </w:tc>
              <w:tc>
                <w:tcPr>
                  <w:tcW w:w="1205" w:type="dxa"/>
                  <w:vAlign w:val="center"/>
                </w:tcPr>
                <w:p w14:paraId="4773DA0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kern w:val="0"/>
                      <w:sz w:val="21"/>
                      <w:szCs w:val="21"/>
                      <w:lang w:val="en-US" w:eastAsia="zh-CN"/>
                    </w:rPr>
                  </w:pPr>
                  <w:r>
                    <w:rPr>
                      <w:rFonts w:hint="eastAsia"/>
                      <w:kern w:val="0"/>
                      <w:sz w:val="21"/>
                      <w:szCs w:val="21"/>
                      <w:lang w:val="en-US" w:eastAsia="zh-CN"/>
                    </w:rPr>
                    <w:t>800型</w:t>
                  </w:r>
                </w:p>
              </w:tc>
              <w:tc>
                <w:tcPr>
                  <w:tcW w:w="1227" w:type="dxa"/>
                  <w:vAlign w:val="center"/>
                </w:tcPr>
                <w:p w14:paraId="6E207E9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sz w:val="21"/>
                      <w:szCs w:val="21"/>
                      <w:lang w:val="en-US" w:eastAsia="zh-CN"/>
                    </w:rPr>
                  </w:pPr>
                  <w:r>
                    <w:rPr>
                      <w:rFonts w:hint="eastAsia"/>
                      <w:sz w:val="21"/>
                      <w:szCs w:val="21"/>
                      <w:lang w:val="en-US" w:eastAsia="zh-CN"/>
                    </w:rPr>
                    <w:t>0</w:t>
                  </w:r>
                </w:p>
              </w:tc>
              <w:tc>
                <w:tcPr>
                  <w:tcW w:w="1214" w:type="dxa"/>
                  <w:shd w:val="clear" w:color="auto" w:fill="auto"/>
                  <w:vAlign w:val="center"/>
                </w:tcPr>
                <w:p w14:paraId="26CE676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sz w:val="21"/>
                      <w:szCs w:val="21"/>
                      <w:lang w:val="en-US" w:eastAsia="zh-CN"/>
                    </w:rPr>
                  </w:pPr>
                  <w:r>
                    <w:rPr>
                      <w:rFonts w:hint="eastAsia"/>
                      <w:sz w:val="21"/>
                      <w:szCs w:val="21"/>
                      <w:lang w:val="en-US" w:eastAsia="zh-CN"/>
                    </w:rPr>
                    <w:t>1</w:t>
                  </w:r>
                </w:p>
              </w:tc>
              <w:tc>
                <w:tcPr>
                  <w:tcW w:w="582" w:type="dxa"/>
                  <w:vAlign w:val="center"/>
                </w:tcPr>
                <w:p w14:paraId="7F7C423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sz w:val="21"/>
                      <w:szCs w:val="21"/>
                      <w:lang w:val="en-US" w:eastAsia="zh-CN"/>
                    </w:rPr>
                  </w:pPr>
                  <w:r>
                    <w:rPr>
                      <w:rFonts w:hint="eastAsia"/>
                      <w:color w:val="0000FF"/>
                      <w:kern w:val="0"/>
                      <w:sz w:val="21"/>
                      <w:szCs w:val="21"/>
                      <w:lang w:val="en-US" w:eastAsia="zh-CN"/>
                    </w:rPr>
                    <w:t>+1</w:t>
                  </w:r>
                </w:p>
              </w:tc>
            </w:tr>
            <w:tr w14:paraId="490BF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7AB5A62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rFonts w:hint="eastAsia"/>
                      <w:kern w:val="0"/>
                      <w:sz w:val="21"/>
                      <w:szCs w:val="21"/>
                    </w:rPr>
                    <w:t>输送计量</w:t>
                  </w:r>
                </w:p>
              </w:tc>
              <w:tc>
                <w:tcPr>
                  <w:tcW w:w="968" w:type="dxa"/>
                  <w:tcBorders>
                    <w:bottom w:val="single" w:color="auto" w:sz="4" w:space="0"/>
                  </w:tcBorders>
                  <w:vAlign w:val="center"/>
                </w:tcPr>
                <w:p w14:paraId="5C3AB6A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r>
                    <w:rPr>
                      <w:rFonts w:hint="eastAsia"/>
                      <w:kern w:val="0"/>
                      <w:sz w:val="21"/>
                      <w:szCs w:val="21"/>
                    </w:rPr>
                    <w:t>输送</w:t>
                  </w:r>
                </w:p>
                <w:p w14:paraId="101E3FA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r>
                    <w:rPr>
                      <w:rFonts w:hint="eastAsia"/>
                      <w:kern w:val="0"/>
                      <w:sz w:val="21"/>
                      <w:szCs w:val="21"/>
                    </w:rPr>
                    <w:t>计量</w:t>
                  </w:r>
                </w:p>
              </w:tc>
              <w:tc>
                <w:tcPr>
                  <w:tcW w:w="996" w:type="dxa"/>
                  <w:vAlign w:val="center"/>
                </w:tcPr>
                <w:p w14:paraId="223466B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sz w:val="21"/>
                      <w:szCs w:val="21"/>
                    </w:rPr>
                  </w:pPr>
                  <w:r>
                    <w:rPr>
                      <w:rFonts w:hint="eastAsia"/>
                      <w:sz w:val="21"/>
                      <w:szCs w:val="21"/>
                      <w:lang w:eastAsia="zh-CN"/>
                    </w:rPr>
                    <w:t>水泥仓</w:t>
                  </w:r>
                </w:p>
              </w:tc>
              <w:tc>
                <w:tcPr>
                  <w:tcW w:w="772" w:type="dxa"/>
                  <w:vAlign w:val="center"/>
                </w:tcPr>
                <w:p w14:paraId="00D3C54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rFonts w:hint="eastAsia"/>
                      <w:color w:val="000000" w:themeColor="text1"/>
                      <w:sz w:val="21"/>
                      <w:szCs w:val="21"/>
                      <w:lang w:eastAsia="zh-CN"/>
                      <w14:textFill>
                        <w14:solidFill>
                          <w14:schemeClr w14:val="tx1"/>
                        </w14:solidFill>
                      </w14:textFill>
                    </w:rPr>
                    <w:t>容量</w:t>
                  </w:r>
                </w:p>
              </w:tc>
              <w:tc>
                <w:tcPr>
                  <w:tcW w:w="1205" w:type="dxa"/>
                  <w:vAlign w:val="center"/>
                </w:tcPr>
                <w:p w14:paraId="51D9249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lang w:val="en-US" w:eastAsia="zh-CN"/>
                    </w:rPr>
                  </w:pPr>
                  <w:r>
                    <w:rPr>
                      <w:sz w:val="21"/>
                      <w:szCs w:val="21"/>
                    </w:rPr>
                    <w:t>200t</w:t>
                  </w:r>
                </w:p>
              </w:tc>
              <w:tc>
                <w:tcPr>
                  <w:tcW w:w="1227" w:type="dxa"/>
                  <w:vAlign w:val="center"/>
                </w:tcPr>
                <w:p w14:paraId="2056795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kern w:val="0"/>
                      <w:sz w:val="21"/>
                      <w:szCs w:val="21"/>
                      <w:lang w:val="en-US" w:eastAsia="zh-CN"/>
                    </w:rPr>
                  </w:pPr>
                  <w:r>
                    <w:rPr>
                      <w:rFonts w:hint="eastAsia"/>
                      <w:color w:val="000000" w:themeColor="text1"/>
                      <w:kern w:val="0"/>
                      <w:sz w:val="21"/>
                      <w:szCs w:val="21"/>
                      <w:lang w:val="en-US" w:eastAsia="zh-CN"/>
                      <w14:textFill>
                        <w14:solidFill>
                          <w14:schemeClr w14:val="tx1"/>
                        </w14:solidFill>
                      </w14:textFill>
                    </w:rPr>
                    <w:t>2</w:t>
                  </w:r>
                </w:p>
              </w:tc>
              <w:tc>
                <w:tcPr>
                  <w:tcW w:w="1214" w:type="dxa"/>
                  <w:shd w:val="clear" w:color="auto" w:fill="auto"/>
                  <w:vAlign w:val="center"/>
                </w:tcPr>
                <w:p w14:paraId="55788AC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582" w:type="dxa"/>
                  <w:vAlign w:val="center"/>
                </w:tcPr>
                <w:p w14:paraId="4A025AB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w:t>
                  </w:r>
                </w:p>
              </w:tc>
            </w:tr>
            <w:tr w14:paraId="08165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3B2FD3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bottom w:val="single" w:color="auto" w:sz="4" w:space="0"/>
                  </w:tcBorders>
                  <w:vAlign w:val="center"/>
                </w:tcPr>
                <w:p w14:paraId="2C74AAD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r>
                    <w:rPr>
                      <w:rFonts w:hint="eastAsia"/>
                      <w:kern w:val="0"/>
                      <w:sz w:val="21"/>
                      <w:szCs w:val="21"/>
                    </w:rPr>
                    <w:t>输送</w:t>
                  </w:r>
                </w:p>
                <w:p w14:paraId="143603E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r>
                    <w:rPr>
                      <w:rFonts w:hint="eastAsia"/>
                      <w:kern w:val="0"/>
                      <w:sz w:val="21"/>
                      <w:szCs w:val="21"/>
                    </w:rPr>
                    <w:t>计量</w:t>
                  </w:r>
                </w:p>
              </w:tc>
              <w:tc>
                <w:tcPr>
                  <w:tcW w:w="996" w:type="dxa"/>
                  <w:vAlign w:val="center"/>
                </w:tcPr>
                <w:p w14:paraId="3368F1F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lang w:eastAsia="zh-CN"/>
                      <w14:textFill>
                        <w14:solidFill>
                          <w14:schemeClr w14:val="tx1"/>
                        </w14:solidFill>
                      </w14:textFill>
                    </w:rPr>
                  </w:pPr>
                  <w:r>
                    <w:rPr>
                      <w:sz w:val="21"/>
                      <w:szCs w:val="21"/>
                    </w:rPr>
                    <w:t>螺旋输送机</w:t>
                  </w:r>
                </w:p>
              </w:tc>
              <w:tc>
                <w:tcPr>
                  <w:tcW w:w="772" w:type="dxa"/>
                  <w:vAlign w:val="center"/>
                </w:tcPr>
                <w:p w14:paraId="7B8167C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kern w:val="0"/>
                      <w:sz w:val="21"/>
                      <w:szCs w:val="21"/>
                    </w:rPr>
                    <w:t>型号</w:t>
                  </w:r>
                </w:p>
              </w:tc>
              <w:tc>
                <w:tcPr>
                  <w:tcW w:w="1205" w:type="dxa"/>
                  <w:vAlign w:val="center"/>
                </w:tcPr>
                <w:p w14:paraId="1BBA4F6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lang w:val="en-US" w:eastAsia="zh-CN"/>
                    </w:rPr>
                  </w:pPr>
                  <w:r>
                    <w:rPr>
                      <w:rFonts w:hint="eastAsia"/>
                      <w:kern w:val="0"/>
                      <w:sz w:val="21"/>
                      <w:szCs w:val="21"/>
                      <w:lang w:val="en-US" w:eastAsia="zh-CN"/>
                    </w:rPr>
                    <w:t>219</w:t>
                  </w:r>
                </w:p>
              </w:tc>
              <w:tc>
                <w:tcPr>
                  <w:tcW w:w="1227" w:type="dxa"/>
                  <w:vAlign w:val="center"/>
                </w:tcPr>
                <w:p w14:paraId="40D0386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00" w:themeColor="text1"/>
                      <w:kern w:val="0"/>
                      <w:sz w:val="21"/>
                      <w:szCs w:val="21"/>
                      <w:lang w:val="en-US" w:eastAsia="zh-CN"/>
                      <w14:textFill>
                        <w14:solidFill>
                          <w14:schemeClr w14:val="tx1"/>
                        </w14:solidFill>
                      </w14:textFill>
                    </w:rPr>
                  </w:pPr>
                  <w:r>
                    <w:rPr>
                      <w:rFonts w:hint="eastAsia"/>
                      <w:kern w:val="0"/>
                      <w:sz w:val="21"/>
                      <w:szCs w:val="21"/>
                      <w:lang w:val="en-US" w:eastAsia="zh-CN"/>
                    </w:rPr>
                    <w:t>1</w:t>
                  </w:r>
                </w:p>
              </w:tc>
              <w:tc>
                <w:tcPr>
                  <w:tcW w:w="1214" w:type="dxa"/>
                  <w:shd w:val="clear" w:color="auto" w:fill="auto"/>
                  <w:vAlign w:val="center"/>
                </w:tcPr>
                <w:p w14:paraId="30B9DC1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w:t>
                  </w:r>
                </w:p>
              </w:tc>
              <w:tc>
                <w:tcPr>
                  <w:tcW w:w="582" w:type="dxa"/>
                  <w:vAlign w:val="center"/>
                </w:tcPr>
                <w:p w14:paraId="511FAC8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kern w:val="0"/>
                      <w:sz w:val="21"/>
                      <w:szCs w:val="21"/>
                      <w:lang w:val="en-US" w:eastAsia="zh-CN"/>
                    </w:rPr>
                  </w:pPr>
                  <w:r>
                    <w:rPr>
                      <w:rFonts w:hint="eastAsia"/>
                      <w:kern w:val="0"/>
                      <w:sz w:val="21"/>
                      <w:szCs w:val="21"/>
                      <w:lang w:val="en-US" w:eastAsia="zh-CN"/>
                    </w:rPr>
                    <w:t>0</w:t>
                  </w:r>
                </w:p>
              </w:tc>
            </w:tr>
            <w:tr w14:paraId="47FD2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7B4F366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bottom w:val="single" w:color="auto" w:sz="4" w:space="0"/>
                  </w:tcBorders>
                  <w:vAlign w:val="center"/>
                </w:tcPr>
                <w:p w14:paraId="59E446F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r>
                    <w:rPr>
                      <w:rFonts w:hint="eastAsia"/>
                      <w:kern w:val="0"/>
                      <w:sz w:val="21"/>
                      <w:szCs w:val="21"/>
                      <w:lang w:val="en-US" w:eastAsia="zh-CN"/>
                    </w:rPr>
                    <w:t>水计量</w:t>
                  </w:r>
                </w:p>
              </w:tc>
              <w:tc>
                <w:tcPr>
                  <w:tcW w:w="996" w:type="dxa"/>
                  <w:vAlign w:val="center"/>
                </w:tcPr>
                <w:p w14:paraId="6EE5513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lang w:eastAsia="zh-CN"/>
                      <w14:textFill>
                        <w14:solidFill>
                          <w14:schemeClr w14:val="tx1"/>
                        </w14:solidFill>
                      </w14:textFill>
                    </w:rPr>
                  </w:pPr>
                  <w:r>
                    <w:rPr>
                      <w:rFonts w:hint="eastAsia"/>
                      <w:kern w:val="0"/>
                      <w:sz w:val="21"/>
                      <w:szCs w:val="21"/>
                      <w:lang w:val="en-US" w:eastAsia="zh-CN"/>
                    </w:rPr>
                    <w:t>水计量系统</w:t>
                  </w:r>
                </w:p>
              </w:tc>
              <w:tc>
                <w:tcPr>
                  <w:tcW w:w="772" w:type="dxa"/>
                  <w:vAlign w:val="center"/>
                </w:tcPr>
                <w:p w14:paraId="61A87D9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kern w:val="0"/>
                      <w:sz w:val="21"/>
                      <w:szCs w:val="21"/>
                    </w:rPr>
                    <w:t>型号</w:t>
                  </w:r>
                </w:p>
              </w:tc>
              <w:tc>
                <w:tcPr>
                  <w:tcW w:w="1205" w:type="dxa"/>
                  <w:vAlign w:val="center"/>
                </w:tcPr>
                <w:p w14:paraId="0BA6161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kern w:val="0"/>
                      <w:sz w:val="21"/>
                      <w:szCs w:val="21"/>
                      <w:lang w:val="en-US" w:eastAsia="zh-CN"/>
                    </w:rPr>
                  </w:pPr>
                  <w:r>
                    <w:rPr>
                      <w:rFonts w:hint="eastAsia"/>
                      <w:kern w:val="0"/>
                      <w:sz w:val="21"/>
                      <w:szCs w:val="21"/>
                      <w:lang w:val="en-US" w:eastAsia="zh-CN"/>
                    </w:rPr>
                    <w:t>ZY800</w:t>
                  </w:r>
                </w:p>
              </w:tc>
              <w:tc>
                <w:tcPr>
                  <w:tcW w:w="1227" w:type="dxa"/>
                  <w:vAlign w:val="center"/>
                </w:tcPr>
                <w:p w14:paraId="7DB8F3E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00" w:themeColor="text1"/>
                      <w:kern w:val="0"/>
                      <w:sz w:val="21"/>
                      <w:szCs w:val="21"/>
                      <w:lang w:val="en-US" w:eastAsia="zh-CN"/>
                      <w14:textFill>
                        <w14:solidFill>
                          <w14:schemeClr w14:val="tx1"/>
                        </w14:solidFill>
                      </w14:textFill>
                    </w:rPr>
                  </w:pPr>
                  <w:r>
                    <w:rPr>
                      <w:rFonts w:hint="eastAsia"/>
                      <w:kern w:val="0"/>
                      <w:sz w:val="21"/>
                      <w:szCs w:val="21"/>
                      <w:lang w:val="en-US" w:eastAsia="zh-CN"/>
                    </w:rPr>
                    <w:t>1</w:t>
                  </w:r>
                </w:p>
              </w:tc>
              <w:tc>
                <w:tcPr>
                  <w:tcW w:w="1214" w:type="dxa"/>
                  <w:shd w:val="clear" w:color="auto" w:fill="auto"/>
                  <w:vAlign w:val="center"/>
                </w:tcPr>
                <w:p w14:paraId="7AFA91A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w:t>
                  </w:r>
                </w:p>
              </w:tc>
              <w:tc>
                <w:tcPr>
                  <w:tcW w:w="582" w:type="dxa"/>
                  <w:vAlign w:val="center"/>
                </w:tcPr>
                <w:p w14:paraId="4A679E2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kern w:val="0"/>
                      <w:sz w:val="21"/>
                      <w:szCs w:val="21"/>
                      <w:lang w:val="en-US" w:eastAsia="zh-CN"/>
                    </w:rPr>
                  </w:pPr>
                  <w:r>
                    <w:rPr>
                      <w:rFonts w:hint="eastAsia"/>
                      <w:kern w:val="0"/>
                      <w:sz w:val="21"/>
                      <w:szCs w:val="21"/>
                      <w:lang w:val="en-US" w:eastAsia="zh-CN"/>
                    </w:rPr>
                    <w:t>0</w:t>
                  </w:r>
                </w:p>
              </w:tc>
            </w:tr>
            <w:tr w14:paraId="70483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A83E02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bottom w:val="single" w:color="auto" w:sz="4" w:space="0"/>
                  </w:tcBorders>
                  <w:vAlign w:val="center"/>
                </w:tcPr>
                <w:p w14:paraId="4D85D71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r>
                    <w:rPr>
                      <w:rFonts w:hint="eastAsia"/>
                      <w:kern w:val="0"/>
                      <w:sz w:val="21"/>
                      <w:szCs w:val="21"/>
                      <w:lang w:eastAsia="zh-CN"/>
                    </w:rPr>
                    <w:t>水泥计量</w:t>
                  </w:r>
                </w:p>
              </w:tc>
              <w:tc>
                <w:tcPr>
                  <w:tcW w:w="996" w:type="dxa"/>
                  <w:vAlign w:val="center"/>
                </w:tcPr>
                <w:p w14:paraId="5FC774C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lang w:eastAsia="zh-CN"/>
                      <w14:textFill>
                        <w14:solidFill>
                          <w14:schemeClr w14:val="tx1"/>
                        </w14:solidFill>
                      </w14:textFill>
                    </w:rPr>
                  </w:pPr>
                  <w:r>
                    <w:rPr>
                      <w:rFonts w:hint="eastAsia"/>
                      <w:kern w:val="0"/>
                      <w:sz w:val="21"/>
                      <w:szCs w:val="21"/>
                      <w:lang w:eastAsia="zh-CN"/>
                    </w:rPr>
                    <w:t>水泥计量</w:t>
                  </w:r>
                  <w:r>
                    <w:rPr>
                      <w:rFonts w:hint="eastAsia"/>
                      <w:kern w:val="0"/>
                      <w:sz w:val="21"/>
                      <w:szCs w:val="21"/>
                      <w:lang w:val="en-US" w:eastAsia="zh-CN"/>
                    </w:rPr>
                    <w:t>系统</w:t>
                  </w:r>
                </w:p>
              </w:tc>
              <w:tc>
                <w:tcPr>
                  <w:tcW w:w="772" w:type="dxa"/>
                  <w:vAlign w:val="center"/>
                </w:tcPr>
                <w:p w14:paraId="57CDBCB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kern w:val="0"/>
                      <w:sz w:val="21"/>
                      <w:szCs w:val="21"/>
                    </w:rPr>
                    <w:t>型号</w:t>
                  </w:r>
                </w:p>
              </w:tc>
              <w:tc>
                <w:tcPr>
                  <w:tcW w:w="1205" w:type="dxa"/>
                  <w:vAlign w:val="center"/>
                </w:tcPr>
                <w:p w14:paraId="2EC20A3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lang w:val="en-US" w:eastAsia="zh-CN"/>
                    </w:rPr>
                  </w:pPr>
                  <w:r>
                    <w:rPr>
                      <w:rFonts w:hint="eastAsia"/>
                      <w:kern w:val="0"/>
                      <w:sz w:val="21"/>
                      <w:szCs w:val="21"/>
                      <w:lang w:val="en-US" w:eastAsia="zh-CN"/>
                    </w:rPr>
                    <w:t>ZY1300</w:t>
                  </w:r>
                </w:p>
              </w:tc>
              <w:tc>
                <w:tcPr>
                  <w:tcW w:w="1227" w:type="dxa"/>
                  <w:vAlign w:val="center"/>
                </w:tcPr>
                <w:p w14:paraId="20AB1B7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00" w:themeColor="text1"/>
                      <w:kern w:val="0"/>
                      <w:sz w:val="21"/>
                      <w:szCs w:val="21"/>
                      <w:lang w:val="en-US" w:eastAsia="zh-CN"/>
                      <w14:textFill>
                        <w14:solidFill>
                          <w14:schemeClr w14:val="tx1"/>
                        </w14:solidFill>
                      </w14:textFill>
                    </w:rPr>
                  </w:pPr>
                  <w:r>
                    <w:rPr>
                      <w:rFonts w:hint="eastAsia"/>
                      <w:kern w:val="0"/>
                      <w:sz w:val="21"/>
                      <w:szCs w:val="21"/>
                      <w:lang w:val="en-US" w:eastAsia="zh-CN"/>
                    </w:rPr>
                    <w:t>1</w:t>
                  </w:r>
                </w:p>
              </w:tc>
              <w:tc>
                <w:tcPr>
                  <w:tcW w:w="1214" w:type="dxa"/>
                  <w:shd w:val="clear" w:color="auto" w:fill="auto"/>
                  <w:vAlign w:val="center"/>
                </w:tcPr>
                <w:p w14:paraId="43DC990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w:t>
                  </w:r>
                </w:p>
              </w:tc>
              <w:tc>
                <w:tcPr>
                  <w:tcW w:w="582" w:type="dxa"/>
                  <w:vAlign w:val="center"/>
                </w:tcPr>
                <w:p w14:paraId="745B5C5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kern w:val="0"/>
                      <w:sz w:val="21"/>
                      <w:szCs w:val="21"/>
                      <w:lang w:val="en-US" w:eastAsia="zh-CN"/>
                    </w:rPr>
                  </w:pPr>
                  <w:r>
                    <w:rPr>
                      <w:rFonts w:hint="eastAsia"/>
                      <w:kern w:val="0"/>
                      <w:sz w:val="21"/>
                      <w:szCs w:val="21"/>
                      <w:lang w:val="en-US" w:eastAsia="zh-CN"/>
                    </w:rPr>
                    <w:t>0</w:t>
                  </w:r>
                </w:p>
              </w:tc>
            </w:tr>
            <w:tr w14:paraId="2A703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07C70FC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bottom w:val="single" w:color="auto" w:sz="4" w:space="0"/>
                  </w:tcBorders>
                  <w:vAlign w:val="center"/>
                </w:tcPr>
                <w:p w14:paraId="02D0965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rPr>
                  </w:pPr>
                  <w:r>
                    <w:rPr>
                      <w:rFonts w:hint="eastAsia"/>
                      <w:color w:val="auto"/>
                      <w:kern w:val="0"/>
                      <w:sz w:val="21"/>
                      <w:szCs w:val="21"/>
                      <w:lang w:val="en-US" w:eastAsia="zh-CN"/>
                    </w:rPr>
                    <w:t>/</w:t>
                  </w:r>
                </w:p>
              </w:tc>
              <w:tc>
                <w:tcPr>
                  <w:tcW w:w="996" w:type="dxa"/>
                  <w:vAlign w:val="center"/>
                </w:tcPr>
                <w:p w14:paraId="2FC77AE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eastAsia="zh-CN"/>
                    </w:rPr>
                  </w:pPr>
                  <w:r>
                    <w:rPr>
                      <w:rFonts w:hint="eastAsia"/>
                      <w:color w:val="auto"/>
                      <w:kern w:val="0"/>
                      <w:sz w:val="21"/>
                      <w:szCs w:val="21"/>
                      <w:lang w:eastAsia="zh-CN"/>
                    </w:rPr>
                    <w:t>刺磙传</w:t>
                  </w:r>
                </w:p>
                <w:p w14:paraId="642AA3B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eastAsia="zh-CN"/>
                    </w:rPr>
                  </w:pPr>
                  <w:r>
                    <w:rPr>
                      <w:rFonts w:hint="eastAsia"/>
                      <w:color w:val="auto"/>
                      <w:kern w:val="0"/>
                      <w:sz w:val="21"/>
                      <w:szCs w:val="21"/>
                      <w:lang w:eastAsia="zh-CN"/>
                    </w:rPr>
                    <w:t>送机</w:t>
                  </w:r>
                </w:p>
              </w:tc>
              <w:tc>
                <w:tcPr>
                  <w:tcW w:w="772" w:type="dxa"/>
                  <w:vAlign w:val="center"/>
                </w:tcPr>
                <w:p w14:paraId="1F2C314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kern w:val="0"/>
                      <w:sz w:val="21"/>
                      <w:szCs w:val="21"/>
                    </w:rPr>
                    <w:t>型号</w:t>
                  </w:r>
                </w:p>
              </w:tc>
              <w:tc>
                <w:tcPr>
                  <w:tcW w:w="1205" w:type="dxa"/>
                  <w:vAlign w:val="center"/>
                </w:tcPr>
                <w:p w14:paraId="7C3C843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AB50型</w:t>
                  </w:r>
                </w:p>
              </w:tc>
              <w:tc>
                <w:tcPr>
                  <w:tcW w:w="1227" w:type="dxa"/>
                  <w:vAlign w:val="center"/>
                </w:tcPr>
                <w:p w14:paraId="7C17629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7E119CC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65F4EC7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34DF5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76C40D0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rFonts w:hint="eastAsia"/>
                      <w:kern w:val="0"/>
                      <w:sz w:val="21"/>
                      <w:szCs w:val="21"/>
                    </w:rPr>
                    <w:t>混合搅拌</w:t>
                  </w:r>
                </w:p>
              </w:tc>
              <w:tc>
                <w:tcPr>
                  <w:tcW w:w="968" w:type="dxa"/>
                  <w:tcBorders>
                    <w:bottom w:val="single" w:color="auto" w:sz="4" w:space="0"/>
                  </w:tcBorders>
                  <w:vAlign w:val="center"/>
                </w:tcPr>
                <w:p w14:paraId="01C35F6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kern w:val="0"/>
                      <w:sz w:val="21"/>
                      <w:szCs w:val="21"/>
                    </w:rPr>
                    <w:t>搅拌</w:t>
                  </w:r>
                </w:p>
              </w:tc>
              <w:tc>
                <w:tcPr>
                  <w:tcW w:w="996" w:type="dxa"/>
                  <w:vAlign w:val="center"/>
                </w:tcPr>
                <w:p w14:paraId="201B321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eastAsia="zh-CN"/>
                    </w:rPr>
                  </w:pPr>
                  <w:r>
                    <w:rPr>
                      <w:rFonts w:hint="eastAsia"/>
                      <w:color w:val="0000FF"/>
                      <w:kern w:val="0"/>
                      <w:sz w:val="21"/>
                      <w:szCs w:val="21"/>
                      <w:lang w:val="en-US" w:eastAsia="zh-CN"/>
                    </w:rPr>
                    <w:t>搅拌机</w:t>
                  </w:r>
                </w:p>
              </w:tc>
              <w:tc>
                <w:tcPr>
                  <w:tcW w:w="772" w:type="dxa"/>
                  <w:vAlign w:val="center"/>
                </w:tcPr>
                <w:p w14:paraId="5CCC79B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FF"/>
                      <w:kern w:val="0"/>
                      <w:sz w:val="21"/>
                      <w:szCs w:val="21"/>
                    </w:rPr>
                  </w:pPr>
                  <w:r>
                    <w:rPr>
                      <w:color w:val="0000FF"/>
                      <w:kern w:val="0"/>
                      <w:sz w:val="21"/>
                      <w:szCs w:val="21"/>
                    </w:rPr>
                    <w:t>型号</w:t>
                  </w:r>
                </w:p>
              </w:tc>
              <w:tc>
                <w:tcPr>
                  <w:tcW w:w="1205" w:type="dxa"/>
                  <w:vAlign w:val="center"/>
                </w:tcPr>
                <w:p w14:paraId="0B92FBDA">
                  <w:pPr>
                    <w:keepNext w:val="0"/>
                    <w:keepLines w:val="0"/>
                    <w:pageBreakBefore w:val="0"/>
                    <w:widowControl/>
                    <w:tabs>
                      <w:tab w:val="left" w:pos="337"/>
                    </w:tabs>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sz w:val="21"/>
                      <w:szCs w:val="21"/>
                      <w:lang w:val="en-US" w:eastAsia="zh-CN"/>
                    </w:rPr>
                    <w:t>150</w:t>
                  </w:r>
                  <w:r>
                    <w:rPr>
                      <w:color w:val="0000FF"/>
                      <w:sz w:val="21"/>
                      <w:szCs w:val="21"/>
                    </w:rPr>
                    <w:t>0</w:t>
                  </w:r>
                </w:p>
              </w:tc>
              <w:tc>
                <w:tcPr>
                  <w:tcW w:w="1227" w:type="dxa"/>
                  <w:vAlign w:val="center"/>
                </w:tcPr>
                <w:p w14:paraId="150B59B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2</w:t>
                  </w:r>
                </w:p>
              </w:tc>
              <w:tc>
                <w:tcPr>
                  <w:tcW w:w="1214" w:type="dxa"/>
                  <w:shd w:val="clear" w:color="auto" w:fill="auto"/>
                  <w:vAlign w:val="center"/>
                </w:tcPr>
                <w:p w14:paraId="784DCC1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2</w:t>
                  </w:r>
                </w:p>
              </w:tc>
              <w:tc>
                <w:tcPr>
                  <w:tcW w:w="582" w:type="dxa"/>
                  <w:vAlign w:val="center"/>
                </w:tcPr>
                <w:p w14:paraId="0E55678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FF"/>
                      <w:kern w:val="0"/>
                      <w:sz w:val="21"/>
                      <w:szCs w:val="21"/>
                      <w:lang w:val="en-US" w:eastAsia="zh-CN"/>
                    </w:rPr>
                  </w:pPr>
                  <w:r>
                    <w:rPr>
                      <w:rFonts w:hint="eastAsia"/>
                      <w:color w:val="0000FF"/>
                      <w:kern w:val="0"/>
                      <w:sz w:val="21"/>
                      <w:szCs w:val="21"/>
                      <w:lang w:val="en-US" w:eastAsia="zh-CN"/>
                    </w:rPr>
                    <w:t>0</w:t>
                  </w:r>
                </w:p>
              </w:tc>
            </w:tr>
            <w:tr w14:paraId="2FF91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183995C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p>
              </w:tc>
              <w:tc>
                <w:tcPr>
                  <w:tcW w:w="968" w:type="dxa"/>
                  <w:tcBorders>
                    <w:bottom w:val="single" w:color="auto" w:sz="4" w:space="0"/>
                  </w:tcBorders>
                  <w:shd w:val="clear" w:color="auto" w:fill="auto"/>
                  <w:vAlign w:val="center"/>
                </w:tcPr>
                <w:p w14:paraId="44A3293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rPr>
                    <w:t>搅拌</w:t>
                  </w:r>
                </w:p>
              </w:tc>
              <w:tc>
                <w:tcPr>
                  <w:tcW w:w="996" w:type="dxa"/>
                  <w:shd w:val="clear" w:color="auto" w:fill="auto"/>
                  <w:vAlign w:val="center"/>
                </w:tcPr>
                <w:p w14:paraId="172FA40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搅拌机</w:t>
                  </w:r>
                </w:p>
              </w:tc>
              <w:tc>
                <w:tcPr>
                  <w:tcW w:w="772" w:type="dxa"/>
                  <w:shd w:val="clear" w:color="auto" w:fill="auto"/>
                  <w:vAlign w:val="center"/>
                </w:tcPr>
                <w:p w14:paraId="23768FA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ascii="Times New Roman" w:hAnsi="Times New Roman" w:eastAsia="宋体" w:cs="Times New Roman"/>
                      <w:color w:val="0000FF"/>
                      <w:kern w:val="0"/>
                      <w:sz w:val="21"/>
                      <w:szCs w:val="21"/>
                      <w:lang w:val="en-US" w:eastAsia="zh-CN" w:bidi="ar-SA"/>
                    </w:rPr>
                  </w:pPr>
                  <w:r>
                    <w:rPr>
                      <w:color w:val="0000FF"/>
                      <w:kern w:val="0"/>
                      <w:sz w:val="21"/>
                      <w:szCs w:val="21"/>
                    </w:rPr>
                    <w:t>型号</w:t>
                  </w:r>
                </w:p>
              </w:tc>
              <w:tc>
                <w:tcPr>
                  <w:tcW w:w="1205" w:type="dxa"/>
                  <w:shd w:val="clear" w:color="auto" w:fill="auto"/>
                  <w:vAlign w:val="center"/>
                </w:tcPr>
                <w:p w14:paraId="7619D3AC">
                  <w:pPr>
                    <w:keepNext w:val="0"/>
                    <w:keepLines w:val="0"/>
                    <w:pageBreakBefore w:val="0"/>
                    <w:widowControl/>
                    <w:tabs>
                      <w:tab w:val="left" w:pos="337"/>
                    </w:tabs>
                    <w:kinsoku w:val="0"/>
                    <w:wordWrap/>
                    <w:overflowPunct/>
                    <w:topLinePunct w:val="0"/>
                    <w:autoSpaceDE w:val="0"/>
                    <w:autoSpaceDN w:val="0"/>
                    <w:bidi w:val="0"/>
                    <w:adjustRightInd w:val="0"/>
                    <w:snapToGrid w:val="0"/>
                    <w:spacing w:line="240" w:lineRule="atLeast"/>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sz w:val="21"/>
                      <w:szCs w:val="21"/>
                      <w:lang w:val="en-US" w:eastAsia="zh-CN"/>
                    </w:rPr>
                    <w:t>120型</w:t>
                  </w:r>
                </w:p>
              </w:tc>
              <w:tc>
                <w:tcPr>
                  <w:tcW w:w="1227" w:type="dxa"/>
                  <w:shd w:val="clear" w:color="auto" w:fill="auto"/>
                  <w:vAlign w:val="center"/>
                </w:tcPr>
                <w:p w14:paraId="28B2F0C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0</w:t>
                  </w:r>
                </w:p>
              </w:tc>
              <w:tc>
                <w:tcPr>
                  <w:tcW w:w="1214" w:type="dxa"/>
                  <w:shd w:val="clear" w:color="auto" w:fill="auto"/>
                  <w:vAlign w:val="center"/>
                </w:tcPr>
                <w:p w14:paraId="3F7DE05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1</w:t>
                  </w:r>
                </w:p>
              </w:tc>
              <w:tc>
                <w:tcPr>
                  <w:tcW w:w="582" w:type="dxa"/>
                  <w:shd w:val="clear" w:color="auto" w:fill="auto"/>
                  <w:vAlign w:val="center"/>
                </w:tcPr>
                <w:p w14:paraId="5132AC7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+1</w:t>
                  </w:r>
                </w:p>
              </w:tc>
            </w:tr>
            <w:tr w14:paraId="48818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2428339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p>
              </w:tc>
              <w:tc>
                <w:tcPr>
                  <w:tcW w:w="968" w:type="dxa"/>
                  <w:tcBorders>
                    <w:bottom w:val="single" w:color="auto" w:sz="4" w:space="0"/>
                  </w:tcBorders>
                  <w:vAlign w:val="center"/>
                </w:tcPr>
                <w:p w14:paraId="141AC9D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0000FF"/>
                      <w:kern w:val="0"/>
                      <w:sz w:val="21"/>
                      <w:szCs w:val="21"/>
                      <w:lang w:eastAsia="zh-CN"/>
                    </w:rPr>
                  </w:pPr>
                  <w:r>
                    <w:rPr>
                      <w:rFonts w:hint="eastAsia"/>
                      <w:color w:val="0000FF"/>
                      <w:kern w:val="0"/>
                      <w:sz w:val="21"/>
                      <w:szCs w:val="21"/>
                      <w:lang w:eastAsia="zh-CN"/>
                    </w:rPr>
                    <w:t>粉碎</w:t>
                  </w:r>
                </w:p>
              </w:tc>
              <w:tc>
                <w:tcPr>
                  <w:tcW w:w="996" w:type="dxa"/>
                  <w:vAlign w:val="center"/>
                </w:tcPr>
                <w:p w14:paraId="4ACFD86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kern w:val="0"/>
                      <w:sz w:val="21"/>
                      <w:szCs w:val="21"/>
                      <w:lang w:val="en-US" w:eastAsia="zh-CN"/>
                    </w:rPr>
                    <w:t>粉碎机</w:t>
                  </w:r>
                </w:p>
              </w:tc>
              <w:tc>
                <w:tcPr>
                  <w:tcW w:w="772" w:type="dxa"/>
                  <w:vAlign w:val="center"/>
                </w:tcPr>
                <w:p w14:paraId="640588A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FF"/>
                      <w:kern w:val="0"/>
                      <w:sz w:val="21"/>
                      <w:szCs w:val="21"/>
                    </w:rPr>
                  </w:pPr>
                  <w:r>
                    <w:rPr>
                      <w:color w:val="0000FF"/>
                      <w:kern w:val="0"/>
                      <w:sz w:val="21"/>
                      <w:szCs w:val="21"/>
                    </w:rPr>
                    <w:t>型号</w:t>
                  </w:r>
                </w:p>
              </w:tc>
              <w:tc>
                <w:tcPr>
                  <w:tcW w:w="1205" w:type="dxa"/>
                  <w:vAlign w:val="center"/>
                </w:tcPr>
                <w:p w14:paraId="24902E07">
                  <w:pPr>
                    <w:keepNext w:val="0"/>
                    <w:keepLines w:val="0"/>
                    <w:pageBreakBefore w:val="0"/>
                    <w:widowControl/>
                    <w:tabs>
                      <w:tab w:val="left" w:pos="337"/>
                    </w:tabs>
                    <w:kinsoku w:val="0"/>
                    <w:wordWrap/>
                    <w:overflowPunct/>
                    <w:topLinePunct w:val="0"/>
                    <w:autoSpaceDE w:val="0"/>
                    <w:autoSpaceDN w:val="0"/>
                    <w:bidi w:val="0"/>
                    <w:adjustRightInd w:val="0"/>
                    <w:snapToGrid w:val="0"/>
                    <w:spacing w:line="240" w:lineRule="atLeast"/>
                    <w:ind w:firstLine="0" w:firstLineChars="0"/>
                    <w:jc w:val="center"/>
                    <w:rPr>
                      <w:rFonts w:hint="default"/>
                      <w:color w:val="0000FF"/>
                      <w:sz w:val="21"/>
                      <w:szCs w:val="21"/>
                      <w:lang w:val="en-US" w:eastAsia="zh-CN"/>
                    </w:rPr>
                  </w:pPr>
                  <w:r>
                    <w:rPr>
                      <w:rFonts w:hint="eastAsia"/>
                      <w:color w:val="0000FF"/>
                      <w:sz w:val="21"/>
                      <w:szCs w:val="21"/>
                      <w:lang w:val="en-US" w:eastAsia="zh-CN"/>
                    </w:rPr>
                    <w:t>120型</w:t>
                  </w:r>
                </w:p>
              </w:tc>
              <w:tc>
                <w:tcPr>
                  <w:tcW w:w="1227" w:type="dxa"/>
                  <w:vAlign w:val="center"/>
                </w:tcPr>
                <w:p w14:paraId="4D02589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0</w:t>
                  </w:r>
                </w:p>
              </w:tc>
              <w:tc>
                <w:tcPr>
                  <w:tcW w:w="1214" w:type="dxa"/>
                  <w:shd w:val="clear" w:color="auto" w:fill="auto"/>
                  <w:vAlign w:val="center"/>
                </w:tcPr>
                <w:p w14:paraId="7400344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1</w:t>
                  </w:r>
                </w:p>
              </w:tc>
              <w:tc>
                <w:tcPr>
                  <w:tcW w:w="582" w:type="dxa"/>
                  <w:vAlign w:val="center"/>
                </w:tcPr>
                <w:p w14:paraId="7594978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+1</w:t>
                  </w:r>
                </w:p>
              </w:tc>
            </w:tr>
            <w:tr w14:paraId="6B1BA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0D8F6D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p>
              </w:tc>
              <w:tc>
                <w:tcPr>
                  <w:tcW w:w="968" w:type="dxa"/>
                  <w:tcBorders>
                    <w:bottom w:val="single" w:color="auto" w:sz="4" w:space="0"/>
                  </w:tcBorders>
                  <w:vAlign w:val="center"/>
                </w:tcPr>
                <w:p w14:paraId="65BCB6F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0000FF"/>
                      <w:kern w:val="0"/>
                      <w:sz w:val="21"/>
                      <w:szCs w:val="21"/>
                      <w:lang w:eastAsia="zh-CN"/>
                    </w:rPr>
                  </w:pPr>
                  <w:r>
                    <w:rPr>
                      <w:rFonts w:hint="eastAsia"/>
                      <w:color w:val="0000FF"/>
                      <w:kern w:val="0"/>
                      <w:sz w:val="21"/>
                      <w:szCs w:val="21"/>
                      <w:lang w:eastAsia="zh-CN"/>
                    </w:rPr>
                    <w:t>分筛</w:t>
                  </w:r>
                </w:p>
              </w:tc>
              <w:tc>
                <w:tcPr>
                  <w:tcW w:w="996" w:type="dxa"/>
                  <w:vAlign w:val="center"/>
                </w:tcPr>
                <w:p w14:paraId="2BD7426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kern w:val="0"/>
                      <w:sz w:val="21"/>
                      <w:szCs w:val="21"/>
                      <w:lang w:val="en-US" w:eastAsia="zh-CN"/>
                    </w:rPr>
                    <w:t>分筛机</w:t>
                  </w:r>
                </w:p>
              </w:tc>
              <w:tc>
                <w:tcPr>
                  <w:tcW w:w="772" w:type="dxa"/>
                  <w:shd w:val="clear" w:color="auto" w:fill="auto"/>
                  <w:vAlign w:val="center"/>
                </w:tcPr>
                <w:p w14:paraId="1E96122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ascii="Times New Roman" w:hAnsi="Times New Roman" w:eastAsia="宋体" w:cs="Times New Roman"/>
                      <w:color w:val="0000FF"/>
                      <w:kern w:val="0"/>
                      <w:sz w:val="21"/>
                      <w:szCs w:val="21"/>
                      <w:lang w:val="en-US" w:eastAsia="zh-CN" w:bidi="ar-SA"/>
                    </w:rPr>
                  </w:pPr>
                  <w:r>
                    <w:rPr>
                      <w:color w:val="0000FF"/>
                      <w:kern w:val="0"/>
                      <w:sz w:val="21"/>
                      <w:szCs w:val="21"/>
                    </w:rPr>
                    <w:t>型号</w:t>
                  </w:r>
                </w:p>
              </w:tc>
              <w:tc>
                <w:tcPr>
                  <w:tcW w:w="1205" w:type="dxa"/>
                  <w:shd w:val="clear" w:color="auto" w:fill="auto"/>
                  <w:vAlign w:val="center"/>
                </w:tcPr>
                <w:p w14:paraId="3587614A">
                  <w:pPr>
                    <w:keepNext w:val="0"/>
                    <w:keepLines w:val="0"/>
                    <w:pageBreakBefore w:val="0"/>
                    <w:widowControl/>
                    <w:tabs>
                      <w:tab w:val="left" w:pos="337"/>
                    </w:tabs>
                    <w:kinsoku w:val="0"/>
                    <w:wordWrap/>
                    <w:overflowPunct/>
                    <w:topLinePunct w:val="0"/>
                    <w:autoSpaceDE w:val="0"/>
                    <w:autoSpaceDN w:val="0"/>
                    <w:bidi w:val="0"/>
                    <w:adjustRightInd w:val="0"/>
                    <w:snapToGrid w:val="0"/>
                    <w:spacing w:line="240" w:lineRule="atLeast"/>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sz w:val="21"/>
                      <w:szCs w:val="21"/>
                      <w:lang w:val="en-US" w:eastAsia="zh-CN"/>
                    </w:rPr>
                    <w:t>100型</w:t>
                  </w:r>
                </w:p>
              </w:tc>
              <w:tc>
                <w:tcPr>
                  <w:tcW w:w="1227" w:type="dxa"/>
                  <w:shd w:val="clear" w:color="auto" w:fill="auto"/>
                  <w:vAlign w:val="center"/>
                </w:tcPr>
                <w:p w14:paraId="2458DF5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0</w:t>
                  </w:r>
                </w:p>
              </w:tc>
              <w:tc>
                <w:tcPr>
                  <w:tcW w:w="1214" w:type="dxa"/>
                  <w:shd w:val="clear" w:color="auto" w:fill="auto"/>
                  <w:vAlign w:val="center"/>
                </w:tcPr>
                <w:p w14:paraId="2B374CE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1</w:t>
                  </w:r>
                </w:p>
              </w:tc>
              <w:tc>
                <w:tcPr>
                  <w:tcW w:w="582" w:type="dxa"/>
                  <w:shd w:val="clear" w:color="auto" w:fill="auto"/>
                  <w:vAlign w:val="center"/>
                </w:tcPr>
                <w:p w14:paraId="04F64A7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+1</w:t>
                  </w:r>
                </w:p>
              </w:tc>
            </w:tr>
            <w:tr w14:paraId="6CF67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3A61B3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rPr>
                  </w:pPr>
                </w:p>
              </w:tc>
              <w:tc>
                <w:tcPr>
                  <w:tcW w:w="968" w:type="dxa"/>
                  <w:tcBorders>
                    <w:bottom w:val="single" w:color="auto" w:sz="4" w:space="0"/>
                  </w:tcBorders>
                  <w:vAlign w:val="center"/>
                </w:tcPr>
                <w:p w14:paraId="316A695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eastAsia="zh-CN"/>
                    </w:rPr>
                  </w:pPr>
                  <w:r>
                    <w:rPr>
                      <w:rFonts w:hint="eastAsia"/>
                      <w:color w:val="0000FF"/>
                      <w:kern w:val="0"/>
                      <w:sz w:val="21"/>
                      <w:szCs w:val="21"/>
                      <w:lang w:eastAsia="zh-CN"/>
                    </w:rPr>
                    <w:t>翻抛</w:t>
                  </w:r>
                </w:p>
              </w:tc>
              <w:tc>
                <w:tcPr>
                  <w:tcW w:w="996" w:type="dxa"/>
                  <w:vAlign w:val="center"/>
                </w:tcPr>
                <w:p w14:paraId="7A45524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kern w:val="0"/>
                      <w:sz w:val="21"/>
                      <w:szCs w:val="21"/>
                      <w:lang w:eastAsia="zh-CN"/>
                    </w:rPr>
                    <w:t>翻抛机</w:t>
                  </w:r>
                </w:p>
              </w:tc>
              <w:tc>
                <w:tcPr>
                  <w:tcW w:w="772" w:type="dxa"/>
                  <w:shd w:val="clear" w:color="auto" w:fill="auto"/>
                  <w:vAlign w:val="center"/>
                </w:tcPr>
                <w:p w14:paraId="63EAB84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ascii="Times New Roman" w:hAnsi="Times New Roman" w:eastAsia="宋体" w:cs="Times New Roman"/>
                      <w:color w:val="0000FF"/>
                      <w:kern w:val="0"/>
                      <w:sz w:val="21"/>
                      <w:szCs w:val="21"/>
                      <w:lang w:val="en-US" w:eastAsia="zh-CN" w:bidi="ar-SA"/>
                    </w:rPr>
                  </w:pPr>
                  <w:r>
                    <w:rPr>
                      <w:color w:val="0000FF"/>
                      <w:kern w:val="0"/>
                      <w:sz w:val="21"/>
                      <w:szCs w:val="21"/>
                    </w:rPr>
                    <w:t>型号</w:t>
                  </w:r>
                </w:p>
              </w:tc>
              <w:tc>
                <w:tcPr>
                  <w:tcW w:w="1205" w:type="dxa"/>
                  <w:shd w:val="clear" w:color="auto" w:fill="auto"/>
                  <w:vAlign w:val="center"/>
                </w:tcPr>
                <w:p w14:paraId="4EEC37B6">
                  <w:pPr>
                    <w:keepNext w:val="0"/>
                    <w:keepLines w:val="0"/>
                    <w:pageBreakBefore w:val="0"/>
                    <w:widowControl/>
                    <w:tabs>
                      <w:tab w:val="left" w:pos="337"/>
                    </w:tabs>
                    <w:kinsoku w:val="0"/>
                    <w:wordWrap/>
                    <w:overflowPunct/>
                    <w:topLinePunct w:val="0"/>
                    <w:autoSpaceDE w:val="0"/>
                    <w:autoSpaceDN w:val="0"/>
                    <w:bidi w:val="0"/>
                    <w:adjustRightInd w:val="0"/>
                    <w:snapToGrid w:val="0"/>
                    <w:spacing w:line="240" w:lineRule="atLeast"/>
                    <w:ind w:firstLine="0" w:firstLineChars="0"/>
                    <w:jc w:val="center"/>
                    <w:rPr>
                      <w:rFonts w:hint="default" w:ascii="Times New Roman" w:hAnsi="Times New Roman" w:eastAsia="宋体" w:cs="Times New Roman"/>
                      <w:color w:val="0000FF"/>
                      <w:kern w:val="0"/>
                      <w:sz w:val="21"/>
                      <w:szCs w:val="21"/>
                      <w:lang w:val="en-US" w:eastAsia="zh-CN" w:bidi="ar-SA"/>
                    </w:rPr>
                  </w:pPr>
                  <w:r>
                    <w:rPr>
                      <w:rFonts w:hint="eastAsia"/>
                      <w:color w:val="0000FF"/>
                      <w:sz w:val="21"/>
                      <w:szCs w:val="21"/>
                      <w:lang w:val="en-US" w:eastAsia="zh-CN"/>
                    </w:rPr>
                    <w:t>3500</w:t>
                  </w:r>
                </w:p>
              </w:tc>
              <w:tc>
                <w:tcPr>
                  <w:tcW w:w="1227" w:type="dxa"/>
                  <w:shd w:val="clear" w:color="auto" w:fill="auto"/>
                  <w:vAlign w:val="center"/>
                </w:tcPr>
                <w:p w14:paraId="7CB2968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0</w:t>
                  </w:r>
                </w:p>
              </w:tc>
              <w:tc>
                <w:tcPr>
                  <w:tcW w:w="1214" w:type="dxa"/>
                  <w:shd w:val="clear" w:color="auto" w:fill="auto"/>
                  <w:vAlign w:val="center"/>
                </w:tcPr>
                <w:p w14:paraId="52828EF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1</w:t>
                  </w:r>
                </w:p>
              </w:tc>
              <w:tc>
                <w:tcPr>
                  <w:tcW w:w="582" w:type="dxa"/>
                  <w:shd w:val="clear" w:color="auto" w:fill="auto"/>
                  <w:vAlign w:val="center"/>
                </w:tcPr>
                <w:p w14:paraId="6F5DDCC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0000FF"/>
                      <w:kern w:val="0"/>
                      <w:sz w:val="21"/>
                      <w:szCs w:val="21"/>
                      <w:lang w:val="en-US" w:eastAsia="zh-CN" w:bidi="ar-SA"/>
                    </w:rPr>
                  </w:pPr>
                  <w:r>
                    <w:rPr>
                      <w:rFonts w:hint="eastAsia"/>
                      <w:color w:val="0000FF"/>
                      <w:kern w:val="0"/>
                      <w:sz w:val="21"/>
                      <w:szCs w:val="21"/>
                      <w:lang w:val="en-US" w:eastAsia="zh-CN"/>
                    </w:rPr>
                    <w:t>+1</w:t>
                  </w:r>
                </w:p>
              </w:tc>
            </w:tr>
            <w:tr w14:paraId="390C6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2FDB71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bottom w:val="single" w:color="auto" w:sz="4" w:space="0"/>
                  </w:tcBorders>
                  <w:vAlign w:val="center"/>
                </w:tcPr>
                <w:p w14:paraId="29306FB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投料</w:t>
                  </w:r>
                </w:p>
              </w:tc>
              <w:tc>
                <w:tcPr>
                  <w:tcW w:w="996" w:type="dxa"/>
                  <w:vAlign w:val="center"/>
                </w:tcPr>
                <w:p w14:paraId="41F8EB4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投料机（两仓）</w:t>
                  </w:r>
                </w:p>
              </w:tc>
              <w:tc>
                <w:tcPr>
                  <w:tcW w:w="772" w:type="dxa"/>
                  <w:vAlign w:val="center"/>
                </w:tcPr>
                <w:p w14:paraId="2930265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kern w:val="0"/>
                      <w:sz w:val="21"/>
                      <w:szCs w:val="21"/>
                    </w:rPr>
                    <w:t>型号</w:t>
                  </w:r>
                </w:p>
              </w:tc>
              <w:tc>
                <w:tcPr>
                  <w:tcW w:w="1205" w:type="dxa"/>
                  <w:vAlign w:val="center"/>
                </w:tcPr>
                <w:p w14:paraId="40981FAB">
                  <w:pPr>
                    <w:keepNext w:val="0"/>
                    <w:keepLines w:val="0"/>
                    <w:pageBreakBefore w:val="0"/>
                    <w:widowControl/>
                    <w:tabs>
                      <w:tab w:val="left" w:pos="337"/>
                    </w:tabs>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1227" w:type="dxa"/>
                  <w:vAlign w:val="center"/>
                </w:tcPr>
                <w:p w14:paraId="3CBC159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4826119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718160E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20C46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46F86AA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压力</w:t>
                  </w:r>
                  <w:r>
                    <w:rPr>
                      <w:rFonts w:hint="eastAsia"/>
                      <w:color w:val="000000" w:themeColor="text1"/>
                      <w:kern w:val="0"/>
                      <w:sz w:val="21"/>
                      <w:szCs w:val="21"/>
                      <w14:textFill>
                        <w14:solidFill>
                          <w14:schemeClr w14:val="tx1"/>
                        </w14:solidFill>
                      </w14:textFill>
                    </w:rPr>
                    <w:t>成型</w:t>
                  </w:r>
                </w:p>
                <w:p w14:paraId="0DD3A56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bottom w:val="single" w:color="auto" w:sz="4" w:space="0"/>
                  </w:tcBorders>
                  <w:vAlign w:val="center"/>
                </w:tcPr>
                <w:p w14:paraId="7B94AA4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rPr>
                  </w:pPr>
                  <w:r>
                    <w:rPr>
                      <w:rFonts w:hint="eastAsia"/>
                      <w:color w:val="auto"/>
                      <w:kern w:val="0"/>
                      <w:sz w:val="21"/>
                      <w:szCs w:val="21"/>
                    </w:rPr>
                    <w:t>压力</w:t>
                  </w:r>
                </w:p>
                <w:p w14:paraId="2733D0E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rPr>
                    <w:t>成型</w:t>
                  </w:r>
                </w:p>
              </w:tc>
              <w:tc>
                <w:tcPr>
                  <w:tcW w:w="996" w:type="dxa"/>
                  <w:vAlign w:val="center"/>
                </w:tcPr>
                <w:p w14:paraId="2AF5631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kern w:val="0"/>
                      <w:sz w:val="21"/>
                      <w:szCs w:val="21"/>
                      <w:lang w:eastAsia="zh-CN"/>
                    </w:rPr>
                  </w:pPr>
                  <w:r>
                    <w:rPr>
                      <w:rFonts w:hint="eastAsia"/>
                      <w:color w:val="auto"/>
                      <w:kern w:val="0"/>
                      <w:sz w:val="21"/>
                      <w:szCs w:val="21"/>
                      <w:lang w:eastAsia="zh-CN"/>
                    </w:rPr>
                    <w:t>双压静压砖机</w:t>
                  </w:r>
                </w:p>
              </w:tc>
              <w:tc>
                <w:tcPr>
                  <w:tcW w:w="772" w:type="dxa"/>
                  <w:vAlign w:val="center"/>
                </w:tcPr>
                <w:p w14:paraId="23B32E0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kern w:val="0"/>
                      <w:sz w:val="21"/>
                      <w:szCs w:val="21"/>
                    </w:rPr>
                    <w:t>型号</w:t>
                  </w:r>
                </w:p>
              </w:tc>
              <w:tc>
                <w:tcPr>
                  <w:tcW w:w="1205" w:type="dxa"/>
                  <w:vAlign w:val="center"/>
                </w:tcPr>
                <w:p w14:paraId="4E5D79D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1300T</w:t>
                  </w:r>
                </w:p>
              </w:tc>
              <w:tc>
                <w:tcPr>
                  <w:tcW w:w="1227" w:type="dxa"/>
                  <w:vAlign w:val="center"/>
                </w:tcPr>
                <w:p w14:paraId="2DD4972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eastAsia="宋体"/>
                      <w:color w:val="auto"/>
                      <w:kern w:val="0"/>
                      <w:sz w:val="21"/>
                      <w:szCs w:val="21"/>
                      <w:lang w:val="en-US" w:eastAsia="zh-CN"/>
                    </w:rPr>
                  </w:pPr>
                  <w:r>
                    <w:rPr>
                      <w:rFonts w:hint="eastAsia"/>
                      <w:color w:val="auto"/>
                      <w:kern w:val="0"/>
                      <w:sz w:val="21"/>
                      <w:szCs w:val="21"/>
                      <w:lang w:val="en-US" w:eastAsia="zh-CN"/>
                    </w:rPr>
                    <w:t>3</w:t>
                  </w:r>
                </w:p>
              </w:tc>
              <w:tc>
                <w:tcPr>
                  <w:tcW w:w="1214" w:type="dxa"/>
                  <w:shd w:val="clear" w:color="auto" w:fill="auto"/>
                  <w:vAlign w:val="center"/>
                </w:tcPr>
                <w:p w14:paraId="3836259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w:t>
                  </w:r>
                </w:p>
              </w:tc>
              <w:tc>
                <w:tcPr>
                  <w:tcW w:w="582" w:type="dxa"/>
                  <w:vAlign w:val="center"/>
                </w:tcPr>
                <w:p w14:paraId="20BE305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27B98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349A56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p>
              </w:tc>
              <w:tc>
                <w:tcPr>
                  <w:tcW w:w="968" w:type="dxa"/>
                  <w:tcBorders>
                    <w:bottom w:val="single" w:color="auto" w:sz="4" w:space="0"/>
                  </w:tcBorders>
                  <w:vAlign w:val="center"/>
                </w:tcPr>
                <w:p w14:paraId="45EB1BA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eastAsia="宋体"/>
                      <w:color w:val="auto"/>
                      <w:kern w:val="0"/>
                      <w:sz w:val="21"/>
                      <w:szCs w:val="21"/>
                      <w:lang w:val="en-US" w:eastAsia="zh-CN"/>
                    </w:rPr>
                  </w:pPr>
                  <w:r>
                    <w:rPr>
                      <w:rFonts w:hint="eastAsia"/>
                      <w:color w:val="auto"/>
                      <w:kern w:val="0"/>
                      <w:sz w:val="21"/>
                      <w:szCs w:val="21"/>
                    </w:rPr>
                    <w:t>/</w:t>
                  </w:r>
                </w:p>
              </w:tc>
              <w:tc>
                <w:tcPr>
                  <w:tcW w:w="996" w:type="dxa"/>
                  <w:vAlign w:val="center"/>
                </w:tcPr>
                <w:p w14:paraId="2F0927B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皮带输送机</w:t>
                  </w:r>
                </w:p>
              </w:tc>
              <w:tc>
                <w:tcPr>
                  <w:tcW w:w="772" w:type="dxa"/>
                  <w:vAlign w:val="center"/>
                </w:tcPr>
                <w:p w14:paraId="4A9A6D1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lang w:val="en-US" w:eastAsia="zh-CN"/>
                    </w:rPr>
                    <w:t>型号</w:t>
                  </w:r>
                </w:p>
              </w:tc>
              <w:tc>
                <w:tcPr>
                  <w:tcW w:w="1205" w:type="dxa"/>
                  <w:vAlign w:val="center"/>
                </w:tcPr>
                <w:p w14:paraId="2AD4DA4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500cm</w:t>
                  </w:r>
                </w:p>
              </w:tc>
              <w:tc>
                <w:tcPr>
                  <w:tcW w:w="1227" w:type="dxa"/>
                  <w:vAlign w:val="center"/>
                </w:tcPr>
                <w:p w14:paraId="11E8C9C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3</w:t>
                  </w:r>
                </w:p>
              </w:tc>
              <w:tc>
                <w:tcPr>
                  <w:tcW w:w="1214" w:type="dxa"/>
                  <w:shd w:val="clear" w:color="auto" w:fill="auto"/>
                  <w:vAlign w:val="center"/>
                </w:tcPr>
                <w:p w14:paraId="6593C5D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w:t>
                  </w:r>
                </w:p>
              </w:tc>
              <w:tc>
                <w:tcPr>
                  <w:tcW w:w="582" w:type="dxa"/>
                  <w:vAlign w:val="center"/>
                </w:tcPr>
                <w:p w14:paraId="00B6011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0FC76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1F2C458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p>
              </w:tc>
              <w:tc>
                <w:tcPr>
                  <w:tcW w:w="968" w:type="dxa"/>
                  <w:tcBorders>
                    <w:bottom w:val="single" w:color="auto" w:sz="4" w:space="0"/>
                  </w:tcBorders>
                  <w:vAlign w:val="center"/>
                </w:tcPr>
                <w:p w14:paraId="626417B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rPr>
                  </w:pPr>
                  <w:r>
                    <w:rPr>
                      <w:rFonts w:hint="eastAsia"/>
                      <w:color w:val="0000FF"/>
                      <w:kern w:val="0"/>
                      <w:sz w:val="21"/>
                      <w:szCs w:val="21"/>
                    </w:rPr>
                    <w:t>/</w:t>
                  </w:r>
                </w:p>
              </w:tc>
              <w:tc>
                <w:tcPr>
                  <w:tcW w:w="996" w:type="dxa"/>
                  <w:vAlign w:val="center"/>
                </w:tcPr>
                <w:p w14:paraId="439469B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kern w:val="0"/>
                      <w:sz w:val="21"/>
                      <w:szCs w:val="21"/>
                      <w:lang w:val="en-US" w:eastAsia="zh-CN"/>
                    </w:rPr>
                    <w:t>皮带输送机</w:t>
                  </w:r>
                </w:p>
              </w:tc>
              <w:tc>
                <w:tcPr>
                  <w:tcW w:w="772" w:type="dxa"/>
                  <w:vAlign w:val="center"/>
                </w:tcPr>
                <w:p w14:paraId="67AE5C5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lang w:val="en-US" w:eastAsia="zh-CN"/>
                    </w:rPr>
                  </w:pPr>
                  <w:r>
                    <w:rPr>
                      <w:rFonts w:hint="eastAsia"/>
                      <w:color w:val="0000FF"/>
                      <w:kern w:val="0"/>
                      <w:sz w:val="21"/>
                      <w:szCs w:val="21"/>
                      <w:lang w:val="en-US" w:eastAsia="zh-CN"/>
                    </w:rPr>
                    <w:t>型号</w:t>
                  </w:r>
                </w:p>
              </w:tc>
              <w:tc>
                <w:tcPr>
                  <w:tcW w:w="1205" w:type="dxa"/>
                  <w:vAlign w:val="center"/>
                </w:tcPr>
                <w:p w14:paraId="016B3EF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0000FF"/>
                      <w:kern w:val="0"/>
                      <w:sz w:val="21"/>
                      <w:szCs w:val="21"/>
                      <w:lang w:val="en-US" w:eastAsia="zh-CN"/>
                    </w:rPr>
                  </w:pPr>
                  <w:r>
                    <w:rPr>
                      <w:rFonts w:hint="eastAsia"/>
                      <w:color w:val="0000FF"/>
                      <w:kern w:val="0"/>
                      <w:sz w:val="21"/>
                      <w:szCs w:val="21"/>
                      <w:lang w:val="en-US" w:eastAsia="zh-CN"/>
                    </w:rPr>
                    <w:t>100型</w:t>
                  </w:r>
                </w:p>
              </w:tc>
              <w:tc>
                <w:tcPr>
                  <w:tcW w:w="1227" w:type="dxa"/>
                  <w:vAlign w:val="center"/>
                </w:tcPr>
                <w:p w14:paraId="14D99FB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0</w:t>
                  </w:r>
                </w:p>
              </w:tc>
              <w:tc>
                <w:tcPr>
                  <w:tcW w:w="1214" w:type="dxa"/>
                  <w:shd w:val="clear" w:color="auto" w:fill="auto"/>
                  <w:vAlign w:val="center"/>
                </w:tcPr>
                <w:p w14:paraId="699FF28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1</w:t>
                  </w:r>
                </w:p>
              </w:tc>
              <w:tc>
                <w:tcPr>
                  <w:tcW w:w="582" w:type="dxa"/>
                  <w:vAlign w:val="center"/>
                </w:tcPr>
                <w:p w14:paraId="62C7A35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0000FF"/>
                      <w:kern w:val="0"/>
                      <w:sz w:val="21"/>
                      <w:szCs w:val="21"/>
                      <w:lang w:val="en-US" w:eastAsia="zh-CN"/>
                    </w:rPr>
                  </w:pPr>
                  <w:r>
                    <w:rPr>
                      <w:rFonts w:hint="eastAsia"/>
                      <w:color w:val="0000FF"/>
                      <w:kern w:val="0"/>
                      <w:sz w:val="21"/>
                      <w:szCs w:val="21"/>
                      <w:lang w:val="en-US" w:eastAsia="zh-CN"/>
                    </w:rPr>
                    <w:t>+1</w:t>
                  </w:r>
                </w:p>
              </w:tc>
            </w:tr>
            <w:tr w14:paraId="00150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26A03D9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p>
              </w:tc>
              <w:tc>
                <w:tcPr>
                  <w:tcW w:w="968" w:type="dxa"/>
                  <w:tcBorders>
                    <w:bottom w:val="single" w:color="auto" w:sz="4" w:space="0"/>
                  </w:tcBorders>
                  <w:vAlign w:val="center"/>
                </w:tcPr>
                <w:p w14:paraId="233E866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kern w:val="0"/>
                      <w:sz w:val="21"/>
                      <w:szCs w:val="21"/>
                      <w:lang w:eastAsia="zh-CN"/>
                    </w:rPr>
                  </w:pPr>
                  <w:r>
                    <w:rPr>
                      <w:rFonts w:hint="eastAsia"/>
                      <w:color w:val="auto"/>
                      <w:kern w:val="0"/>
                      <w:sz w:val="21"/>
                      <w:szCs w:val="21"/>
                    </w:rPr>
                    <w:t>/</w:t>
                  </w:r>
                </w:p>
              </w:tc>
              <w:tc>
                <w:tcPr>
                  <w:tcW w:w="996" w:type="dxa"/>
                  <w:vAlign w:val="center"/>
                </w:tcPr>
                <w:p w14:paraId="6C9B700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eastAsia="zh-CN"/>
                    </w:rPr>
                  </w:pPr>
                  <w:r>
                    <w:rPr>
                      <w:rFonts w:hint="eastAsia"/>
                      <w:color w:val="auto"/>
                      <w:kern w:val="0"/>
                      <w:sz w:val="21"/>
                      <w:szCs w:val="21"/>
                      <w:lang w:eastAsia="zh-CN"/>
                    </w:rPr>
                    <w:t>液压系统</w:t>
                  </w:r>
                </w:p>
              </w:tc>
              <w:tc>
                <w:tcPr>
                  <w:tcW w:w="772" w:type="dxa"/>
                  <w:vAlign w:val="center"/>
                </w:tcPr>
                <w:p w14:paraId="3CC99DC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lang w:val="en-US" w:eastAsia="zh-CN"/>
                    </w:rPr>
                    <w:t>功率</w:t>
                  </w:r>
                </w:p>
              </w:tc>
              <w:tc>
                <w:tcPr>
                  <w:tcW w:w="1205" w:type="dxa"/>
                  <w:vAlign w:val="center"/>
                </w:tcPr>
                <w:p w14:paraId="577376B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90KW</w:t>
                  </w:r>
                </w:p>
              </w:tc>
              <w:tc>
                <w:tcPr>
                  <w:tcW w:w="1227" w:type="dxa"/>
                  <w:vAlign w:val="center"/>
                </w:tcPr>
                <w:p w14:paraId="17CC0B6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90</w:t>
                  </w:r>
                </w:p>
              </w:tc>
              <w:tc>
                <w:tcPr>
                  <w:tcW w:w="1214" w:type="dxa"/>
                  <w:shd w:val="clear" w:color="auto" w:fill="auto"/>
                  <w:vAlign w:val="center"/>
                </w:tcPr>
                <w:p w14:paraId="2954C63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90</w:t>
                  </w:r>
                </w:p>
              </w:tc>
              <w:tc>
                <w:tcPr>
                  <w:tcW w:w="582" w:type="dxa"/>
                  <w:vAlign w:val="center"/>
                </w:tcPr>
                <w:p w14:paraId="756EC29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358F1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DCD25A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14:textFill>
                        <w14:solidFill>
                          <w14:schemeClr w14:val="tx1"/>
                        </w14:solidFill>
                      </w14:textFill>
                    </w:rPr>
                  </w:pPr>
                </w:p>
              </w:tc>
              <w:tc>
                <w:tcPr>
                  <w:tcW w:w="968" w:type="dxa"/>
                  <w:tcBorders>
                    <w:bottom w:val="single" w:color="auto" w:sz="4" w:space="0"/>
                  </w:tcBorders>
                  <w:vAlign w:val="center"/>
                </w:tcPr>
                <w:p w14:paraId="3ADFEEA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kern w:val="0"/>
                      <w:sz w:val="21"/>
                      <w:szCs w:val="21"/>
                      <w:lang w:eastAsia="zh-CN"/>
                    </w:rPr>
                  </w:pPr>
                  <w:r>
                    <w:rPr>
                      <w:rFonts w:hint="eastAsia"/>
                      <w:color w:val="auto"/>
                      <w:kern w:val="0"/>
                      <w:sz w:val="21"/>
                      <w:szCs w:val="21"/>
                    </w:rPr>
                    <w:t>/</w:t>
                  </w:r>
                </w:p>
              </w:tc>
              <w:tc>
                <w:tcPr>
                  <w:tcW w:w="996" w:type="dxa"/>
                  <w:vAlign w:val="center"/>
                </w:tcPr>
                <w:p w14:paraId="12675C1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eastAsia="zh-CN"/>
                    </w:rPr>
                  </w:pPr>
                  <w:r>
                    <w:rPr>
                      <w:rFonts w:hint="eastAsia"/>
                      <w:color w:val="auto"/>
                      <w:kern w:val="0"/>
                      <w:sz w:val="21"/>
                      <w:szCs w:val="21"/>
                      <w:lang w:eastAsia="zh-CN"/>
                    </w:rPr>
                    <w:t>电控系统</w:t>
                  </w:r>
                </w:p>
              </w:tc>
              <w:tc>
                <w:tcPr>
                  <w:tcW w:w="772" w:type="dxa"/>
                  <w:vAlign w:val="center"/>
                </w:tcPr>
                <w:p w14:paraId="478CA51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lang w:val="en-US" w:eastAsia="zh-CN"/>
                    </w:rPr>
                    <w:t>型号</w:t>
                  </w:r>
                </w:p>
              </w:tc>
              <w:tc>
                <w:tcPr>
                  <w:tcW w:w="1205" w:type="dxa"/>
                  <w:vAlign w:val="center"/>
                </w:tcPr>
                <w:p w14:paraId="01B5980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ZY1300</w:t>
                  </w:r>
                </w:p>
              </w:tc>
              <w:tc>
                <w:tcPr>
                  <w:tcW w:w="1227" w:type="dxa"/>
                  <w:vAlign w:val="center"/>
                </w:tcPr>
                <w:p w14:paraId="796F486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0500BA8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7D5001D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2B0B4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A2F527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top w:val="single" w:color="auto" w:sz="4" w:space="0"/>
                  </w:tcBorders>
                  <w:vAlign w:val="center"/>
                </w:tcPr>
                <w:p w14:paraId="444AE35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color w:val="auto"/>
                      <w:sz w:val="21"/>
                      <w:szCs w:val="21"/>
                    </w:rPr>
                    <w:t>固化</w:t>
                  </w:r>
                </w:p>
                <w:p w14:paraId="5C64898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rPr>
                    <w:t>成型</w:t>
                  </w:r>
                </w:p>
              </w:tc>
              <w:tc>
                <w:tcPr>
                  <w:tcW w:w="996" w:type="dxa"/>
                  <w:vAlign w:val="center"/>
                </w:tcPr>
                <w:p w14:paraId="4168ADF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sz w:val="21"/>
                      <w:szCs w:val="21"/>
                    </w:rPr>
                    <w:t>固化专用成型机</w:t>
                  </w:r>
                </w:p>
              </w:tc>
              <w:tc>
                <w:tcPr>
                  <w:tcW w:w="772" w:type="dxa"/>
                  <w:vAlign w:val="center"/>
                </w:tcPr>
                <w:p w14:paraId="345955A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kern w:val="0"/>
                      <w:sz w:val="21"/>
                      <w:szCs w:val="21"/>
                    </w:rPr>
                    <w:t>型号</w:t>
                  </w:r>
                </w:p>
              </w:tc>
              <w:tc>
                <w:tcPr>
                  <w:tcW w:w="1205" w:type="dxa"/>
                  <w:vAlign w:val="center"/>
                </w:tcPr>
                <w:p w14:paraId="05CACB8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sz w:val="21"/>
                      <w:szCs w:val="21"/>
                    </w:rPr>
                    <w:t>DJY-900</w:t>
                  </w:r>
                </w:p>
              </w:tc>
              <w:tc>
                <w:tcPr>
                  <w:tcW w:w="1227" w:type="dxa"/>
                  <w:vAlign w:val="center"/>
                </w:tcPr>
                <w:p w14:paraId="1B6E2DE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eastAsia="宋体"/>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3A05F73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6843EFB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47A88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5F33B69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top w:val="single" w:color="auto" w:sz="4" w:space="0"/>
                  </w:tcBorders>
                  <w:vAlign w:val="center"/>
                </w:tcPr>
                <w:p w14:paraId="739D988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color w:val="auto"/>
                      <w:sz w:val="21"/>
                      <w:szCs w:val="21"/>
                    </w:rPr>
                    <w:t>固化</w:t>
                  </w:r>
                </w:p>
                <w:p w14:paraId="32706FC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rFonts w:hint="eastAsia"/>
                      <w:color w:val="auto"/>
                      <w:kern w:val="0"/>
                      <w:sz w:val="21"/>
                      <w:szCs w:val="21"/>
                    </w:rPr>
                    <w:t>成型</w:t>
                  </w:r>
                </w:p>
              </w:tc>
              <w:tc>
                <w:tcPr>
                  <w:tcW w:w="996" w:type="dxa"/>
                  <w:vAlign w:val="center"/>
                </w:tcPr>
                <w:p w14:paraId="45FD197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color w:val="auto"/>
                      <w:sz w:val="21"/>
                      <w:szCs w:val="21"/>
                    </w:rPr>
                    <w:t>固化控制系统</w:t>
                  </w:r>
                </w:p>
              </w:tc>
              <w:tc>
                <w:tcPr>
                  <w:tcW w:w="772" w:type="dxa"/>
                  <w:vAlign w:val="center"/>
                </w:tcPr>
                <w:p w14:paraId="5ECD5AD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kern w:val="0"/>
                      <w:sz w:val="21"/>
                      <w:szCs w:val="21"/>
                    </w:rPr>
                    <w:t>型号</w:t>
                  </w:r>
                </w:p>
              </w:tc>
              <w:tc>
                <w:tcPr>
                  <w:tcW w:w="1205" w:type="dxa"/>
                  <w:vAlign w:val="center"/>
                </w:tcPr>
                <w:p w14:paraId="185C71F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rFonts w:hint="eastAsia"/>
                      <w:color w:val="auto"/>
                      <w:kern w:val="0"/>
                      <w:sz w:val="21"/>
                      <w:szCs w:val="21"/>
                    </w:rPr>
                    <w:t>/</w:t>
                  </w:r>
                </w:p>
              </w:tc>
              <w:tc>
                <w:tcPr>
                  <w:tcW w:w="1227" w:type="dxa"/>
                  <w:vAlign w:val="center"/>
                </w:tcPr>
                <w:p w14:paraId="6276C5F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eastAsia="宋体"/>
                      <w:color w:val="auto"/>
                      <w:kern w:val="0"/>
                      <w:sz w:val="21"/>
                      <w:szCs w:val="21"/>
                      <w:lang w:eastAsia="zh-CN"/>
                    </w:rPr>
                  </w:pPr>
                  <w:r>
                    <w:rPr>
                      <w:rFonts w:hint="eastAsia"/>
                      <w:color w:val="auto"/>
                      <w:kern w:val="0"/>
                      <w:sz w:val="21"/>
                      <w:szCs w:val="21"/>
                      <w:lang w:val="en-US" w:eastAsia="zh-CN"/>
                    </w:rPr>
                    <w:t>1</w:t>
                  </w:r>
                </w:p>
              </w:tc>
              <w:tc>
                <w:tcPr>
                  <w:tcW w:w="1214" w:type="dxa"/>
                  <w:shd w:val="clear" w:color="auto" w:fill="auto"/>
                  <w:vAlign w:val="center"/>
                </w:tcPr>
                <w:p w14:paraId="1B7E8FD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4551AF2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6EB52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761CAB0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top w:val="single" w:color="auto" w:sz="4" w:space="0"/>
                  </w:tcBorders>
                  <w:vAlign w:val="center"/>
                </w:tcPr>
                <w:p w14:paraId="7134A99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996" w:type="dxa"/>
                  <w:vAlign w:val="center"/>
                </w:tcPr>
                <w:p w14:paraId="3729D5D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rFonts w:hint="eastAsia"/>
                      <w:color w:val="auto"/>
                      <w:sz w:val="21"/>
                      <w:szCs w:val="21"/>
                      <w:lang w:eastAsia="zh-CN"/>
                    </w:rPr>
                    <w:t>码垛机</w:t>
                  </w:r>
                </w:p>
              </w:tc>
              <w:tc>
                <w:tcPr>
                  <w:tcW w:w="772" w:type="dxa"/>
                  <w:vAlign w:val="center"/>
                </w:tcPr>
                <w:p w14:paraId="62D85F9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sz w:val="21"/>
                      <w:szCs w:val="21"/>
                    </w:rPr>
                    <w:t>型号</w:t>
                  </w:r>
                </w:p>
              </w:tc>
              <w:tc>
                <w:tcPr>
                  <w:tcW w:w="1205" w:type="dxa"/>
                  <w:vAlign w:val="center"/>
                </w:tcPr>
                <w:p w14:paraId="2ABC26B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rPr>
                  </w:pPr>
                  <w:r>
                    <w:rPr>
                      <w:rFonts w:hint="eastAsia"/>
                      <w:color w:val="auto"/>
                      <w:kern w:val="0"/>
                      <w:sz w:val="21"/>
                      <w:szCs w:val="21"/>
                      <w:lang w:val="en-US" w:eastAsia="zh-CN"/>
                    </w:rPr>
                    <w:t>MDJ-MD01</w:t>
                  </w:r>
                </w:p>
              </w:tc>
              <w:tc>
                <w:tcPr>
                  <w:tcW w:w="1227" w:type="dxa"/>
                  <w:vAlign w:val="center"/>
                </w:tcPr>
                <w:p w14:paraId="2F7404F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64FD3B1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25CBBE5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3879B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7148A4C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top w:val="single" w:color="auto" w:sz="4" w:space="0"/>
                  </w:tcBorders>
                  <w:vAlign w:val="center"/>
                </w:tcPr>
                <w:p w14:paraId="5A26888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c>
                <w:tcPr>
                  <w:tcW w:w="996" w:type="dxa"/>
                  <w:vAlign w:val="center"/>
                </w:tcPr>
                <w:p w14:paraId="4571C30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lang w:eastAsia="zh-CN"/>
                    </w:rPr>
                  </w:pPr>
                  <w:r>
                    <w:rPr>
                      <w:rFonts w:hint="eastAsia"/>
                      <w:color w:val="auto"/>
                      <w:sz w:val="21"/>
                      <w:szCs w:val="21"/>
                      <w:lang w:val="en-US" w:eastAsia="zh-CN"/>
                    </w:rPr>
                    <w:t>强制布料车</w:t>
                  </w:r>
                </w:p>
              </w:tc>
              <w:tc>
                <w:tcPr>
                  <w:tcW w:w="772" w:type="dxa"/>
                  <w:vAlign w:val="center"/>
                </w:tcPr>
                <w:p w14:paraId="58990AE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rPr>
                  </w:pPr>
                  <w:r>
                    <w:rPr>
                      <w:rFonts w:hint="eastAsia"/>
                      <w:color w:val="auto"/>
                      <w:sz w:val="21"/>
                      <w:szCs w:val="21"/>
                      <w:lang w:eastAsia="zh-CN"/>
                    </w:rPr>
                    <w:t>功率</w:t>
                  </w:r>
                </w:p>
              </w:tc>
              <w:tc>
                <w:tcPr>
                  <w:tcW w:w="1205" w:type="dxa"/>
                  <w:vAlign w:val="center"/>
                </w:tcPr>
                <w:p w14:paraId="133A047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15kw</w:t>
                  </w:r>
                </w:p>
              </w:tc>
              <w:tc>
                <w:tcPr>
                  <w:tcW w:w="1227" w:type="dxa"/>
                  <w:vAlign w:val="center"/>
                </w:tcPr>
                <w:p w14:paraId="3DC3178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10AF358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24E135B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54D82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366709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p>
              </w:tc>
              <w:tc>
                <w:tcPr>
                  <w:tcW w:w="968" w:type="dxa"/>
                  <w:tcBorders>
                    <w:top w:val="single" w:color="auto" w:sz="4" w:space="0"/>
                  </w:tcBorders>
                  <w:vAlign w:val="center"/>
                </w:tcPr>
                <w:p w14:paraId="787D394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c>
                <w:tcPr>
                  <w:tcW w:w="996" w:type="dxa"/>
                  <w:vAlign w:val="center"/>
                </w:tcPr>
                <w:p w14:paraId="1DC6688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lang w:eastAsia="zh-CN"/>
                    </w:rPr>
                  </w:pPr>
                  <w:r>
                    <w:rPr>
                      <w:rFonts w:hint="eastAsia"/>
                      <w:color w:val="auto"/>
                      <w:sz w:val="21"/>
                      <w:szCs w:val="21"/>
                      <w:lang w:val="en-US" w:eastAsia="zh-CN"/>
                    </w:rPr>
                    <w:t>接板机</w:t>
                  </w:r>
                </w:p>
              </w:tc>
              <w:tc>
                <w:tcPr>
                  <w:tcW w:w="772" w:type="dxa"/>
                  <w:vAlign w:val="center"/>
                </w:tcPr>
                <w:p w14:paraId="3DC0A8C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rPr>
                  </w:pPr>
                  <w:r>
                    <w:rPr>
                      <w:rFonts w:hint="eastAsia"/>
                      <w:color w:val="auto"/>
                      <w:sz w:val="21"/>
                      <w:szCs w:val="21"/>
                    </w:rPr>
                    <w:t>型号</w:t>
                  </w:r>
                </w:p>
              </w:tc>
              <w:tc>
                <w:tcPr>
                  <w:tcW w:w="1205" w:type="dxa"/>
                  <w:vAlign w:val="center"/>
                </w:tcPr>
                <w:p w14:paraId="14835AF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RLT-19PBJ</w:t>
                  </w:r>
                </w:p>
              </w:tc>
              <w:tc>
                <w:tcPr>
                  <w:tcW w:w="1227" w:type="dxa"/>
                  <w:vAlign w:val="center"/>
                </w:tcPr>
                <w:p w14:paraId="1E9333E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55992C4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12ABEAD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41A2D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Align w:val="center"/>
                </w:tcPr>
                <w:p w14:paraId="7B2361C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kern w:val="0"/>
                      <w:sz w:val="21"/>
                      <w:szCs w:val="21"/>
                    </w:rPr>
                  </w:pPr>
                  <w:r>
                    <w:rPr>
                      <w:rFonts w:hint="eastAsia"/>
                      <w:kern w:val="0"/>
                      <w:sz w:val="21"/>
                      <w:szCs w:val="21"/>
                    </w:rPr>
                    <w:t>破碎</w:t>
                  </w:r>
                </w:p>
              </w:tc>
              <w:tc>
                <w:tcPr>
                  <w:tcW w:w="968" w:type="dxa"/>
                  <w:vAlign w:val="center"/>
                </w:tcPr>
                <w:p w14:paraId="0B2C85F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sz w:val="21"/>
                      <w:szCs w:val="21"/>
                    </w:rPr>
                    <w:t>破碎</w:t>
                  </w:r>
                </w:p>
              </w:tc>
              <w:tc>
                <w:tcPr>
                  <w:tcW w:w="996" w:type="dxa"/>
                  <w:vAlign w:val="center"/>
                </w:tcPr>
                <w:p w14:paraId="4151F44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color w:val="auto"/>
                      <w:sz w:val="21"/>
                      <w:szCs w:val="21"/>
                    </w:rPr>
                    <w:t>破碎机</w:t>
                  </w:r>
                </w:p>
              </w:tc>
              <w:tc>
                <w:tcPr>
                  <w:tcW w:w="772" w:type="dxa"/>
                  <w:vAlign w:val="center"/>
                </w:tcPr>
                <w:p w14:paraId="07082DD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rPr>
                    <w:t>规格型号</w:t>
                  </w:r>
                </w:p>
              </w:tc>
              <w:tc>
                <w:tcPr>
                  <w:tcW w:w="1205" w:type="dxa"/>
                  <w:vAlign w:val="center"/>
                </w:tcPr>
                <w:p w14:paraId="770909F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rPr>
                    <w:t>PF反击式破碎机</w:t>
                  </w:r>
                </w:p>
              </w:tc>
              <w:tc>
                <w:tcPr>
                  <w:tcW w:w="1227" w:type="dxa"/>
                  <w:vAlign w:val="center"/>
                </w:tcPr>
                <w:p w14:paraId="25DC80A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color w:val="auto"/>
                      <w:kern w:val="0"/>
                      <w:sz w:val="21"/>
                      <w:szCs w:val="21"/>
                    </w:rPr>
                  </w:pPr>
                  <w:r>
                    <w:rPr>
                      <w:rFonts w:hint="eastAsia"/>
                      <w:color w:val="auto"/>
                      <w:kern w:val="0"/>
                      <w:sz w:val="21"/>
                      <w:szCs w:val="21"/>
                      <w:lang w:val="en-US" w:eastAsia="zh-CN"/>
                    </w:rPr>
                    <w:t>1</w:t>
                  </w:r>
                </w:p>
              </w:tc>
              <w:tc>
                <w:tcPr>
                  <w:tcW w:w="1214" w:type="dxa"/>
                  <w:shd w:val="clear" w:color="auto" w:fill="auto"/>
                  <w:vAlign w:val="center"/>
                </w:tcPr>
                <w:p w14:paraId="63BDABB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368544A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0B23D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Align w:val="center"/>
                </w:tcPr>
                <w:p w14:paraId="541D980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0000FF"/>
                      <w:kern w:val="0"/>
                      <w:sz w:val="21"/>
                      <w:szCs w:val="21"/>
                      <w:highlight w:val="none"/>
                      <w:lang w:eastAsia="zh-CN"/>
                    </w:rPr>
                  </w:pPr>
                  <w:r>
                    <w:rPr>
                      <w:rFonts w:hint="eastAsia"/>
                      <w:color w:val="0000FF"/>
                      <w:kern w:val="0"/>
                      <w:sz w:val="21"/>
                      <w:szCs w:val="21"/>
                      <w:highlight w:val="none"/>
                      <w:lang w:eastAsia="zh-CN"/>
                    </w:rPr>
                    <w:t>研磨</w:t>
                  </w:r>
                </w:p>
              </w:tc>
              <w:tc>
                <w:tcPr>
                  <w:tcW w:w="968" w:type="dxa"/>
                  <w:vAlign w:val="center"/>
                </w:tcPr>
                <w:p w14:paraId="562C8FE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0000FF"/>
                      <w:sz w:val="21"/>
                      <w:szCs w:val="21"/>
                      <w:highlight w:val="none"/>
                      <w:lang w:eastAsia="zh-CN"/>
                    </w:rPr>
                  </w:pPr>
                  <w:r>
                    <w:rPr>
                      <w:rFonts w:hint="eastAsia"/>
                      <w:color w:val="0000FF"/>
                      <w:sz w:val="21"/>
                      <w:szCs w:val="21"/>
                      <w:highlight w:val="none"/>
                      <w:lang w:eastAsia="zh-CN"/>
                    </w:rPr>
                    <w:t>研磨</w:t>
                  </w:r>
                </w:p>
              </w:tc>
              <w:tc>
                <w:tcPr>
                  <w:tcW w:w="996" w:type="dxa"/>
                  <w:vAlign w:val="center"/>
                </w:tcPr>
                <w:p w14:paraId="0194C9C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0000FF"/>
                      <w:sz w:val="21"/>
                      <w:szCs w:val="21"/>
                      <w:highlight w:val="none"/>
                      <w:lang w:eastAsia="zh-CN"/>
                    </w:rPr>
                  </w:pPr>
                  <w:r>
                    <w:rPr>
                      <w:rFonts w:hint="eastAsia"/>
                      <w:color w:val="0000FF"/>
                      <w:sz w:val="21"/>
                      <w:szCs w:val="21"/>
                      <w:highlight w:val="none"/>
                      <w:lang w:eastAsia="zh-CN"/>
                    </w:rPr>
                    <w:t>雷蒙磨</w:t>
                  </w:r>
                </w:p>
              </w:tc>
              <w:tc>
                <w:tcPr>
                  <w:tcW w:w="772" w:type="dxa"/>
                  <w:vAlign w:val="center"/>
                </w:tcPr>
                <w:p w14:paraId="23BB729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FF"/>
                      <w:kern w:val="0"/>
                      <w:sz w:val="21"/>
                      <w:szCs w:val="21"/>
                      <w:highlight w:val="none"/>
                    </w:rPr>
                  </w:pPr>
                  <w:r>
                    <w:rPr>
                      <w:rFonts w:hint="eastAsia"/>
                      <w:color w:val="0000FF"/>
                      <w:sz w:val="21"/>
                      <w:szCs w:val="21"/>
                      <w:highlight w:val="none"/>
                    </w:rPr>
                    <w:t>型号</w:t>
                  </w:r>
                </w:p>
              </w:tc>
              <w:tc>
                <w:tcPr>
                  <w:tcW w:w="1205" w:type="dxa"/>
                  <w:vAlign w:val="center"/>
                </w:tcPr>
                <w:p w14:paraId="40FB525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0000FF"/>
                      <w:kern w:val="0"/>
                      <w:sz w:val="21"/>
                      <w:szCs w:val="21"/>
                      <w:highlight w:val="none"/>
                      <w:lang w:val="en-US" w:eastAsia="zh-CN"/>
                    </w:rPr>
                  </w:pPr>
                  <w:r>
                    <w:rPr>
                      <w:rFonts w:hint="eastAsia"/>
                      <w:color w:val="0000FF"/>
                      <w:kern w:val="0"/>
                      <w:sz w:val="21"/>
                      <w:szCs w:val="21"/>
                      <w:highlight w:val="none"/>
                      <w:lang w:val="en-US" w:eastAsia="zh-CN"/>
                    </w:rPr>
                    <w:t>/</w:t>
                  </w:r>
                </w:p>
              </w:tc>
              <w:tc>
                <w:tcPr>
                  <w:tcW w:w="1227" w:type="dxa"/>
                  <w:vAlign w:val="center"/>
                </w:tcPr>
                <w:p w14:paraId="6634D52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214" w:type="dxa"/>
                  <w:shd w:val="clear" w:color="auto" w:fill="auto"/>
                  <w:vAlign w:val="center"/>
                </w:tcPr>
                <w:p w14:paraId="7C4CE97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FF"/>
                      <w:kern w:val="0"/>
                      <w:sz w:val="21"/>
                      <w:szCs w:val="21"/>
                      <w:highlight w:val="none"/>
                      <w:lang w:val="en-US" w:eastAsia="zh-CN"/>
                    </w:rPr>
                  </w:pPr>
                  <w:r>
                    <w:rPr>
                      <w:rFonts w:hint="eastAsia"/>
                      <w:color w:val="0000FF"/>
                      <w:kern w:val="0"/>
                      <w:sz w:val="21"/>
                      <w:szCs w:val="21"/>
                      <w:highlight w:val="none"/>
                      <w:lang w:val="en-US" w:eastAsia="zh-CN"/>
                    </w:rPr>
                    <w:t>1</w:t>
                  </w:r>
                </w:p>
              </w:tc>
              <w:tc>
                <w:tcPr>
                  <w:tcW w:w="582" w:type="dxa"/>
                  <w:vAlign w:val="center"/>
                </w:tcPr>
                <w:p w14:paraId="05EDA94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FF"/>
                      <w:kern w:val="0"/>
                      <w:sz w:val="21"/>
                      <w:szCs w:val="21"/>
                      <w:highlight w:val="none"/>
                      <w:lang w:val="en-US" w:eastAsia="zh-CN"/>
                    </w:rPr>
                  </w:pPr>
                  <w:r>
                    <w:rPr>
                      <w:rFonts w:hint="eastAsia"/>
                      <w:color w:val="0000FF"/>
                      <w:kern w:val="0"/>
                      <w:sz w:val="21"/>
                      <w:szCs w:val="21"/>
                      <w:highlight w:val="none"/>
                      <w:lang w:val="en-US" w:eastAsia="zh-CN"/>
                    </w:rPr>
                    <w:t>+1</w:t>
                  </w:r>
                </w:p>
              </w:tc>
            </w:tr>
            <w:tr w14:paraId="2138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Align w:val="center"/>
                </w:tcPr>
                <w:p w14:paraId="2E7096F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kern w:val="0"/>
                      <w:sz w:val="21"/>
                      <w:szCs w:val="21"/>
                      <w:highlight w:val="none"/>
                      <w:lang w:eastAsia="zh-CN"/>
                    </w:rPr>
                  </w:pPr>
                  <w:r>
                    <w:rPr>
                      <w:rFonts w:hint="eastAsia"/>
                      <w:kern w:val="0"/>
                      <w:sz w:val="21"/>
                      <w:szCs w:val="21"/>
                      <w:highlight w:val="none"/>
                      <w:lang w:eastAsia="zh-CN"/>
                    </w:rPr>
                    <w:t>挤出造粒</w:t>
                  </w:r>
                </w:p>
              </w:tc>
              <w:tc>
                <w:tcPr>
                  <w:tcW w:w="968" w:type="dxa"/>
                  <w:vAlign w:val="center"/>
                </w:tcPr>
                <w:p w14:paraId="7F8C239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研磨</w:t>
                  </w:r>
                </w:p>
              </w:tc>
              <w:tc>
                <w:tcPr>
                  <w:tcW w:w="996" w:type="dxa"/>
                  <w:vAlign w:val="center"/>
                </w:tcPr>
                <w:p w14:paraId="6CEA382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挤出机</w:t>
                  </w:r>
                </w:p>
              </w:tc>
              <w:tc>
                <w:tcPr>
                  <w:tcW w:w="772" w:type="dxa"/>
                  <w:vAlign w:val="center"/>
                </w:tcPr>
                <w:p w14:paraId="3FEFC71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型号</w:t>
                  </w:r>
                </w:p>
              </w:tc>
              <w:tc>
                <w:tcPr>
                  <w:tcW w:w="1205" w:type="dxa"/>
                  <w:vAlign w:val="center"/>
                </w:tcPr>
                <w:p w14:paraId="1A2F0C0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227" w:type="dxa"/>
                  <w:vAlign w:val="center"/>
                </w:tcPr>
                <w:p w14:paraId="2D81DE4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w:t>
                  </w:r>
                </w:p>
              </w:tc>
              <w:tc>
                <w:tcPr>
                  <w:tcW w:w="1214" w:type="dxa"/>
                  <w:shd w:val="clear" w:color="auto" w:fill="auto"/>
                  <w:vAlign w:val="center"/>
                </w:tcPr>
                <w:p w14:paraId="70A4740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582" w:type="dxa"/>
                  <w:vAlign w:val="center"/>
                </w:tcPr>
                <w:p w14:paraId="1E7C012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+1</w:t>
                  </w:r>
                </w:p>
              </w:tc>
            </w:tr>
            <w:tr w14:paraId="7CEFC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shd w:val="clear" w:color="auto" w:fill="auto"/>
                  <w:vAlign w:val="center"/>
                </w:tcPr>
                <w:p w14:paraId="258D953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废气治理</w:t>
                  </w:r>
                </w:p>
              </w:tc>
              <w:tc>
                <w:tcPr>
                  <w:tcW w:w="968" w:type="dxa"/>
                  <w:shd w:val="clear" w:color="auto" w:fill="auto"/>
                  <w:vAlign w:val="center"/>
                </w:tcPr>
                <w:p w14:paraId="1943532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废气治理</w:t>
                  </w:r>
                </w:p>
              </w:tc>
              <w:tc>
                <w:tcPr>
                  <w:tcW w:w="996" w:type="dxa"/>
                  <w:vAlign w:val="center"/>
                </w:tcPr>
                <w:p w14:paraId="1B8FF3D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脉冲</w:t>
                  </w:r>
                  <w:r>
                    <w:rPr>
                      <w:rFonts w:hint="default" w:ascii="Times New Roman" w:hAnsi="Times New Roman" w:cs="Times New Roman"/>
                      <w:color w:val="000000" w:themeColor="text1"/>
                      <w:szCs w:val="21"/>
                      <w14:textFill>
                        <w14:solidFill>
                          <w14:schemeClr w14:val="tx1"/>
                        </w14:solidFill>
                      </w14:textFill>
                    </w:rPr>
                    <w:t>除尘器</w:t>
                  </w:r>
                </w:p>
              </w:tc>
              <w:tc>
                <w:tcPr>
                  <w:tcW w:w="772" w:type="dxa"/>
                  <w:vAlign w:val="center"/>
                </w:tcPr>
                <w:p w14:paraId="662258B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功率</w:t>
                  </w:r>
                </w:p>
              </w:tc>
              <w:tc>
                <w:tcPr>
                  <w:tcW w:w="1205" w:type="dxa"/>
                  <w:vAlign w:val="center"/>
                </w:tcPr>
                <w:p w14:paraId="4974DFF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50kw</w:t>
                  </w:r>
                </w:p>
              </w:tc>
              <w:tc>
                <w:tcPr>
                  <w:tcW w:w="1227" w:type="dxa"/>
                  <w:vAlign w:val="center"/>
                </w:tcPr>
                <w:p w14:paraId="027DA04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214" w:type="dxa"/>
                  <w:shd w:val="clear" w:color="auto" w:fill="auto"/>
                  <w:vAlign w:val="center"/>
                </w:tcPr>
                <w:p w14:paraId="6957A67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582" w:type="dxa"/>
                  <w:vAlign w:val="center"/>
                </w:tcPr>
                <w:p w14:paraId="3270E04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w:t>
                  </w:r>
                </w:p>
              </w:tc>
            </w:tr>
            <w:tr w14:paraId="4B07D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restart"/>
                  <w:vAlign w:val="center"/>
                </w:tcPr>
                <w:p w14:paraId="2FDE7D7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其他</w:t>
                  </w:r>
                </w:p>
              </w:tc>
              <w:tc>
                <w:tcPr>
                  <w:tcW w:w="968" w:type="dxa"/>
                  <w:vMerge w:val="restart"/>
                  <w:vAlign w:val="center"/>
                </w:tcPr>
                <w:p w14:paraId="3368E49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kern w:val="0"/>
                      <w:sz w:val="21"/>
                      <w:szCs w:val="21"/>
                      <w:lang w:eastAsia="zh-CN"/>
                    </w:rPr>
                  </w:pPr>
                  <w:r>
                    <w:rPr>
                      <w:rFonts w:hint="eastAsia"/>
                      <w:color w:val="auto"/>
                      <w:kern w:val="0"/>
                      <w:sz w:val="21"/>
                      <w:szCs w:val="21"/>
                      <w:lang w:eastAsia="zh-CN"/>
                    </w:rPr>
                    <w:t>其他</w:t>
                  </w:r>
                </w:p>
              </w:tc>
              <w:tc>
                <w:tcPr>
                  <w:tcW w:w="996" w:type="dxa"/>
                  <w:vAlign w:val="center"/>
                </w:tcPr>
                <w:p w14:paraId="2885803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sz w:val="21"/>
                      <w:szCs w:val="21"/>
                      <w:lang w:eastAsia="zh-CN"/>
                    </w:rPr>
                  </w:pPr>
                  <w:r>
                    <w:rPr>
                      <w:rFonts w:hint="eastAsia"/>
                      <w:color w:val="auto"/>
                      <w:sz w:val="21"/>
                      <w:szCs w:val="21"/>
                      <w:lang w:eastAsia="zh-CN"/>
                    </w:rPr>
                    <w:t>雾炮除尘</w:t>
                  </w:r>
                </w:p>
              </w:tc>
              <w:tc>
                <w:tcPr>
                  <w:tcW w:w="772" w:type="dxa"/>
                  <w:vAlign w:val="center"/>
                </w:tcPr>
                <w:p w14:paraId="2C9CB4A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rFonts w:hint="eastAsia"/>
                      <w:color w:val="auto"/>
                      <w:sz w:val="21"/>
                      <w:szCs w:val="21"/>
                    </w:rPr>
                    <w:t>型号</w:t>
                  </w:r>
                </w:p>
              </w:tc>
              <w:tc>
                <w:tcPr>
                  <w:tcW w:w="1205" w:type="dxa"/>
                  <w:vAlign w:val="center"/>
                </w:tcPr>
                <w:p w14:paraId="0865FDF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rPr>
                    <w:t>ZL-100</w:t>
                  </w:r>
                </w:p>
              </w:tc>
              <w:tc>
                <w:tcPr>
                  <w:tcW w:w="1227" w:type="dxa"/>
                  <w:vAlign w:val="center"/>
                </w:tcPr>
                <w:p w14:paraId="71BBA0B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color w:val="auto"/>
                      <w:kern w:val="0"/>
                      <w:sz w:val="21"/>
                      <w:szCs w:val="21"/>
                    </w:rPr>
                  </w:pPr>
                  <w:r>
                    <w:rPr>
                      <w:rFonts w:hint="eastAsia"/>
                      <w:color w:val="auto"/>
                      <w:kern w:val="0"/>
                      <w:sz w:val="21"/>
                      <w:szCs w:val="21"/>
                    </w:rPr>
                    <w:t>1</w:t>
                  </w:r>
                </w:p>
              </w:tc>
              <w:tc>
                <w:tcPr>
                  <w:tcW w:w="1214" w:type="dxa"/>
                  <w:shd w:val="clear" w:color="auto" w:fill="auto"/>
                  <w:vAlign w:val="center"/>
                </w:tcPr>
                <w:p w14:paraId="514E159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1</w:t>
                  </w:r>
                </w:p>
              </w:tc>
              <w:tc>
                <w:tcPr>
                  <w:tcW w:w="582" w:type="dxa"/>
                  <w:vAlign w:val="center"/>
                </w:tcPr>
                <w:p w14:paraId="0F69335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r>
            <w:tr w14:paraId="608E6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6D86197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p>
              </w:tc>
              <w:tc>
                <w:tcPr>
                  <w:tcW w:w="968" w:type="dxa"/>
                  <w:vMerge w:val="continue"/>
                  <w:vAlign w:val="center"/>
                </w:tcPr>
                <w:p w14:paraId="22F8363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p>
              </w:tc>
              <w:tc>
                <w:tcPr>
                  <w:tcW w:w="996" w:type="dxa"/>
                  <w:vAlign w:val="center"/>
                </w:tcPr>
                <w:p w14:paraId="63A2D68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color w:val="auto"/>
                      <w:sz w:val="21"/>
                      <w:szCs w:val="21"/>
                    </w:rPr>
                    <w:t>洗车平台</w:t>
                  </w:r>
                </w:p>
              </w:tc>
              <w:tc>
                <w:tcPr>
                  <w:tcW w:w="772" w:type="dxa"/>
                  <w:vAlign w:val="center"/>
                </w:tcPr>
                <w:p w14:paraId="29D1DF2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sz w:val="21"/>
                      <w:szCs w:val="21"/>
                    </w:rPr>
                  </w:pPr>
                  <w:r>
                    <w:rPr>
                      <w:rFonts w:hint="eastAsia"/>
                      <w:color w:val="auto"/>
                      <w:sz w:val="21"/>
                      <w:szCs w:val="21"/>
                    </w:rPr>
                    <w:t>型号</w:t>
                  </w:r>
                </w:p>
              </w:tc>
              <w:tc>
                <w:tcPr>
                  <w:tcW w:w="1205" w:type="dxa"/>
                  <w:vAlign w:val="center"/>
                </w:tcPr>
                <w:p w14:paraId="3BD6714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r>
                    <w:rPr>
                      <w:rFonts w:hint="eastAsia"/>
                      <w:color w:val="auto"/>
                      <w:kern w:val="0"/>
                      <w:sz w:val="21"/>
                      <w:szCs w:val="21"/>
                    </w:rPr>
                    <w:t>/</w:t>
                  </w:r>
                </w:p>
              </w:tc>
              <w:tc>
                <w:tcPr>
                  <w:tcW w:w="1227" w:type="dxa"/>
                  <w:vAlign w:val="center"/>
                </w:tcPr>
                <w:p w14:paraId="6788A19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color w:val="auto"/>
                      <w:kern w:val="0"/>
                      <w:sz w:val="21"/>
                      <w:szCs w:val="21"/>
                    </w:rPr>
                  </w:pPr>
                  <w:r>
                    <w:rPr>
                      <w:rFonts w:hint="eastAsia"/>
                      <w:color w:val="auto"/>
                      <w:kern w:val="0"/>
                      <w:sz w:val="21"/>
                      <w:szCs w:val="21"/>
                    </w:rPr>
                    <w:t>1</w:t>
                  </w:r>
                </w:p>
              </w:tc>
              <w:tc>
                <w:tcPr>
                  <w:tcW w:w="1214" w:type="dxa"/>
                  <w:shd w:val="clear" w:color="auto" w:fill="auto"/>
                  <w:vAlign w:val="center"/>
                </w:tcPr>
                <w:p w14:paraId="6C1FBF7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rPr>
                    <w:t>1</w:t>
                  </w:r>
                </w:p>
              </w:tc>
              <w:tc>
                <w:tcPr>
                  <w:tcW w:w="582" w:type="dxa"/>
                  <w:vAlign w:val="center"/>
                </w:tcPr>
                <w:p w14:paraId="1FAA455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r>
            <w:tr w14:paraId="53E2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E63602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p>
              </w:tc>
              <w:tc>
                <w:tcPr>
                  <w:tcW w:w="968" w:type="dxa"/>
                  <w:vMerge w:val="continue"/>
                  <w:vAlign w:val="center"/>
                </w:tcPr>
                <w:p w14:paraId="452DF05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p>
              </w:tc>
              <w:tc>
                <w:tcPr>
                  <w:tcW w:w="996" w:type="dxa"/>
                  <w:vAlign w:val="center"/>
                </w:tcPr>
                <w:p w14:paraId="0624BB0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sz w:val="21"/>
                      <w:szCs w:val="21"/>
                      <w:lang w:eastAsia="zh-CN"/>
                    </w:rPr>
                  </w:pPr>
                  <w:r>
                    <w:rPr>
                      <w:rFonts w:hint="eastAsia"/>
                      <w:color w:val="auto"/>
                      <w:sz w:val="21"/>
                      <w:szCs w:val="21"/>
                      <w:lang w:eastAsia="zh-CN"/>
                    </w:rPr>
                    <w:t>气控系统</w:t>
                  </w:r>
                </w:p>
              </w:tc>
              <w:tc>
                <w:tcPr>
                  <w:tcW w:w="772" w:type="dxa"/>
                  <w:vAlign w:val="center"/>
                </w:tcPr>
                <w:p w14:paraId="29A7D1E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rPr>
                  </w:pPr>
                  <w:r>
                    <w:rPr>
                      <w:rFonts w:hint="eastAsia"/>
                      <w:color w:val="auto"/>
                      <w:sz w:val="21"/>
                      <w:szCs w:val="21"/>
                    </w:rPr>
                    <w:t>型号</w:t>
                  </w:r>
                </w:p>
              </w:tc>
              <w:tc>
                <w:tcPr>
                  <w:tcW w:w="1205" w:type="dxa"/>
                  <w:vAlign w:val="center"/>
                </w:tcPr>
                <w:p w14:paraId="26DF099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W-0.9</w:t>
                  </w:r>
                </w:p>
              </w:tc>
              <w:tc>
                <w:tcPr>
                  <w:tcW w:w="1227" w:type="dxa"/>
                  <w:vAlign w:val="center"/>
                </w:tcPr>
                <w:p w14:paraId="4CABAA6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0239B68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046C64C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2EA33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4495227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p>
              </w:tc>
              <w:tc>
                <w:tcPr>
                  <w:tcW w:w="968" w:type="dxa"/>
                  <w:vMerge w:val="continue"/>
                  <w:vAlign w:val="center"/>
                </w:tcPr>
                <w:p w14:paraId="4041BA8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p>
              </w:tc>
              <w:tc>
                <w:tcPr>
                  <w:tcW w:w="996" w:type="dxa"/>
                  <w:vMerge w:val="restart"/>
                  <w:vAlign w:val="center"/>
                </w:tcPr>
                <w:p w14:paraId="42AB6EE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sz w:val="21"/>
                      <w:szCs w:val="21"/>
                      <w:lang w:val="en-US" w:eastAsia="zh-CN"/>
                    </w:rPr>
                  </w:pPr>
                  <w:r>
                    <w:rPr>
                      <w:rFonts w:hint="eastAsia"/>
                      <w:color w:val="auto"/>
                      <w:sz w:val="21"/>
                      <w:szCs w:val="21"/>
                      <w:lang w:val="en-US" w:eastAsia="zh-CN"/>
                    </w:rPr>
                    <w:t>模具</w:t>
                  </w:r>
                </w:p>
              </w:tc>
              <w:tc>
                <w:tcPr>
                  <w:tcW w:w="772" w:type="dxa"/>
                  <w:vAlign w:val="center"/>
                </w:tcPr>
                <w:p w14:paraId="3AA39BB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eastAsia="宋体"/>
                      <w:color w:val="auto"/>
                      <w:sz w:val="21"/>
                      <w:szCs w:val="21"/>
                      <w:lang w:val="en-US" w:eastAsia="zh-CN"/>
                    </w:rPr>
                  </w:pPr>
                  <w:r>
                    <w:rPr>
                      <w:rFonts w:hint="eastAsia"/>
                      <w:color w:val="auto"/>
                      <w:sz w:val="21"/>
                      <w:szCs w:val="21"/>
                    </w:rPr>
                    <w:t>型号</w:t>
                  </w:r>
                </w:p>
              </w:tc>
              <w:tc>
                <w:tcPr>
                  <w:tcW w:w="1205" w:type="dxa"/>
                  <w:vAlign w:val="center"/>
                </w:tcPr>
                <w:p w14:paraId="15751E1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color w:val="auto"/>
                      <w:kern w:val="0"/>
                      <w:sz w:val="21"/>
                      <w:szCs w:val="21"/>
                      <w:lang w:val="en-US" w:eastAsia="zh-CN"/>
                    </w:rPr>
                  </w:pPr>
                  <w:r>
                    <w:rPr>
                      <w:color w:val="auto"/>
                      <w:sz w:val="21"/>
                      <w:szCs w:val="21"/>
                    </w:rPr>
                    <w:t>3</w:t>
                  </w:r>
                  <w:r>
                    <w:rPr>
                      <w:rFonts w:hint="eastAsia"/>
                      <w:color w:val="auto"/>
                      <w:sz w:val="21"/>
                      <w:szCs w:val="21"/>
                      <w:lang w:val="en-US" w:eastAsia="zh-CN"/>
                    </w:rPr>
                    <w:t>00</w:t>
                  </w:r>
                  <w:r>
                    <w:rPr>
                      <w:color w:val="auto"/>
                      <w:sz w:val="21"/>
                      <w:szCs w:val="21"/>
                    </w:rPr>
                    <w:t>mmx</w:t>
                  </w:r>
                  <w:r>
                    <w:rPr>
                      <w:rFonts w:hint="eastAsia"/>
                      <w:color w:val="auto"/>
                      <w:sz w:val="21"/>
                      <w:szCs w:val="21"/>
                      <w:lang w:val="en-US" w:eastAsia="zh-CN"/>
                    </w:rPr>
                    <w:t>3</w:t>
                  </w:r>
                  <w:r>
                    <w:rPr>
                      <w:color w:val="auto"/>
                      <w:sz w:val="21"/>
                      <w:szCs w:val="21"/>
                    </w:rPr>
                    <w:t>00mmx1</w:t>
                  </w:r>
                  <w:r>
                    <w:rPr>
                      <w:rFonts w:hint="eastAsia"/>
                      <w:color w:val="auto"/>
                      <w:sz w:val="21"/>
                      <w:szCs w:val="21"/>
                      <w:lang w:val="en-US" w:eastAsia="zh-CN"/>
                    </w:rPr>
                    <w:t>0</w:t>
                  </w:r>
                  <w:r>
                    <w:rPr>
                      <w:color w:val="auto"/>
                      <w:sz w:val="21"/>
                      <w:szCs w:val="21"/>
                    </w:rPr>
                    <w:t>0mm</w:t>
                  </w:r>
                </w:p>
              </w:tc>
              <w:tc>
                <w:tcPr>
                  <w:tcW w:w="1227" w:type="dxa"/>
                  <w:vAlign w:val="center"/>
                </w:tcPr>
                <w:p w14:paraId="4E93B17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3FE56F5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20985E7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65078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57412577">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p>
              </w:tc>
              <w:tc>
                <w:tcPr>
                  <w:tcW w:w="968" w:type="dxa"/>
                  <w:vMerge w:val="continue"/>
                  <w:vAlign w:val="center"/>
                </w:tcPr>
                <w:p w14:paraId="350DFD5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p>
              </w:tc>
              <w:tc>
                <w:tcPr>
                  <w:tcW w:w="996" w:type="dxa"/>
                  <w:vMerge w:val="continue"/>
                  <w:vAlign w:val="center"/>
                </w:tcPr>
                <w:p w14:paraId="2B139FB9">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lang w:val="en-US" w:eastAsia="zh-CN"/>
                    </w:rPr>
                  </w:pPr>
                </w:p>
              </w:tc>
              <w:tc>
                <w:tcPr>
                  <w:tcW w:w="772" w:type="dxa"/>
                  <w:vAlign w:val="center"/>
                </w:tcPr>
                <w:p w14:paraId="19F903C1">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rPr>
                  </w:pPr>
                  <w:r>
                    <w:rPr>
                      <w:rFonts w:hint="eastAsia"/>
                      <w:color w:val="auto"/>
                      <w:sz w:val="21"/>
                      <w:szCs w:val="21"/>
                    </w:rPr>
                    <w:t>型号</w:t>
                  </w:r>
                </w:p>
              </w:tc>
              <w:tc>
                <w:tcPr>
                  <w:tcW w:w="1205" w:type="dxa"/>
                  <w:vAlign w:val="center"/>
                </w:tcPr>
                <w:p w14:paraId="7D18941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ascii="Times New Roman" w:hAnsi="Times New Roman" w:cs="Times New Roman"/>
                      <w:color w:val="auto"/>
                      <w:kern w:val="0"/>
                      <w:sz w:val="21"/>
                      <w:szCs w:val="21"/>
                      <w:lang w:val="en-US" w:eastAsia="zh-CN"/>
                    </w:rPr>
                  </w:pPr>
                  <w:r>
                    <w:rPr>
                      <w:rFonts w:hint="eastAsia"/>
                      <w:color w:val="auto"/>
                      <w:sz w:val="21"/>
                      <w:szCs w:val="21"/>
                      <w:lang w:val="en-US" w:eastAsia="zh-CN"/>
                    </w:rPr>
                    <w:t>235</w:t>
                  </w:r>
                  <w:r>
                    <w:rPr>
                      <w:color w:val="auto"/>
                      <w:sz w:val="21"/>
                      <w:szCs w:val="21"/>
                    </w:rPr>
                    <w:t>mmx</w:t>
                  </w:r>
                  <w:r>
                    <w:rPr>
                      <w:rFonts w:hint="eastAsia"/>
                      <w:color w:val="auto"/>
                      <w:sz w:val="21"/>
                      <w:szCs w:val="21"/>
                      <w:lang w:val="en-US" w:eastAsia="zh-CN"/>
                    </w:rPr>
                    <w:t>115</w:t>
                  </w:r>
                  <w:r>
                    <w:rPr>
                      <w:color w:val="auto"/>
                      <w:sz w:val="21"/>
                      <w:szCs w:val="21"/>
                    </w:rPr>
                    <w:t>mmx</w:t>
                  </w:r>
                  <w:r>
                    <w:rPr>
                      <w:rFonts w:hint="eastAsia"/>
                      <w:color w:val="auto"/>
                      <w:sz w:val="21"/>
                      <w:szCs w:val="21"/>
                      <w:lang w:val="en-US" w:eastAsia="zh-CN"/>
                    </w:rPr>
                    <w:t>50</w:t>
                  </w:r>
                  <w:r>
                    <w:rPr>
                      <w:color w:val="auto"/>
                      <w:sz w:val="21"/>
                      <w:szCs w:val="21"/>
                    </w:rPr>
                    <w:t>mm</w:t>
                  </w:r>
                </w:p>
              </w:tc>
              <w:tc>
                <w:tcPr>
                  <w:tcW w:w="1227" w:type="dxa"/>
                  <w:vAlign w:val="center"/>
                </w:tcPr>
                <w:p w14:paraId="6160376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4277874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1CB1B47F">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431D7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395B3AC0">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p>
              </w:tc>
              <w:tc>
                <w:tcPr>
                  <w:tcW w:w="968" w:type="dxa"/>
                  <w:vMerge w:val="continue"/>
                  <w:vAlign w:val="center"/>
                </w:tcPr>
                <w:p w14:paraId="6A6D88D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p>
              </w:tc>
              <w:tc>
                <w:tcPr>
                  <w:tcW w:w="996" w:type="dxa"/>
                  <w:vMerge w:val="continue"/>
                  <w:vAlign w:val="center"/>
                </w:tcPr>
                <w:p w14:paraId="71BA334D">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lang w:val="en-US" w:eastAsia="zh-CN"/>
                    </w:rPr>
                  </w:pPr>
                </w:p>
              </w:tc>
              <w:tc>
                <w:tcPr>
                  <w:tcW w:w="772" w:type="dxa"/>
                  <w:vAlign w:val="center"/>
                </w:tcPr>
                <w:p w14:paraId="10A41953">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rPr>
                  </w:pPr>
                  <w:r>
                    <w:rPr>
                      <w:rFonts w:hint="eastAsia"/>
                      <w:color w:val="auto"/>
                      <w:sz w:val="21"/>
                      <w:szCs w:val="21"/>
                    </w:rPr>
                    <w:t>型号</w:t>
                  </w:r>
                </w:p>
              </w:tc>
              <w:tc>
                <w:tcPr>
                  <w:tcW w:w="1205" w:type="dxa"/>
                  <w:vAlign w:val="center"/>
                </w:tcPr>
                <w:p w14:paraId="3B5ED56C">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ascii="Times New Roman" w:hAnsi="Times New Roman" w:cs="Times New Roman"/>
                      <w:color w:val="auto"/>
                      <w:kern w:val="0"/>
                      <w:sz w:val="21"/>
                      <w:szCs w:val="21"/>
                      <w:lang w:val="en-US" w:eastAsia="zh-CN"/>
                    </w:rPr>
                  </w:pPr>
                  <w:r>
                    <w:rPr>
                      <w:rFonts w:hint="eastAsia"/>
                      <w:color w:val="auto"/>
                      <w:sz w:val="21"/>
                      <w:szCs w:val="21"/>
                      <w:lang w:val="en-US" w:eastAsia="zh-CN"/>
                    </w:rPr>
                    <w:t>230</w:t>
                  </w:r>
                  <w:r>
                    <w:rPr>
                      <w:color w:val="auto"/>
                      <w:sz w:val="21"/>
                      <w:szCs w:val="21"/>
                    </w:rPr>
                    <w:t>mmx</w:t>
                  </w:r>
                  <w:r>
                    <w:rPr>
                      <w:rFonts w:hint="eastAsia"/>
                      <w:color w:val="auto"/>
                      <w:sz w:val="21"/>
                      <w:szCs w:val="21"/>
                      <w:lang w:val="en-US" w:eastAsia="zh-CN"/>
                    </w:rPr>
                    <w:t>110</w:t>
                  </w:r>
                  <w:r>
                    <w:rPr>
                      <w:color w:val="auto"/>
                      <w:sz w:val="21"/>
                      <w:szCs w:val="21"/>
                    </w:rPr>
                    <w:t>mmx</w:t>
                  </w:r>
                  <w:r>
                    <w:rPr>
                      <w:rFonts w:hint="eastAsia"/>
                      <w:color w:val="auto"/>
                      <w:sz w:val="21"/>
                      <w:szCs w:val="21"/>
                      <w:lang w:val="en-US" w:eastAsia="zh-CN"/>
                    </w:rPr>
                    <w:t>50</w:t>
                  </w:r>
                  <w:r>
                    <w:rPr>
                      <w:color w:val="auto"/>
                      <w:sz w:val="21"/>
                      <w:szCs w:val="21"/>
                    </w:rPr>
                    <w:t>mm</w:t>
                  </w:r>
                </w:p>
              </w:tc>
              <w:tc>
                <w:tcPr>
                  <w:tcW w:w="1227" w:type="dxa"/>
                  <w:vAlign w:val="center"/>
                </w:tcPr>
                <w:p w14:paraId="4D724D0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7425125B">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4484BC86">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r w14:paraId="357F0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08" w:type="dxa"/>
                  <w:vMerge w:val="continue"/>
                  <w:vAlign w:val="center"/>
                </w:tcPr>
                <w:p w14:paraId="052BE954">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000000" w:themeColor="text1"/>
                      <w:kern w:val="0"/>
                      <w:sz w:val="21"/>
                      <w:szCs w:val="21"/>
                      <w14:textFill>
                        <w14:solidFill>
                          <w14:schemeClr w14:val="tx1"/>
                        </w14:solidFill>
                      </w14:textFill>
                    </w:rPr>
                  </w:pPr>
                </w:p>
              </w:tc>
              <w:tc>
                <w:tcPr>
                  <w:tcW w:w="968" w:type="dxa"/>
                  <w:vMerge w:val="continue"/>
                  <w:vAlign w:val="center"/>
                </w:tcPr>
                <w:p w14:paraId="418584EA">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color w:val="auto"/>
                      <w:kern w:val="0"/>
                      <w:sz w:val="21"/>
                      <w:szCs w:val="21"/>
                    </w:rPr>
                  </w:pPr>
                </w:p>
              </w:tc>
              <w:tc>
                <w:tcPr>
                  <w:tcW w:w="996" w:type="dxa"/>
                  <w:vAlign w:val="center"/>
                </w:tcPr>
                <w:p w14:paraId="535DB82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color w:val="auto"/>
                      <w:sz w:val="21"/>
                      <w:szCs w:val="21"/>
                      <w:lang w:val="en-US" w:eastAsia="zh-CN"/>
                    </w:rPr>
                  </w:pPr>
                  <w:r>
                    <w:rPr>
                      <w:rFonts w:hint="eastAsia"/>
                      <w:color w:val="auto"/>
                      <w:sz w:val="21"/>
                      <w:szCs w:val="21"/>
                      <w:lang w:val="en-US" w:eastAsia="zh-CN"/>
                    </w:rPr>
                    <w:t>强制布料车</w:t>
                  </w:r>
                </w:p>
              </w:tc>
              <w:tc>
                <w:tcPr>
                  <w:tcW w:w="772" w:type="dxa"/>
                  <w:vAlign w:val="center"/>
                </w:tcPr>
                <w:p w14:paraId="337D11C8">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eastAsia" w:eastAsia="宋体"/>
                      <w:color w:val="auto"/>
                      <w:sz w:val="21"/>
                      <w:szCs w:val="21"/>
                      <w:lang w:eastAsia="zh-CN"/>
                    </w:rPr>
                  </w:pPr>
                  <w:r>
                    <w:rPr>
                      <w:rFonts w:hint="eastAsia"/>
                      <w:color w:val="auto"/>
                      <w:sz w:val="21"/>
                      <w:szCs w:val="21"/>
                      <w:lang w:eastAsia="zh-CN"/>
                    </w:rPr>
                    <w:t>功率</w:t>
                  </w:r>
                </w:p>
              </w:tc>
              <w:tc>
                <w:tcPr>
                  <w:tcW w:w="1205" w:type="dxa"/>
                  <w:vAlign w:val="center"/>
                </w:tcPr>
                <w:p w14:paraId="4CBD86BE">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15kw</w:t>
                  </w:r>
                </w:p>
              </w:tc>
              <w:tc>
                <w:tcPr>
                  <w:tcW w:w="1227" w:type="dxa"/>
                  <w:vAlign w:val="center"/>
                </w:tcPr>
                <w:p w14:paraId="5626157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1</w:t>
                  </w:r>
                </w:p>
              </w:tc>
              <w:tc>
                <w:tcPr>
                  <w:tcW w:w="1214" w:type="dxa"/>
                  <w:shd w:val="clear" w:color="auto" w:fill="auto"/>
                  <w:vAlign w:val="center"/>
                </w:tcPr>
                <w:p w14:paraId="3349B772">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w:t>
                  </w:r>
                </w:p>
              </w:tc>
              <w:tc>
                <w:tcPr>
                  <w:tcW w:w="582" w:type="dxa"/>
                  <w:vAlign w:val="center"/>
                </w:tcPr>
                <w:p w14:paraId="44395BA5">
                  <w:pPr>
                    <w:keepNext w:val="0"/>
                    <w:keepLines w:val="0"/>
                    <w:pageBreakBefore w:val="0"/>
                    <w:widowControl/>
                    <w:kinsoku w:val="0"/>
                    <w:wordWrap/>
                    <w:overflowPunct/>
                    <w:topLinePunct w:val="0"/>
                    <w:autoSpaceDE w:val="0"/>
                    <w:autoSpaceDN w:val="0"/>
                    <w:bidi w:val="0"/>
                    <w:adjustRightInd w:val="0"/>
                    <w:snapToGrid w:val="0"/>
                    <w:spacing w:line="240" w:lineRule="atLeast"/>
                    <w:ind w:firstLine="0" w:firstLineChars="0"/>
                    <w:jc w:val="center"/>
                    <w:textAlignment w:val="center"/>
                    <w:rPr>
                      <w:rFonts w:hint="default"/>
                      <w:color w:val="auto"/>
                      <w:kern w:val="0"/>
                      <w:sz w:val="21"/>
                      <w:szCs w:val="21"/>
                      <w:lang w:val="en-US" w:eastAsia="zh-CN"/>
                    </w:rPr>
                  </w:pPr>
                  <w:r>
                    <w:rPr>
                      <w:rFonts w:hint="eastAsia"/>
                      <w:color w:val="auto"/>
                      <w:kern w:val="0"/>
                      <w:sz w:val="21"/>
                      <w:szCs w:val="21"/>
                      <w:lang w:val="en-US" w:eastAsia="zh-CN"/>
                    </w:rPr>
                    <w:t>0</w:t>
                  </w:r>
                </w:p>
              </w:tc>
            </w:tr>
          </w:tbl>
          <w:p w14:paraId="23CEE923">
            <w:pPr>
              <w:adjustRightInd w:val="0"/>
              <w:snapToGrid w:val="0"/>
              <w:spacing w:before="120" w:beforeLines="50" w:line="360" w:lineRule="auto"/>
              <w:rPr>
                <w:kern w:val="0"/>
                <w:sz w:val="24"/>
              </w:rPr>
            </w:pPr>
            <w:r>
              <w:rPr>
                <w:rFonts w:hint="eastAsia"/>
                <w:b/>
                <w:bCs/>
                <w:kern w:val="0"/>
                <w:sz w:val="24"/>
              </w:rPr>
              <w:t>4、项目原辅材料及资源、能源消耗</w:t>
            </w:r>
          </w:p>
          <w:p w14:paraId="1049FA03">
            <w:pPr>
              <w:adjustRightInd w:val="0"/>
              <w:snapToGrid w:val="0"/>
              <w:spacing w:line="360" w:lineRule="auto"/>
              <w:ind w:firstLine="480" w:firstLineChars="200"/>
              <w:rPr>
                <w:color w:val="auto"/>
                <w:kern w:val="0"/>
                <w:sz w:val="24"/>
              </w:rPr>
            </w:pPr>
            <w:r>
              <w:rPr>
                <w:rFonts w:hint="default" w:ascii="Times New Roman" w:hAnsi="Times New Roman" w:eastAsia="宋体" w:cs="Times New Roman"/>
                <w:snapToGrid/>
                <w:color w:val="auto"/>
                <w:spacing w:val="0"/>
                <w:kern w:val="0"/>
                <w:position w:val="0"/>
                <w:sz w:val="24"/>
                <w:szCs w:val="24"/>
              </w:rPr>
              <w:t>项目主要原辅材料及</w:t>
            </w:r>
            <w:r>
              <w:rPr>
                <w:rFonts w:hint="eastAsia" w:ascii="Times New Roman" w:hAnsi="Times New Roman" w:eastAsia="宋体" w:cs="Times New Roman"/>
                <w:b w:val="0"/>
                <w:bCs w:val="0"/>
                <w:snapToGrid/>
                <w:color w:val="auto"/>
                <w:spacing w:val="0"/>
                <w:kern w:val="0"/>
                <w:position w:val="0"/>
                <w:sz w:val="24"/>
                <w:szCs w:val="24"/>
                <w:lang w:eastAsia="zh-CN"/>
              </w:rPr>
              <w:t>资源、能源</w:t>
            </w:r>
            <w:r>
              <w:rPr>
                <w:rFonts w:hint="default" w:ascii="Times New Roman" w:hAnsi="Times New Roman" w:eastAsia="宋体" w:cs="Times New Roman"/>
                <w:snapToGrid/>
                <w:color w:val="auto"/>
                <w:spacing w:val="0"/>
                <w:kern w:val="0"/>
                <w:position w:val="0"/>
                <w:sz w:val="24"/>
                <w:szCs w:val="24"/>
              </w:rPr>
              <w:t>消耗见</w:t>
            </w:r>
            <w:r>
              <w:rPr>
                <w:color w:val="auto"/>
                <w:kern w:val="0"/>
                <w:sz w:val="24"/>
              </w:rPr>
              <w:t>表</w:t>
            </w:r>
            <w:r>
              <w:rPr>
                <w:rFonts w:hint="eastAsia"/>
                <w:color w:val="auto"/>
                <w:kern w:val="0"/>
                <w:sz w:val="24"/>
              </w:rPr>
              <w:t>2</w:t>
            </w:r>
            <w:r>
              <w:rPr>
                <w:rFonts w:hint="eastAsia"/>
                <w:color w:val="auto"/>
                <w:kern w:val="0"/>
                <w:sz w:val="24"/>
                <w:lang w:val="en-US" w:eastAsia="zh-CN"/>
              </w:rPr>
              <w:t>-6</w:t>
            </w:r>
            <w:r>
              <w:rPr>
                <w:color w:val="auto"/>
                <w:kern w:val="0"/>
                <w:sz w:val="24"/>
              </w:rPr>
              <w:t>。</w:t>
            </w:r>
          </w:p>
          <w:p w14:paraId="093DB0C4">
            <w:pPr>
              <w:adjustRightInd w:val="0"/>
              <w:snapToGrid w:val="0"/>
              <w:spacing w:line="360" w:lineRule="auto"/>
              <w:jc w:val="center"/>
              <w:rPr>
                <w:b/>
                <w:bCs/>
                <w:color w:val="auto"/>
                <w:kern w:val="0"/>
                <w:sz w:val="24"/>
              </w:rPr>
            </w:pPr>
            <w:r>
              <w:rPr>
                <w:b/>
                <w:bCs/>
                <w:color w:val="auto"/>
                <w:kern w:val="0"/>
                <w:sz w:val="24"/>
              </w:rPr>
              <w:t>表2</w:t>
            </w:r>
            <w:r>
              <w:rPr>
                <w:rFonts w:hint="eastAsia"/>
                <w:b/>
                <w:bCs/>
                <w:color w:val="auto"/>
                <w:kern w:val="0"/>
                <w:sz w:val="24"/>
                <w:lang w:val="en-US" w:eastAsia="zh-CN"/>
              </w:rPr>
              <w:t>-6</w:t>
            </w:r>
            <w:r>
              <w:rPr>
                <w:b/>
                <w:bCs/>
                <w:color w:val="auto"/>
                <w:kern w:val="0"/>
                <w:sz w:val="24"/>
              </w:rPr>
              <w:t xml:space="preserve"> </w:t>
            </w:r>
            <w:r>
              <w:rPr>
                <w:rFonts w:hint="eastAsia"/>
                <w:b/>
                <w:bCs/>
                <w:color w:val="auto"/>
                <w:kern w:val="0"/>
                <w:sz w:val="24"/>
              </w:rPr>
              <w:t xml:space="preserve"> </w:t>
            </w:r>
            <w:r>
              <w:rPr>
                <w:b/>
                <w:bCs/>
                <w:color w:val="auto"/>
                <w:kern w:val="0"/>
                <w:sz w:val="24"/>
              </w:rPr>
              <w:t>项目原辅材料及资源、能源消耗一览表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77"/>
              <w:gridCol w:w="784"/>
              <w:gridCol w:w="973"/>
              <w:gridCol w:w="1268"/>
              <w:gridCol w:w="1475"/>
              <w:gridCol w:w="1635"/>
            </w:tblGrid>
            <w:tr w14:paraId="67E1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756B5A57">
                  <w:pPr>
                    <w:widowControl/>
                    <w:adjustRightInd w:val="0"/>
                    <w:snapToGrid w:val="0"/>
                    <w:spacing w:before="48" w:beforeLines="20"/>
                    <w:jc w:val="center"/>
                    <w:rPr>
                      <w:color w:val="auto"/>
                      <w:kern w:val="0"/>
                      <w:szCs w:val="21"/>
                      <w:highlight w:val="none"/>
                    </w:rPr>
                  </w:pPr>
                  <w:r>
                    <w:rPr>
                      <w:color w:val="auto"/>
                      <w:kern w:val="0"/>
                      <w:szCs w:val="21"/>
                      <w:highlight w:val="none"/>
                    </w:rPr>
                    <w:t>序号</w:t>
                  </w:r>
                </w:p>
              </w:tc>
              <w:tc>
                <w:tcPr>
                  <w:tcW w:w="1377" w:type="dxa"/>
                  <w:vAlign w:val="center"/>
                </w:tcPr>
                <w:p w14:paraId="50FEA2B8">
                  <w:pPr>
                    <w:widowControl/>
                    <w:adjustRightInd w:val="0"/>
                    <w:snapToGrid w:val="0"/>
                    <w:spacing w:before="48" w:beforeLines="20"/>
                    <w:jc w:val="center"/>
                    <w:rPr>
                      <w:color w:val="auto"/>
                      <w:kern w:val="0"/>
                      <w:szCs w:val="21"/>
                      <w:highlight w:val="none"/>
                    </w:rPr>
                  </w:pPr>
                  <w:r>
                    <w:rPr>
                      <w:color w:val="auto"/>
                      <w:kern w:val="0"/>
                      <w:szCs w:val="21"/>
                      <w:highlight w:val="none"/>
                    </w:rPr>
                    <w:t>名 称</w:t>
                  </w:r>
                </w:p>
              </w:tc>
              <w:tc>
                <w:tcPr>
                  <w:tcW w:w="784" w:type="dxa"/>
                  <w:vAlign w:val="center"/>
                </w:tcPr>
                <w:p w14:paraId="073DA9BB">
                  <w:pPr>
                    <w:widowControl/>
                    <w:adjustRightInd w:val="0"/>
                    <w:snapToGrid w:val="0"/>
                    <w:spacing w:before="48" w:beforeLines="20"/>
                    <w:jc w:val="center"/>
                    <w:rPr>
                      <w:color w:val="auto"/>
                      <w:kern w:val="0"/>
                      <w:szCs w:val="21"/>
                      <w:highlight w:val="none"/>
                    </w:rPr>
                  </w:pPr>
                  <w:r>
                    <w:rPr>
                      <w:color w:val="auto"/>
                      <w:kern w:val="0"/>
                      <w:szCs w:val="21"/>
                      <w:highlight w:val="none"/>
                    </w:rPr>
                    <w:t>单 位</w:t>
                  </w:r>
                </w:p>
              </w:tc>
              <w:tc>
                <w:tcPr>
                  <w:tcW w:w="973" w:type="dxa"/>
                  <w:vAlign w:val="center"/>
                </w:tcPr>
                <w:p w14:paraId="3B7D29A0">
                  <w:pPr>
                    <w:widowControl/>
                    <w:adjustRightInd w:val="0"/>
                    <w:snapToGrid w:val="0"/>
                    <w:spacing w:before="48" w:beforeLines="20"/>
                    <w:jc w:val="center"/>
                    <w:rPr>
                      <w:color w:val="auto"/>
                      <w:kern w:val="0"/>
                      <w:szCs w:val="21"/>
                      <w:highlight w:val="none"/>
                    </w:rPr>
                  </w:pPr>
                  <w:r>
                    <w:rPr>
                      <w:rFonts w:hint="eastAsia"/>
                      <w:color w:val="auto"/>
                      <w:szCs w:val="21"/>
                      <w:highlight w:val="none"/>
                    </w:rPr>
                    <w:t>物质形态</w:t>
                  </w:r>
                </w:p>
              </w:tc>
              <w:tc>
                <w:tcPr>
                  <w:tcW w:w="1268" w:type="dxa"/>
                  <w:vAlign w:val="center"/>
                </w:tcPr>
                <w:p w14:paraId="16DC5740">
                  <w:pPr>
                    <w:widowControl/>
                    <w:adjustRightInd w:val="0"/>
                    <w:snapToGrid w:val="0"/>
                    <w:spacing w:before="48" w:beforeLines="20"/>
                    <w:jc w:val="center"/>
                    <w:rPr>
                      <w:color w:val="auto"/>
                      <w:kern w:val="0"/>
                      <w:szCs w:val="21"/>
                      <w:highlight w:val="none"/>
                    </w:rPr>
                  </w:pPr>
                  <w:r>
                    <w:rPr>
                      <w:rFonts w:hint="eastAsia"/>
                      <w:color w:val="auto"/>
                      <w:szCs w:val="21"/>
                      <w:highlight w:val="none"/>
                      <w:lang w:eastAsia="zh-CN"/>
                    </w:rPr>
                    <w:t>改建</w:t>
                  </w:r>
                  <w:r>
                    <w:rPr>
                      <w:color w:val="auto"/>
                      <w:kern w:val="0"/>
                      <w:szCs w:val="21"/>
                      <w:highlight w:val="none"/>
                    </w:rPr>
                    <w:t>前用量</w:t>
                  </w:r>
                </w:p>
              </w:tc>
              <w:tc>
                <w:tcPr>
                  <w:tcW w:w="1475" w:type="dxa"/>
                  <w:vAlign w:val="center"/>
                </w:tcPr>
                <w:p w14:paraId="1D773154">
                  <w:pPr>
                    <w:widowControl/>
                    <w:adjustRightInd w:val="0"/>
                    <w:snapToGrid w:val="0"/>
                    <w:spacing w:before="48" w:beforeLines="20"/>
                    <w:jc w:val="center"/>
                    <w:rPr>
                      <w:color w:val="auto"/>
                      <w:kern w:val="0"/>
                      <w:szCs w:val="21"/>
                      <w:highlight w:val="none"/>
                    </w:rPr>
                  </w:pPr>
                  <w:r>
                    <w:rPr>
                      <w:rFonts w:hint="eastAsia"/>
                      <w:color w:val="auto"/>
                      <w:szCs w:val="21"/>
                      <w:highlight w:val="none"/>
                      <w:lang w:eastAsia="zh-CN"/>
                    </w:rPr>
                    <w:t>改建</w:t>
                  </w:r>
                  <w:r>
                    <w:rPr>
                      <w:color w:val="auto"/>
                      <w:kern w:val="0"/>
                      <w:szCs w:val="21"/>
                      <w:highlight w:val="none"/>
                    </w:rPr>
                    <w:t>后用量</w:t>
                  </w:r>
                </w:p>
              </w:tc>
              <w:tc>
                <w:tcPr>
                  <w:tcW w:w="1635" w:type="dxa"/>
                  <w:vAlign w:val="center"/>
                </w:tcPr>
                <w:p w14:paraId="6D0EF119">
                  <w:pPr>
                    <w:widowControl/>
                    <w:adjustRightInd w:val="0"/>
                    <w:snapToGrid w:val="0"/>
                    <w:spacing w:before="48" w:beforeLines="20"/>
                    <w:jc w:val="center"/>
                    <w:rPr>
                      <w:color w:val="auto"/>
                      <w:kern w:val="0"/>
                      <w:szCs w:val="21"/>
                      <w:highlight w:val="none"/>
                    </w:rPr>
                  </w:pPr>
                  <w:r>
                    <w:rPr>
                      <w:color w:val="auto"/>
                      <w:kern w:val="0"/>
                      <w:szCs w:val="21"/>
                      <w:highlight w:val="none"/>
                    </w:rPr>
                    <w:t>变化情况</w:t>
                  </w:r>
                </w:p>
              </w:tc>
            </w:tr>
            <w:tr w14:paraId="5B63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4624FD89">
                  <w:pPr>
                    <w:widowControl/>
                    <w:adjustRightInd w:val="0"/>
                    <w:snapToGrid w:val="0"/>
                    <w:spacing w:before="48" w:beforeLines="20"/>
                    <w:jc w:val="center"/>
                    <w:rPr>
                      <w:rFonts w:hint="eastAsia" w:eastAsia="宋体"/>
                      <w:color w:val="auto"/>
                      <w:kern w:val="0"/>
                      <w:szCs w:val="21"/>
                      <w:highlight w:val="none"/>
                      <w:lang w:eastAsia="zh-CN"/>
                    </w:rPr>
                  </w:pPr>
                  <w:r>
                    <w:rPr>
                      <w:rFonts w:ascii="宋体" w:hAnsi="宋体" w:cs="宋体"/>
                      <w:b/>
                      <w:bCs/>
                      <w:color w:val="auto"/>
                      <w:szCs w:val="21"/>
                      <w:highlight w:val="none"/>
                    </w:rPr>
                    <w:t>高速护坡砖</w:t>
                  </w:r>
                  <w:r>
                    <w:rPr>
                      <w:rFonts w:hint="default" w:ascii="Times New Roman" w:hAnsi="Times New Roman" w:eastAsia="宋体" w:cs="Times New Roman"/>
                      <w:b/>
                      <w:bCs/>
                      <w:color w:val="auto"/>
                      <w:sz w:val="21"/>
                      <w:szCs w:val="21"/>
                      <w:highlight w:val="none"/>
                    </w:rPr>
                    <w:t>原辅材料</w:t>
                  </w:r>
                  <w:r>
                    <w:rPr>
                      <w:rFonts w:hint="eastAsia" w:ascii="Times New Roman" w:hAnsi="Times New Roman" w:eastAsia="宋体" w:cs="Times New Roman"/>
                      <w:b/>
                      <w:bCs/>
                      <w:color w:val="auto"/>
                      <w:sz w:val="21"/>
                      <w:szCs w:val="21"/>
                      <w:highlight w:val="none"/>
                      <w:lang w:eastAsia="zh-CN"/>
                    </w:rPr>
                    <w:t>消耗</w:t>
                  </w:r>
                </w:p>
              </w:tc>
            </w:tr>
            <w:tr w14:paraId="6234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F2EC2E3">
                  <w:pPr>
                    <w:adjustRightInd w:val="0"/>
                    <w:snapToGrid w:val="0"/>
                    <w:jc w:val="center"/>
                    <w:rPr>
                      <w:color w:val="auto"/>
                      <w:szCs w:val="21"/>
                      <w:highlight w:val="none"/>
                    </w:rPr>
                  </w:pPr>
                  <w:r>
                    <w:rPr>
                      <w:rFonts w:hint="eastAsia"/>
                      <w:color w:val="auto"/>
                      <w:szCs w:val="21"/>
                      <w:highlight w:val="none"/>
                    </w:rPr>
                    <w:t>1</w:t>
                  </w:r>
                </w:p>
              </w:tc>
              <w:tc>
                <w:tcPr>
                  <w:tcW w:w="1377" w:type="dxa"/>
                  <w:vAlign w:val="center"/>
                </w:tcPr>
                <w:p w14:paraId="2CFB36B6">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color w:val="auto"/>
                      <w:kern w:val="0"/>
                      <w:szCs w:val="21"/>
                      <w:highlight w:val="none"/>
                    </w:rPr>
                  </w:pPr>
                  <w:r>
                    <w:rPr>
                      <w:rFonts w:hint="eastAsia"/>
                      <w:color w:val="auto"/>
                      <w:sz w:val="21"/>
                      <w:szCs w:val="21"/>
                      <w:highlight w:val="none"/>
                      <w:lang w:eastAsia="zh-CN"/>
                    </w:rPr>
                    <w:t>炉渣</w:t>
                  </w:r>
                </w:p>
              </w:tc>
              <w:tc>
                <w:tcPr>
                  <w:tcW w:w="784" w:type="dxa"/>
                  <w:vAlign w:val="center"/>
                </w:tcPr>
                <w:p w14:paraId="50C29A1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6C19C00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 w:val="18"/>
                      <w:szCs w:val="18"/>
                      <w:highlight w:val="none"/>
                    </w:rPr>
                  </w:pPr>
                  <w:r>
                    <w:rPr>
                      <w:rFonts w:hint="eastAsia" w:cs="Times New Roman"/>
                      <w:color w:val="auto"/>
                      <w:kern w:val="2"/>
                      <w:sz w:val="21"/>
                      <w:szCs w:val="21"/>
                      <w:highlight w:val="none"/>
                      <w:lang w:val="en-US" w:eastAsia="zh-CN" w:bidi="ar-SA"/>
                    </w:rPr>
                    <w:t>固态</w:t>
                  </w:r>
                </w:p>
              </w:tc>
              <w:tc>
                <w:tcPr>
                  <w:tcW w:w="1268" w:type="dxa"/>
                  <w:vAlign w:val="center"/>
                </w:tcPr>
                <w:p w14:paraId="215B0BB1">
                  <w:pPr>
                    <w:spacing w:before="72" w:beforeLines="30"/>
                    <w:jc w:val="center"/>
                    <w:rPr>
                      <w:color w:val="auto"/>
                      <w:szCs w:val="21"/>
                      <w:highlight w:val="none"/>
                    </w:rPr>
                  </w:pPr>
                  <w:r>
                    <w:rPr>
                      <w:rFonts w:hint="eastAsia" w:cs="Times New Roman"/>
                      <w:color w:val="auto"/>
                      <w:sz w:val="21"/>
                      <w:szCs w:val="21"/>
                      <w:highlight w:val="none"/>
                      <w:lang w:val="en-US" w:eastAsia="zh-CN"/>
                    </w:rPr>
                    <w:t>170194</w:t>
                  </w:r>
                </w:p>
              </w:tc>
              <w:tc>
                <w:tcPr>
                  <w:tcW w:w="1475" w:type="dxa"/>
                  <w:vAlign w:val="center"/>
                </w:tcPr>
                <w:p w14:paraId="2459F99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kern w:val="2"/>
                      <w:sz w:val="21"/>
                      <w:szCs w:val="21"/>
                      <w:highlight w:val="none"/>
                      <w:lang w:val="en-US" w:eastAsia="zh-CN" w:bidi="ar-SA"/>
                    </w:rPr>
                    <w:t>56731</w:t>
                  </w:r>
                </w:p>
              </w:tc>
              <w:tc>
                <w:tcPr>
                  <w:tcW w:w="1635" w:type="dxa"/>
                  <w:vAlign w:val="center"/>
                </w:tcPr>
                <w:p w14:paraId="3AF92127">
                  <w:pPr>
                    <w:widowControl/>
                    <w:adjustRightInd w:val="0"/>
                    <w:snapToGrid w:val="0"/>
                    <w:spacing w:before="48" w:before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-113463</w:t>
                  </w:r>
                </w:p>
              </w:tc>
            </w:tr>
            <w:tr w14:paraId="68AE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9DC7EE8">
                  <w:pPr>
                    <w:adjustRightInd w:val="0"/>
                    <w:snapToGrid w:val="0"/>
                    <w:jc w:val="center"/>
                    <w:rPr>
                      <w:color w:val="auto"/>
                      <w:szCs w:val="21"/>
                      <w:highlight w:val="none"/>
                    </w:rPr>
                  </w:pPr>
                  <w:r>
                    <w:rPr>
                      <w:rFonts w:hint="eastAsia"/>
                      <w:color w:val="auto"/>
                      <w:szCs w:val="21"/>
                      <w:highlight w:val="none"/>
                    </w:rPr>
                    <w:t>2</w:t>
                  </w:r>
                </w:p>
              </w:tc>
              <w:tc>
                <w:tcPr>
                  <w:tcW w:w="1377" w:type="dxa"/>
                  <w:vAlign w:val="center"/>
                </w:tcPr>
                <w:p w14:paraId="09DC47FD">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color w:val="auto"/>
                      <w:kern w:val="0"/>
                      <w:szCs w:val="21"/>
                      <w:highlight w:val="none"/>
                    </w:rPr>
                  </w:pPr>
                  <w:r>
                    <w:rPr>
                      <w:rFonts w:hint="eastAsia"/>
                      <w:color w:val="auto"/>
                      <w:sz w:val="21"/>
                      <w:szCs w:val="21"/>
                      <w:highlight w:val="none"/>
                      <w:lang w:eastAsia="zh-CN"/>
                    </w:rPr>
                    <w:t>污泥</w:t>
                  </w:r>
                </w:p>
              </w:tc>
              <w:tc>
                <w:tcPr>
                  <w:tcW w:w="784" w:type="dxa"/>
                  <w:vAlign w:val="center"/>
                </w:tcPr>
                <w:p w14:paraId="2BF941A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1BEA4E2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固态</w:t>
                  </w:r>
                </w:p>
              </w:tc>
              <w:tc>
                <w:tcPr>
                  <w:tcW w:w="1268" w:type="dxa"/>
                  <w:vAlign w:val="center"/>
                </w:tcPr>
                <w:p w14:paraId="5BA59703">
                  <w:pPr>
                    <w:spacing w:before="72" w:beforeLines="30"/>
                    <w:jc w:val="center"/>
                    <w:rPr>
                      <w:color w:val="auto"/>
                      <w:szCs w:val="21"/>
                      <w:highlight w:val="none"/>
                    </w:rPr>
                  </w:pPr>
                  <w:r>
                    <w:rPr>
                      <w:rFonts w:hint="eastAsia"/>
                      <w:color w:val="auto"/>
                      <w:szCs w:val="21"/>
                      <w:highlight w:val="none"/>
                      <w:lang w:val="en-US" w:eastAsia="zh-CN"/>
                    </w:rPr>
                    <w:t>11914</w:t>
                  </w:r>
                </w:p>
              </w:tc>
              <w:tc>
                <w:tcPr>
                  <w:tcW w:w="1475" w:type="dxa"/>
                  <w:vAlign w:val="center"/>
                </w:tcPr>
                <w:p w14:paraId="129FDCF5">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3971</w:t>
                  </w:r>
                </w:p>
              </w:tc>
              <w:tc>
                <w:tcPr>
                  <w:tcW w:w="1635" w:type="dxa"/>
                  <w:vAlign w:val="center"/>
                </w:tcPr>
                <w:p w14:paraId="42E9DA16">
                  <w:pPr>
                    <w:widowControl/>
                    <w:adjustRightInd w:val="0"/>
                    <w:snapToGrid w:val="0"/>
                    <w:spacing w:before="48" w:before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-7943</w:t>
                  </w:r>
                </w:p>
              </w:tc>
            </w:tr>
            <w:tr w14:paraId="3D5C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59EF6DD9">
                  <w:pPr>
                    <w:adjustRightInd w:val="0"/>
                    <w:snapToGrid w:val="0"/>
                    <w:jc w:val="center"/>
                    <w:rPr>
                      <w:color w:val="auto"/>
                      <w:szCs w:val="21"/>
                      <w:highlight w:val="none"/>
                    </w:rPr>
                  </w:pPr>
                  <w:r>
                    <w:rPr>
                      <w:rFonts w:hint="eastAsia"/>
                      <w:color w:val="auto"/>
                      <w:szCs w:val="21"/>
                      <w:highlight w:val="none"/>
                    </w:rPr>
                    <w:t>3</w:t>
                  </w:r>
                </w:p>
              </w:tc>
              <w:tc>
                <w:tcPr>
                  <w:tcW w:w="1377" w:type="dxa"/>
                  <w:vAlign w:val="center"/>
                </w:tcPr>
                <w:p w14:paraId="071ED576">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color w:val="auto"/>
                      <w:kern w:val="0"/>
                      <w:szCs w:val="21"/>
                      <w:highlight w:val="none"/>
                    </w:rPr>
                  </w:pPr>
                  <w:r>
                    <w:rPr>
                      <w:rFonts w:hint="eastAsia"/>
                      <w:color w:val="auto"/>
                      <w:sz w:val="21"/>
                      <w:szCs w:val="21"/>
                      <w:highlight w:val="none"/>
                      <w:lang w:eastAsia="zh-CN"/>
                    </w:rPr>
                    <w:t>机制砂</w:t>
                  </w:r>
                </w:p>
              </w:tc>
              <w:tc>
                <w:tcPr>
                  <w:tcW w:w="784" w:type="dxa"/>
                  <w:vAlign w:val="center"/>
                </w:tcPr>
                <w:p w14:paraId="0052C4D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1AADC12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kern w:val="0"/>
                      <w:szCs w:val="21"/>
                      <w:highlight w:val="none"/>
                    </w:rPr>
                  </w:pPr>
                  <w:r>
                    <w:rPr>
                      <w:rFonts w:hint="eastAsia" w:cs="Times New Roman"/>
                      <w:color w:val="auto"/>
                      <w:sz w:val="21"/>
                      <w:szCs w:val="21"/>
                      <w:highlight w:val="none"/>
                      <w:lang w:val="en-US" w:eastAsia="zh-CN"/>
                    </w:rPr>
                    <w:t>固态</w:t>
                  </w:r>
                </w:p>
              </w:tc>
              <w:tc>
                <w:tcPr>
                  <w:tcW w:w="1268" w:type="dxa"/>
                  <w:vAlign w:val="center"/>
                </w:tcPr>
                <w:p w14:paraId="26333DFE">
                  <w:pPr>
                    <w:spacing w:before="72" w:beforeLines="30"/>
                    <w:jc w:val="center"/>
                    <w:rPr>
                      <w:color w:val="auto"/>
                      <w:szCs w:val="21"/>
                      <w:highlight w:val="none"/>
                    </w:rPr>
                  </w:pPr>
                  <w:r>
                    <w:rPr>
                      <w:rFonts w:hint="eastAsia"/>
                      <w:color w:val="auto"/>
                      <w:szCs w:val="21"/>
                      <w:highlight w:val="none"/>
                      <w:lang w:val="en-US" w:eastAsia="zh-CN"/>
                    </w:rPr>
                    <w:t>73188</w:t>
                  </w:r>
                </w:p>
              </w:tc>
              <w:tc>
                <w:tcPr>
                  <w:tcW w:w="1475" w:type="dxa"/>
                  <w:vAlign w:val="center"/>
                </w:tcPr>
                <w:p w14:paraId="23269550">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24396</w:t>
                  </w:r>
                </w:p>
              </w:tc>
              <w:tc>
                <w:tcPr>
                  <w:tcW w:w="1635" w:type="dxa"/>
                  <w:vAlign w:val="center"/>
                </w:tcPr>
                <w:p w14:paraId="62B26BC9">
                  <w:pPr>
                    <w:widowControl/>
                    <w:adjustRightInd w:val="0"/>
                    <w:snapToGrid w:val="0"/>
                    <w:spacing w:before="48" w:before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-48792</w:t>
                  </w:r>
                </w:p>
              </w:tc>
            </w:tr>
            <w:tr w14:paraId="7B1B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005F41B1">
                  <w:pPr>
                    <w:adjustRightInd w:val="0"/>
                    <w:snapToGrid w:val="0"/>
                    <w:jc w:val="center"/>
                    <w:rPr>
                      <w:color w:val="auto"/>
                      <w:szCs w:val="21"/>
                      <w:highlight w:val="none"/>
                    </w:rPr>
                  </w:pPr>
                  <w:r>
                    <w:rPr>
                      <w:rFonts w:hint="eastAsia"/>
                      <w:color w:val="auto"/>
                      <w:szCs w:val="21"/>
                      <w:highlight w:val="none"/>
                    </w:rPr>
                    <w:t>4</w:t>
                  </w:r>
                </w:p>
              </w:tc>
              <w:tc>
                <w:tcPr>
                  <w:tcW w:w="1377" w:type="dxa"/>
                  <w:vAlign w:val="center"/>
                </w:tcPr>
                <w:p w14:paraId="6DB57D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kern w:val="0"/>
                      <w:szCs w:val="21"/>
                      <w:highlight w:val="none"/>
                    </w:rPr>
                  </w:pPr>
                  <w:r>
                    <w:rPr>
                      <w:rFonts w:hint="eastAsia"/>
                      <w:color w:val="auto"/>
                      <w:sz w:val="21"/>
                      <w:szCs w:val="21"/>
                      <w:highlight w:val="none"/>
                    </w:rPr>
                    <w:t>水泥</w:t>
                  </w:r>
                </w:p>
              </w:tc>
              <w:tc>
                <w:tcPr>
                  <w:tcW w:w="784" w:type="dxa"/>
                  <w:vAlign w:val="center"/>
                </w:tcPr>
                <w:p w14:paraId="500A2C6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689F69B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粉状</w:t>
                  </w:r>
                </w:p>
              </w:tc>
              <w:tc>
                <w:tcPr>
                  <w:tcW w:w="1268" w:type="dxa"/>
                  <w:vAlign w:val="center"/>
                </w:tcPr>
                <w:p w14:paraId="20310A19">
                  <w:pPr>
                    <w:spacing w:before="72" w:beforeLines="30"/>
                    <w:jc w:val="center"/>
                    <w:rPr>
                      <w:color w:val="auto"/>
                      <w:szCs w:val="21"/>
                      <w:highlight w:val="none"/>
                    </w:rPr>
                  </w:pPr>
                  <w:r>
                    <w:rPr>
                      <w:rFonts w:hint="eastAsia"/>
                      <w:color w:val="auto"/>
                      <w:szCs w:val="21"/>
                      <w:highlight w:val="none"/>
                      <w:lang w:val="en-US" w:eastAsia="zh-CN"/>
                    </w:rPr>
                    <w:t>30635</w:t>
                  </w:r>
                </w:p>
              </w:tc>
              <w:tc>
                <w:tcPr>
                  <w:tcW w:w="1475" w:type="dxa"/>
                  <w:vAlign w:val="center"/>
                </w:tcPr>
                <w:p w14:paraId="5ADCF36A">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10211</w:t>
                  </w:r>
                </w:p>
              </w:tc>
              <w:tc>
                <w:tcPr>
                  <w:tcW w:w="1635" w:type="dxa"/>
                  <w:vAlign w:val="center"/>
                </w:tcPr>
                <w:p w14:paraId="5D2DBED3">
                  <w:pPr>
                    <w:widowControl/>
                    <w:adjustRightInd w:val="0"/>
                    <w:snapToGrid w:val="0"/>
                    <w:spacing w:before="48" w:before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-20424</w:t>
                  </w:r>
                </w:p>
              </w:tc>
            </w:tr>
            <w:tr w14:paraId="215F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03E091D0">
                  <w:pPr>
                    <w:adjustRightInd w:val="0"/>
                    <w:snapToGrid w:val="0"/>
                    <w:jc w:val="center"/>
                    <w:rPr>
                      <w:color w:val="auto"/>
                      <w:szCs w:val="21"/>
                      <w:highlight w:val="none"/>
                    </w:rPr>
                  </w:pPr>
                  <w:r>
                    <w:rPr>
                      <w:rFonts w:hint="eastAsia"/>
                      <w:color w:val="auto"/>
                      <w:szCs w:val="21"/>
                      <w:highlight w:val="none"/>
                    </w:rPr>
                    <w:t>5</w:t>
                  </w:r>
                </w:p>
              </w:tc>
              <w:tc>
                <w:tcPr>
                  <w:tcW w:w="1377" w:type="dxa"/>
                  <w:vAlign w:val="center"/>
                </w:tcPr>
                <w:p w14:paraId="199A73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color w:val="auto"/>
                      <w:kern w:val="0"/>
                      <w:szCs w:val="21"/>
                      <w:highlight w:val="none"/>
                    </w:rPr>
                  </w:pPr>
                  <w:r>
                    <w:rPr>
                      <w:rFonts w:hint="eastAsia"/>
                      <w:color w:val="auto"/>
                      <w:sz w:val="21"/>
                      <w:szCs w:val="21"/>
                      <w:highlight w:val="none"/>
                    </w:rPr>
                    <w:t>固化剂</w:t>
                  </w:r>
                </w:p>
              </w:tc>
              <w:tc>
                <w:tcPr>
                  <w:tcW w:w="784" w:type="dxa"/>
                  <w:vAlign w:val="center"/>
                </w:tcPr>
                <w:p w14:paraId="5B7F450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5525865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液态</w:t>
                  </w:r>
                </w:p>
              </w:tc>
              <w:tc>
                <w:tcPr>
                  <w:tcW w:w="1268" w:type="dxa"/>
                  <w:vAlign w:val="center"/>
                </w:tcPr>
                <w:p w14:paraId="584EE989">
                  <w:pPr>
                    <w:spacing w:before="72" w:beforeLines="30"/>
                    <w:jc w:val="center"/>
                    <w:rPr>
                      <w:color w:val="auto"/>
                      <w:szCs w:val="21"/>
                      <w:highlight w:val="none"/>
                    </w:rPr>
                  </w:pPr>
                  <w:r>
                    <w:rPr>
                      <w:rFonts w:hint="eastAsia"/>
                      <w:color w:val="auto"/>
                      <w:szCs w:val="21"/>
                      <w:highlight w:val="none"/>
                      <w:lang w:val="en-US" w:eastAsia="zh-CN"/>
                    </w:rPr>
                    <w:t>255</w:t>
                  </w:r>
                </w:p>
              </w:tc>
              <w:tc>
                <w:tcPr>
                  <w:tcW w:w="1475" w:type="dxa"/>
                  <w:vAlign w:val="center"/>
                </w:tcPr>
                <w:p w14:paraId="269B12D8">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eastAsia" w:cs="Times New Roman"/>
                      <w:color w:val="auto"/>
                      <w:sz w:val="21"/>
                      <w:szCs w:val="21"/>
                      <w:highlight w:val="none"/>
                      <w:lang w:val="en-US" w:eastAsia="zh-CN"/>
                    </w:rPr>
                    <w:t>85</w:t>
                  </w:r>
                </w:p>
              </w:tc>
              <w:tc>
                <w:tcPr>
                  <w:tcW w:w="1635" w:type="dxa"/>
                  <w:vAlign w:val="center"/>
                </w:tcPr>
                <w:p w14:paraId="5757A892">
                  <w:pPr>
                    <w:widowControl/>
                    <w:adjustRightInd w:val="0"/>
                    <w:snapToGrid w:val="0"/>
                    <w:spacing w:before="48" w:beforeLines="2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-170</w:t>
                  </w:r>
                </w:p>
              </w:tc>
            </w:tr>
            <w:tr w14:paraId="720A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507B0553">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377" w:type="dxa"/>
                  <w:vAlign w:val="center"/>
                </w:tcPr>
                <w:p w14:paraId="35B245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kern w:val="0"/>
                      <w:szCs w:val="21"/>
                      <w:highlight w:val="none"/>
                    </w:rPr>
                  </w:pPr>
                  <w:r>
                    <w:rPr>
                      <w:rFonts w:hint="eastAsia"/>
                      <w:color w:val="auto"/>
                      <w:sz w:val="21"/>
                      <w:szCs w:val="21"/>
                      <w:highlight w:val="none"/>
                    </w:rPr>
                    <w:t>生物除臭剂</w:t>
                  </w:r>
                </w:p>
              </w:tc>
              <w:tc>
                <w:tcPr>
                  <w:tcW w:w="784" w:type="dxa"/>
                  <w:vAlign w:val="center"/>
                </w:tcPr>
                <w:p w14:paraId="5C82EE29">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7CB1320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rPr>
                  </w:pPr>
                  <w:r>
                    <w:rPr>
                      <w:rFonts w:hint="eastAsia" w:cs="Times New Roman"/>
                      <w:color w:val="auto"/>
                      <w:sz w:val="21"/>
                      <w:szCs w:val="21"/>
                      <w:highlight w:val="none"/>
                      <w:lang w:val="en-US" w:eastAsia="zh-CN"/>
                    </w:rPr>
                    <w:t>液态</w:t>
                  </w:r>
                </w:p>
              </w:tc>
              <w:tc>
                <w:tcPr>
                  <w:tcW w:w="1268" w:type="dxa"/>
                  <w:vAlign w:val="center"/>
                </w:tcPr>
                <w:p w14:paraId="4B59FE34">
                  <w:pPr>
                    <w:spacing w:before="72" w:beforeLines="30"/>
                    <w:jc w:val="center"/>
                    <w:rPr>
                      <w:rFonts w:hint="eastAsia"/>
                      <w:color w:val="auto"/>
                      <w:szCs w:val="21"/>
                      <w:highlight w:val="none"/>
                    </w:rPr>
                  </w:pPr>
                  <w:r>
                    <w:rPr>
                      <w:rFonts w:hint="eastAsia"/>
                      <w:color w:val="auto"/>
                      <w:szCs w:val="21"/>
                      <w:highlight w:val="none"/>
                      <w:lang w:val="en-US" w:eastAsia="zh-CN"/>
                    </w:rPr>
                    <w:t>1</w:t>
                  </w:r>
                </w:p>
              </w:tc>
              <w:tc>
                <w:tcPr>
                  <w:tcW w:w="1475" w:type="dxa"/>
                  <w:vAlign w:val="center"/>
                </w:tcPr>
                <w:p w14:paraId="77CB54F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color w:val="auto"/>
                      <w:szCs w:val="21"/>
                      <w:highlight w:val="none"/>
                    </w:rPr>
                  </w:pPr>
                  <w:r>
                    <w:rPr>
                      <w:rFonts w:hint="eastAsia" w:cs="Times New Roman"/>
                      <w:color w:val="auto"/>
                      <w:sz w:val="21"/>
                      <w:szCs w:val="21"/>
                      <w:highlight w:val="none"/>
                      <w:lang w:val="en-US" w:eastAsia="zh-CN"/>
                    </w:rPr>
                    <w:t>0.4</w:t>
                  </w:r>
                </w:p>
              </w:tc>
              <w:tc>
                <w:tcPr>
                  <w:tcW w:w="1635" w:type="dxa"/>
                  <w:vAlign w:val="center"/>
                </w:tcPr>
                <w:p w14:paraId="07BF9EC2">
                  <w:pPr>
                    <w:widowControl/>
                    <w:adjustRightInd w:val="0"/>
                    <w:snapToGrid w:val="0"/>
                    <w:spacing w:before="48" w:beforeLines="20"/>
                    <w:jc w:val="center"/>
                    <w:rPr>
                      <w:rFonts w:hint="default"/>
                      <w:color w:val="auto"/>
                      <w:kern w:val="0"/>
                      <w:szCs w:val="21"/>
                      <w:highlight w:val="none"/>
                      <w:lang w:val="en-US"/>
                    </w:rPr>
                  </w:pPr>
                  <w:r>
                    <w:rPr>
                      <w:rFonts w:hint="eastAsia"/>
                      <w:color w:val="auto"/>
                      <w:kern w:val="0"/>
                      <w:szCs w:val="21"/>
                      <w:highlight w:val="none"/>
                      <w:lang w:val="en-US" w:eastAsia="zh-CN"/>
                    </w:rPr>
                    <w:t>-0.4</w:t>
                  </w:r>
                </w:p>
              </w:tc>
            </w:tr>
            <w:tr w14:paraId="5532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2E3A7314">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1377" w:type="dxa"/>
                  <w:vAlign w:val="center"/>
                </w:tcPr>
                <w:p w14:paraId="104BB3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kern w:val="0"/>
                      <w:szCs w:val="21"/>
                      <w:highlight w:val="none"/>
                    </w:rPr>
                  </w:pPr>
                  <w:r>
                    <w:rPr>
                      <w:rFonts w:hint="eastAsia"/>
                      <w:color w:val="auto"/>
                      <w:sz w:val="21"/>
                      <w:szCs w:val="21"/>
                      <w:highlight w:val="none"/>
                      <w:lang w:eastAsia="zh-CN"/>
                    </w:rPr>
                    <w:t>机油</w:t>
                  </w:r>
                </w:p>
              </w:tc>
              <w:tc>
                <w:tcPr>
                  <w:tcW w:w="784" w:type="dxa"/>
                  <w:vAlign w:val="center"/>
                </w:tcPr>
                <w:p w14:paraId="04AB3F4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color w:val="auto"/>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6E6EF7C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rPr>
                  </w:pPr>
                  <w:r>
                    <w:rPr>
                      <w:rFonts w:hint="eastAsia" w:cs="Times New Roman"/>
                      <w:color w:val="auto"/>
                      <w:sz w:val="21"/>
                      <w:szCs w:val="21"/>
                      <w:highlight w:val="none"/>
                      <w:lang w:val="en-US" w:eastAsia="zh-CN"/>
                    </w:rPr>
                    <w:t>液态</w:t>
                  </w:r>
                </w:p>
              </w:tc>
              <w:tc>
                <w:tcPr>
                  <w:tcW w:w="1268" w:type="dxa"/>
                  <w:vAlign w:val="center"/>
                </w:tcPr>
                <w:p w14:paraId="79F73C8C">
                  <w:pPr>
                    <w:spacing w:before="72" w:beforeLines="30"/>
                    <w:jc w:val="center"/>
                    <w:rPr>
                      <w:rFonts w:hint="eastAsia"/>
                      <w:color w:val="auto"/>
                      <w:szCs w:val="21"/>
                      <w:highlight w:val="none"/>
                    </w:rPr>
                  </w:pPr>
                  <w:r>
                    <w:rPr>
                      <w:rFonts w:hint="eastAsia"/>
                      <w:color w:val="auto"/>
                      <w:szCs w:val="21"/>
                      <w:highlight w:val="none"/>
                      <w:lang w:val="en-US" w:eastAsia="zh-CN"/>
                    </w:rPr>
                    <w:t>0.25</w:t>
                  </w:r>
                </w:p>
              </w:tc>
              <w:tc>
                <w:tcPr>
                  <w:tcW w:w="1475" w:type="dxa"/>
                  <w:vAlign w:val="center"/>
                </w:tcPr>
                <w:p w14:paraId="650FB0FF">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color w:val="auto"/>
                      <w:szCs w:val="21"/>
                      <w:highlight w:val="none"/>
                    </w:rPr>
                  </w:pPr>
                  <w:r>
                    <w:rPr>
                      <w:rFonts w:hint="eastAsia" w:cs="Times New Roman"/>
                      <w:color w:val="auto"/>
                      <w:sz w:val="21"/>
                      <w:szCs w:val="21"/>
                      <w:highlight w:val="none"/>
                      <w:lang w:val="en-US" w:eastAsia="zh-CN"/>
                    </w:rPr>
                    <w:t>0.1</w:t>
                  </w:r>
                </w:p>
              </w:tc>
              <w:tc>
                <w:tcPr>
                  <w:tcW w:w="1635" w:type="dxa"/>
                  <w:vAlign w:val="center"/>
                </w:tcPr>
                <w:p w14:paraId="1437524B">
                  <w:pPr>
                    <w:widowControl/>
                    <w:adjustRightInd w:val="0"/>
                    <w:snapToGrid w:val="0"/>
                    <w:spacing w:before="48" w:beforeLines="20"/>
                    <w:jc w:val="center"/>
                    <w:rPr>
                      <w:rFonts w:hint="default"/>
                      <w:color w:val="auto"/>
                      <w:kern w:val="0"/>
                      <w:szCs w:val="21"/>
                      <w:highlight w:val="none"/>
                      <w:lang w:val="en-US"/>
                    </w:rPr>
                  </w:pPr>
                  <w:r>
                    <w:rPr>
                      <w:rFonts w:hint="eastAsia"/>
                      <w:color w:val="auto"/>
                      <w:kern w:val="0"/>
                      <w:szCs w:val="21"/>
                      <w:highlight w:val="none"/>
                      <w:lang w:val="en-US" w:eastAsia="zh-CN"/>
                    </w:rPr>
                    <w:t>-0.15</w:t>
                  </w:r>
                </w:p>
              </w:tc>
            </w:tr>
            <w:tr w14:paraId="0374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656B2DD9">
                  <w:pPr>
                    <w:widowControl/>
                    <w:adjustRightInd w:val="0"/>
                    <w:snapToGrid w:val="0"/>
                    <w:spacing w:before="48" w:beforeLines="20"/>
                    <w:jc w:val="center"/>
                    <w:rPr>
                      <w:rFonts w:hint="eastAsia" w:eastAsia="宋体"/>
                      <w:color w:val="auto"/>
                      <w:kern w:val="0"/>
                      <w:szCs w:val="21"/>
                      <w:highlight w:val="none"/>
                      <w:lang w:val="en-US" w:eastAsia="zh-CN"/>
                    </w:rPr>
                  </w:pPr>
                  <w:r>
                    <w:rPr>
                      <w:rFonts w:hint="eastAsia"/>
                      <w:b/>
                      <w:bCs/>
                      <w:color w:val="auto"/>
                      <w:szCs w:val="21"/>
                      <w:highlight w:val="none"/>
                    </w:rPr>
                    <w:t>各类生态路面环保砖</w:t>
                  </w:r>
                  <w:r>
                    <w:rPr>
                      <w:rFonts w:hint="eastAsia"/>
                      <w:b/>
                      <w:bCs/>
                      <w:color w:val="auto"/>
                      <w:szCs w:val="21"/>
                      <w:highlight w:val="none"/>
                      <w:lang w:eastAsia="zh-CN"/>
                    </w:rPr>
                    <w:t>原辅材料消耗</w:t>
                  </w:r>
                </w:p>
              </w:tc>
            </w:tr>
            <w:tr w14:paraId="770E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48ED7D0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default" w:ascii="Times New Roman" w:hAnsi="Times New Roman" w:eastAsia="宋体" w:cs="Times New Roman"/>
                      <w:color w:val="auto"/>
                      <w:sz w:val="21"/>
                      <w:szCs w:val="21"/>
                      <w:highlight w:val="none"/>
                    </w:rPr>
                    <w:t>1</w:t>
                  </w:r>
                </w:p>
              </w:tc>
              <w:tc>
                <w:tcPr>
                  <w:tcW w:w="1377" w:type="dxa"/>
                  <w:vAlign w:val="center"/>
                </w:tcPr>
                <w:p w14:paraId="7598BBFB">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炉渣</w:t>
                  </w:r>
                </w:p>
              </w:tc>
              <w:tc>
                <w:tcPr>
                  <w:tcW w:w="784" w:type="dxa"/>
                  <w:vAlign w:val="center"/>
                </w:tcPr>
                <w:p w14:paraId="421772C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7202B18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c>
                <w:tcPr>
                  <w:tcW w:w="1268" w:type="dxa"/>
                  <w:shd w:val="clear" w:color="auto" w:fill="auto"/>
                  <w:vAlign w:val="center"/>
                </w:tcPr>
                <w:p w14:paraId="2D087E5B">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29806</w:t>
                  </w:r>
                </w:p>
              </w:tc>
              <w:tc>
                <w:tcPr>
                  <w:tcW w:w="1475" w:type="dxa"/>
                  <w:shd w:val="clear" w:color="auto" w:fill="auto"/>
                  <w:vAlign w:val="center"/>
                </w:tcPr>
                <w:p w14:paraId="103E2328">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9935</w:t>
                  </w:r>
                </w:p>
              </w:tc>
              <w:tc>
                <w:tcPr>
                  <w:tcW w:w="1635" w:type="dxa"/>
                  <w:shd w:val="clear" w:color="auto" w:fill="auto"/>
                  <w:vAlign w:val="center"/>
                </w:tcPr>
                <w:p w14:paraId="0F7F34EC">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-19871</w:t>
                  </w:r>
                </w:p>
              </w:tc>
            </w:tr>
            <w:tr w14:paraId="2527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1C2186B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2</w:t>
                  </w:r>
                </w:p>
              </w:tc>
              <w:tc>
                <w:tcPr>
                  <w:tcW w:w="1377" w:type="dxa"/>
                  <w:vAlign w:val="center"/>
                </w:tcPr>
                <w:p w14:paraId="152DA154">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污泥</w:t>
                  </w:r>
                </w:p>
              </w:tc>
              <w:tc>
                <w:tcPr>
                  <w:tcW w:w="784" w:type="dxa"/>
                  <w:vAlign w:val="center"/>
                </w:tcPr>
                <w:p w14:paraId="6235A4BD">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4D71A73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1268" w:type="dxa"/>
                  <w:shd w:val="clear" w:color="auto" w:fill="auto"/>
                  <w:vAlign w:val="center"/>
                </w:tcPr>
                <w:p w14:paraId="7CA2134B">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2086</w:t>
                  </w:r>
                </w:p>
              </w:tc>
              <w:tc>
                <w:tcPr>
                  <w:tcW w:w="1475" w:type="dxa"/>
                  <w:shd w:val="clear" w:color="auto" w:fill="auto"/>
                  <w:vAlign w:val="center"/>
                </w:tcPr>
                <w:p w14:paraId="1D0C8009">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695</w:t>
                  </w:r>
                </w:p>
              </w:tc>
              <w:tc>
                <w:tcPr>
                  <w:tcW w:w="1635" w:type="dxa"/>
                  <w:shd w:val="clear" w:color="auto" w:fill="auto"/>
                  <w:vAlign w:val="center"/>
                </w:tcPr>
                <w:p w14:paraId="6CF629DE">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-1391</w:t>
                  </w:r>
                </w:p>
              </w:tc>
            </w:tr>
            <w:tr w14:paraId="2E14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5809B274">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3</w:t>
                  </w:r>
                </w:p>
              </w:tc>
              <w:tc>
                <w:tcPr>
                  <w:tcW w:w="1377" w:type="dxa"/>
                  <w:vAlign w:val="center"/>
                </w:tcPr>
                <w:p w14:paraId="4DC5E217">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机制砂</w:t>
                  </w:r>
                </w:p>
              </w:tc>
              <w:tc>
                <w:tcPr>
                  <w:tcW w:w="784" w:type="dxa"/>
                  <w:vAlign w:val="center"/>
                </w:tcPr>
                <w:p w14:paraId="033805B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68E37EC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1268" w:type="dxa"/>
                  <w:shd w:val="clear" w:color="auto" w:fill="auto"/>
                  <w:vAlign w:val="center"/>
                </w:tcPr>
                <w:p w14:paraId="6A486514">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12817</w:t>
                  </w:r>
                </w:p>
              </w:tc>
              <w:tc>
                <w:tcPr>
                  <w:tcW w:w="1475" w:type="dxa"/>
                  <w:shd w:val="clear" w:color="auto" w:fill="auto"/>
                  <w:vAlign w:val="center"/>
                </w:tcPr>
                <w:p w14:paraId="74636B82">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4272</w:t>
                  </w:r>
                </w:p>
              </w:tc>
              <w:tc>
                <w:tcPr>
                  <w:tcW w:w="1635" w:type="dxa"/>
                  <w:shd w:val="clear" w:color="auto" w:fill="auto"/>
                  <w:vAlign w:val="center"/>
                </w:tcPr>
                <w:p w14:paraId="105AF5FD">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-8545</w:t>
                  </w:r>
                </w:p>
              </w:tc>
            </w:tr>
            <w:tr w14:paraId="3E53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07A2D94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4</w:t>
                  </w:r>
                </w:p>
              </w:tc>
              <w:tc>
                <w:tcPr>
                  <w:tcW w:w="1377" w:type="dxa"/>
                  <w:vAlign w:val="center"/>
                </w:tcPr>
                <w:p w14:paraId="68A1A2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rPr>
                    <w:t>水泥</w:t>
                  </w:r>
                </w:p>
              </w:tc>
              <w:tc>
                <w:tcPr>
                  <w:tcW w:w="784" w:type="dxa"/>
                  <w:vAlign w:val="center"/>
                </w:tcPr>
                <w:p w14:paraId="3A3B4B7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653011C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粉状</w:t>
                  </w:r>
                </w:p>
              </w:tc>
              <w:tc>
                <w:tcPr>
                  <w:tcW w:w="1268" w:type="dxa"/>
                  <w:shd w:val="clear" w:color="auto" w:fill="auto"/>
                  <w:vAlign w:val="center"/>
                </w:tcPr>
                <w:p w14:paraId="4D07BB7F">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5365</w:t>
                  </w:r>
                </w:p>
              </w:tc>
              <w:tc>
                <w:tcPr>
                  <w:tcW w:w="1475" w:type="dxa"/>
                  <w:shd w:val="clear" w:color="auto" w:fill="auto"/>
                  <w:vAlign w:val="center"/>
                </w:tcPr>
                <w:p w14:paraId="1A2E9947">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1788</w:t>
                  </w:r>
                </w:p>
              </w:tc>
              <w:tc>
                <w:tcPr>
                  <w:tcW w:w="1635" w:type="dxa"/>
                  <w:shd w:val="clear" w:color="auto" w:fill="auto"/>
                  <w:vAlign w:val="center"/>
                </w:tcPr>
                <w:p w14:paraId="471B2279">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-3577</w:t>
                  </w:r>
                </w:p>
              </w:tc>
            </w:tr>
            <w:tr w14:paraId="5E8D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6E06B4A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5</w:t>
                  </w:r>
                </w:p>
              </w:tc>
              <w:tc>
                <w:tcPr>
                  <w:tcW w:w="1377" w:type="dxa"/>
                  <w:vAlign w:val="center"/>
                </w:tcPr>
                <w:p w14:paraId="0F4F2D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rPr>
                    <w:t>固化剂</w:t>
                  </w:r>
                </w:p>
              </w:tc>
              <w:tc>
                <w:tcPr>
                  <w:tcW w:w="784" w:type="dxa"/>
                  <w:vAlign w:val="center"/>
                </w:tcPr>
                <w:p w14:paraId="0AB998E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3F2B6C7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74C4AC93">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45</w:t>
                  </w:r>
                </w:p>
              </w:tc>
              <w:tc>
                <w:tcPr>
                  <w:tcW w:w="1475" w:type="dxa"/>
                  <w:shd w:val="clear" w:color="auto" w:fill="auto"/>
                  <w:vAlign w:val="center"/>
                </w:tcPr>
                <w:p w14:paraId="137E1F09">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635" w:type="dxa"/>
                  <w:shd w:val="clear" w:color="auto" w:fill="auto"/>
                  <w:vAlign w:val="center"/>
                </w:tcPr>
                <w:p w14:paraId="34BF46B9">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-30</w:t>
                  </w:r>
                </w:p>
              </w:tc>
            </w:tr>
            <w:tr w14:paraId="0EE6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6140EC9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6</w:t>
                  </w:r>
                </w:p>
              </w:tc>
              <w:tc>
                <w:tcPr>
                  <w:tcW w:w="1377" w:type="dxa"/>
                  <w:vAlign w:val="center"/>
                </w:tcPr>
                <w:p w14:paraId="6E4C1F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rPr>
                    <w:t>生物除臭剂</w:t>
                  </w:r>
                </w:p>
              </w:tc>
              <w:tc>
                <w:tcPr>
                  <w:tcW w:w="784" w:type="dxa"/>
                  <w:vAlign w:val="center"/>
                </w:tcPr>
                <w:p w14:paraId="72263F0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5527C6B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1A89F8B8">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0.633</w:t>
                  </w:r>
                </w:p>
              </w:tc>
              <w:tc>
                <w:tcPr>
                  <w:tcW w:w="1475" w:type="dxa"/>
                  <w:shd w:val="clear" w:color="auto" w:fill="auto"/>
                  <w:vAlign w:val="center"/>
                </w:tcPr>
                <w:p w14:paraId="0B2377D0">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635" w:type="dxa"/>
                  <w:shd w:val="clear" w:color="auto" w:fill="auto"/>
                  <w:vAlign w:val="center"/>
                </w:tcPr>
                <w:p w14:paraId="004D6311">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-0.433</w:t>
                  </w:r>
                </w:p>
              </w:tc>
            </w:tr>
            <w:tr w14:paraId="05B0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4E6CAA4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olor w:val="auto"/>
                      <w:szCs w:val="21"/>
                      <w:highlight w:val="none"/>
                      <w:lang w:val="en-US" w:eastAsia="zh-CN"/>
                    </w:rPr>
                  </w:pPr>
                  <w:r>
                    <w:rPr>
                      <w:rFonts w:hint="eastAsia" w:cs="Times New Roman"/>
                      <w:color w:val="auto"/>
                      <w:kern w:val="2"/>
                      <w:sz w:val="21"/>
                      <w:szCs w:val="21"/>
                      <w:highlight w:val="none"/>
                      <w:lang w:val="en-US" w:eastAsia="zh-CN" w:bidi="ar-SA"/>
                    </w:rPr>
                    <w:t>7</w:t>
                  </w:r>
                </w:p>
              </w:tc>
              <w:tc>
                <w:tcPr>
                  <w:tcW w:w="1377" w:type="dxa"/>
                  <w:vAlign w:val="center"/>
                </w:tcPr>
                <w:p w14:paraId="692D4D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机油</w:t>
                  </w:r>
                </w:p>
              </w:tc>
              <w:tc>
                <w:tcPr>
                  <w:tcW w:w="784" w:type="dxa"/>
                  <w:vAlign w:val="center"/>
                </w:tcPr>
                <w:p w14:paraId="3F1801D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60BE141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015FD195">
                  <w:pPr>
                    <w:spacing w:before="72" w:beforeLines="3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0.25</w:t>
                  </w:r>
                </w:p>
              </w:tc>
              <w:tc>
                <w:tcPr>
                  <w:tcW w:w="1475" w:type="dxa"/>
                  <w:shd w:val="clear" w:color="auto" w:fill="auto"/>
                  <w:vAlign w:val="center"/>
                </w:tcPr>
                <w:p w14:paraId="1E789309">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635" w:type="dxa"/>
                  <w:shd w:val="clear" w:color="auto" w:fill="auto"/>
                  <w:vAlign w:val="center"/>
                </w:tcPr>
                <w:p w14:paraId="4AF32A3E">
                  <w:pPr>
                    <w:widowControl/>
                    <w:adjustRightInd w:val="0"/>
                    <w:snapToGrid w:val="0"/>
                    <w:spacing w:before="48" w:beforeLines="2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-0.15</w:t>
                  </w:r>
                </w:p>
              </w:tc>
            </w:tr>
            <w:tr w14:paraId="3B64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072EA9BC">
                  <w:pPr>
                    <w:widowControl/>
                    <w:adjustRightInd w:val="0"/>
                    <w:snapToGrid w:val="0"/>
                    <w:spacing w:before="48" w:beforeLines="20"/>
                    <w:jc w:val="center"/>
                    <w:rPr>
                      <w:rFonts w:hint="eastAsia"/>
                      <w:color w:val="auto"/>
                      <w:kern w:val="0"/>
                      <w:szCs w:val="21"/>
                      <w:highlight w:val="none"/>
                      <w:lang w:val="en-US" w:eastAsia="zh-CN"/>
                    </w:rPr>
                  </w:pPr>
                  <w:r>
                    <w:rPr>
                      <w:rFonts w:hint="eastAsia"/>
                      <w:b/>
                      <w:bCs/>
                      <w:color w:val="auto"/>
                      <w:szCs w:val="21"/>
                      <w:highlight w:val="none"/>
                      <w:lang w:eastAsia="zh-CN"/>
                    </w:rPr>
                    <w:t>固化土原辅材料消耗</w:t>
                  </w:r>
                </w:p>
              </w:tc>
            </w:tr>
            <w:tr w14:paraId="20AA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592412A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p>
              </w:tc>
              <w:tc>
                <w:tcPr>
                  <w:tcW w:w="1377" w:type="dxa"/>
                  <w:vAlign w:val="center"/>
                </w:tcPr>
                <w:p w14:paraId="3FF0E6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脱硫石膏</w:t>
                  </w:r>
                </w:p>
              </w:tc>
              <w:tc>
                <w:tcPr>
                  <w:tcW w:w="784" w:type="dxa"/>
                  <w:shd w:val="clear" w:color="auto" w:fill="auto"/>
                  <w:vAlign w:val="center"/>
                </w:tcPr>
                <w:p w14:paraId="58B0A6A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vAlign w:val="center"/>
                </w:tcPr>
                <w:p w14:paraId="650A973D">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708C9D38">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26C49ACA">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635" w:type="dxa"/>
                  <w:vAlign w:val="center"/>
                </w:tcPr>
                <w:p w14:paraId="0CE8DE4A">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+3000</w:t>
                  </w:r>
                </w:p>
              </w:tc>
            </w:tr>
            <w:tr w14:paraId="36EE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355BF20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w:t>
                  </w:r>
                </w:p>
              </w:tc>
              <w:tc>
                <w:tcPr>
                  <w:tcW w:w="1377" w:type="dxa"/>
                  <w:vAlign w:val="center"/>
                </w:tcPr>
                <w:p w14:paraId="1666D8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尾矿</w:t>
                  </w:r>
                </w:p>
              </w:tc>
              <w:tc>
                <w:tcPr>
                  <w:tcW w:w="784" w:type="dxa"/>
                  <w:shd w:val="clear" w:color="auto" w:fill="auto"/>
                  <w:vAlign w:val="center"/>
                </w:tcPr>
                <w:p w14:paraId="463387D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vAlign w:val="center"/>
                </w:tcPr>
                <w:p w14:paraId="598D1C8D">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60375D55">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1EB2C114">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635" w:type="dxa"/>
                  <w:vAlign w:val="center"/>
                </w:tcPr>
                <w:p w14:paraId="723E8EF5">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+3000</w:t>
                  </w:r>
                </w:p>
              </w:tc>
            </w:tr>
            <w:tr w14:paraId="365B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6FCF25D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c>
                <w:tcPr>
                  <w:tcW w:w="1377" w:type="dxa"/>
                  <w:vAlign w:val="center"/>
                </w:tcPr>
                <w:p w14:paraId="5FFB0C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污泥（新宇）</w:t>
                  </w:r>
                </w:p>
              </w:tc>
              <w:tc>
                <w:tcPr>
                  <w:tcW w:w="784" w:type="dxa"/>
                  <w:shd w:val="clear" w:color="auto" w:fill="auto"/>
                  <w:vAlign w:val="center"/>
                </w:tcPr>
                <w:p w14:paraId="1AC2F44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vAlign w:val="center"/>
                </w:tcPr>
                <w:p w14:paraId="46800CC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79D9B876">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48FC40B7">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21000</w:t>
                  </w:r>
                </w:p>
              </w:tc>
              <w:tc>
                <w:tcPr>
                  <w:tcW w:w="1635" w:type="dxa"/>
                  <w:vAlign w:val="center"/>
                </w:tcPr>
                <w:p w14:paraId="43BC25A3">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+21000</w:t>
                  </w:r>
                </w:p>
              </w:tc>
            </w:tr>
            <w:tr w14:paraId="4A40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34E8A79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w:t>
                  </w:r>
                </w:p>
              </w:tc>
              <w:tc>
                <w:tcPr>
                  <w:tcW w:w="1377" w:type="dxa"/>
                  <w:vAlign w:val="center"/>
                </w:tcPr>
                <w:p w14:paraId="4D4EC4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固化剂</w:t>
                  </w:r>
                </w:p>
              </w:tc>
              <w:tc>
                <w:tcPr>
                  <w:tcW w:w="784" w:type="dxa"/>
                  <w:shd w:val="clear" w:color="auto" w:fill="auto"/>
                  <w:vAlign w:val="center"/>
                </w:tcPr>
                <w:p w14:paraId="30DDBB19">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vAlign w:val="center"/>
                </w:tcPr>
                <w:p w14:paraId="5DAC0ED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粉状</w:t>
                  </w:r>
                </w:p>
              </w:tc>
              <w:tc>
                <w:tcPr>
                  <w:tcW w:w="1268" w:type="dxa"/>
                  <w:vAlign w:val="center"/>
                </w:tcPr>
                <w:p w14:paraId="60DC25EF">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29070437">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635" w:type="dxa"/>
                  <w:vAlign w:val="center"/>
                </w:tcPr>
                <w:p w14:paraId="1798D437">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+3000</w:t>
                  </w:r>
                </w:p>
              </w:tc>
            </w:tr>
            <w:tr w14:paraId="15EF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7BE8C69B">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5</w:t>
                  </w:r>
                </w:p>
              </w:tc>
              <w:tc>
                <w:tcPr>
                  <w:tcW w:w="1377" w:type="dxa"/>
                  <w:vAlign w:val="center"/>
                </w:tcPr>
                <w:p w14:paraId="042A24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机油</w:t>
                  </w:r>
                </w:p>
              </w:tc>
              <w:tc>
                <w:tcPr>
                  <w:tcW w:w="784" w:type="dxa"/>
                  <w:shd w:val="clear" w:color="auto" w:fill="auto"/>
                  <w:vAlign w:val="center"/>
                </w:tcPr>
                <w:p w14:paraId="70EF95E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43472F99">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4A7C07D9">
                  <w:pPr>
                    <w:spacing w:before="72" w:beforeLines="3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475" w:type="dxa"/>
                  <w:shd w:val="clear" w:color="auto" w:fill="auto"/>
                  <w:vAlign w:val="center"/>
                </w:tcPr>
                <w:p w14:paraId="11644924">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635" w:type="dxa"/>
                  <w:shd w:val="clear" w:color="auto" w:fill="auto"/>
                  <w:vAlign w:val="center"/>
                </w:tcPr>
                <w:p w14:paraId="0FDAF05F">
                  <w:pPr>
                    <w:widowControl/>
                    <w:adjustRightInd w:val="0"/>
                    <w:snapToGrid w:val="0"/>
                    <w:spacing w:before="48" w:beforeLines="2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+0.2</w:t>
                  </w:r>
                </w:p>
              </w:tc>
            </w:tr>
            <w:tr w14:paraId="5E69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66C154CD">
                  <w:pPr>
                    <w:widowControl/>
                    <w:adjustRightInd w:val="0"/>
                    <w:snapToGrid w:val="0"/>
                    <w:spacing w:before="48" w:beforeLines="20"/>
                    <w:jc w:val="center"/>
                    <w:rPr>
                      <w:rFonts w:hint="eastAsia"/>
                      <w:color w:val="auto"/>
                      <w:kern w:val="0"/>
                      <w:szCs w:val="21"/>
                      <w:highlight w:val="none"/>
                      <w:lang w:val="en-US" w:eastAsia="zh-CN"/>
                    </w:rPr>
                  </w:pPr>
                  <w:r>
                    <w:rPr>
                      <w:rFonts w:hint="eastAsia"/>
                      <w:b/>
                      <w:bCs/>
                      <w:color w:val="auto"/>
                      <w:szCs w:val="21"/>
                      <w:highlight w:val="none"/>
                      <w:lang w:eastAsia="zh-CN"/>
                    </w:rPr>
                    <w:t>回填土原辅材料消耗</w:t>
                  </w:r>
                </w:p>
              </w:tc>
            </w:tr>
            <w:tr w14:paraId="2F27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6E3BC138">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w:t>
                  </w:r>
                </w:p>
              </w:tc>
              <w:tc>
                <w:tcPr>
                  <w:tcW w:w="1377" w:type="dxa"/>
                  <w:vAlign w:val="center"/>
                </w:tcPr>
                <w:p w14:paraId="7F08F4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炉渣</w:t>
                  </w:r>
                </w:p>
              </w:tc>
              <w:tc>
                <w:tcPr>
                  <w:tcW w:w="784" w:type="dxa"/>
                  <w:shd w:val="clear" w:color="auto" w:fill="auto"/>
                  <w:vAlign w:val="center"/>
                </w:tcPr>
                <w:p w14:paraId="365F390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7BC6D31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1268" w:type="dxa"/>
                  <w:vAlign w:val="center"/>
                </w:tcPr>
                <w:p w14:paraId="7469ED8A">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0F519AEA">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635" w:type="dxa"/>
                  <w:vAlign w:val="center"/>
                </w:tcPr>
                <w:p w14:paraId="4A0B76F2">
                  <w:pPr>
                    <w:widowControl/>
                    <w:adjustRightInd w:val="0"/>
                    <w:snapToGrid w:val="0"/>
                    <w:spacing w:before="48" w:beforeLines="20"/>
                    <w:jc w:val="center"/>
                    <w:rPr>
                      <w:rFonts w:hint="eastAsia"/>
                      <w:color w:val="auto"/>
                      <w:kern w:val="0"/>
                      <w:szCs w:val="21"/>
                      <w:highlight w:val="none"/>
                      <w:lang w:val="en-US" w:eastAsia="zh-CN"/>
                    </w:rPr>
                  </w:pPr>
                  <w:r>
                    <w:rPr>
                      <w:rFonts w:hint="eastAsia"/>
                      <w:color w:val="auto"/>
                      <w:kern w:val="0"/>
                      <w:szCs w:val="21"/>
                      <w:highlight w:val="none"/>
                      <w:lang w:val="en-US" w:eastAsia="zh-CN"/>
                    </w:rPr>
                    <w:t>+3000</w:t>
                  </w:r>
                </w:p>
              </w:tc>
            </w:tr>
            <w:tr w14:paraId="480C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7E700F60">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w:t>
                  </w:r>
                </w:p>
              </w:tc>
              <w:tc>
                <w:tcPr>
                  <w:tcW w:w="1377" w:type="dxa"/>
                  <w:vAlign w:val="center"/>
                </w:tcPr>
                <w:p w14:paraId="015404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污泥（城南）</w:t>
                  </w:r>
                </w:p>
              </w:tc>
              <w:tc>
                <w:tcPr>
                  <w:tcW w:w="784" w:type="dxa"/>
                  <w:shd w:val="clear" w:color="auto" w:fill="auto"/>
                  <w:vAlign w:val="center"/>
                </w:tcPr>
                <w:p w14:paraId="16C03D9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168CABA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1268" w:type="dxa"/>
                  <w:vAlign w:val="center"/>
                </w:tcPr>
                <w:p w14:paraId="7451E3A2">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27622F10">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24000</w:t>
                  </w:r>
                </w:p>
              </w:tc>
              <w:tc>
                <w:tcPr>
                  <w:tcW w:w="1635" w:type="dxa"/>
                  <w:vAlign w:val="center"/>
                </w:tcPr>
                <w:p w14:paraId="248EF098">
                  <w:pPr>
                    <w:widowControl/>
                    <w:adjustRightInd w:val="0"/>
                    <w:snapToGrid w:val="0"/>
                    <w:spacing w:before="48" w:beforeLines="20"/>
                    <w:jc w:val="center"/>
                    <w:rPr>
                      <w:rFonts w:hint="eastAsia"/>
                      <w:color w:val="auto"/>
                      <w:kern w:val="0"/>
                      <w:szCs w:val="21"/>
                      <w:highlight w:val="none"/>
                      <w:lang w:val="en-US" w:eastAsia="zh-CN"/>
                    </w:rPr>
                  </w:pPr>
                  <w:r>
                    <w:rPr>
                      <w:rFonts w:hint="eastAsia"/>
                      <w:color w:val="auto"/>
                      <w:kern w:val="0"/>
                      <w:szCs w:val="21"/>
                      <w:highlight w:val="none"/>
                      <w:lang w:val="en-US" w:eastAsia="zh-CN"/>
                    </w:rPr>
                    <w:t>+24000</w:t>
                  </w:r>
                </w:p>
              </w:tc>
            </w:tr>
            <w:tr w14:paraId="3469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471789AB">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w:t>
                  </w:r>
                </w:p>
              </w:tc>
              <w:tc>
                <w:tcPr>
                  <w:tcW w:w="1377" w:type="dxa"/>
                  <w:vAlign w:val="center"/>
                </w:tcPr>
                <w:p w14:paraId="6CB901B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固化剂</w:t>
                  </w:r>
                </w:p>
              </w:tc>
              <w:tc>
                <w:tcPr>
                  <w:tcW w:w="784" w:type="dxa"/>
                  <w:shd w:val="clear" w:color="auto" w:fill="auto"/>
                  <w:vAlign w:val="center"/>
                </w:tcPr>
                <w:p w14:paraId="3E669EA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3964401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粉状</w:t>
                  </w:r>
                </w:p>
              </w:tc>
              <w:tc>
                <w:tcPr>
                  <w:tcW w:w="1268" w:type="dxa"/>
                  <w:vAlign w:val="center"/>
                </w:tcPr>
                <w:p w14:paraId="65B306F4">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35BA9017">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3000</w:t>
                  </w:r>
                </w:p>
              </w:tc>
              <w:tc>
                <w:tcPr>
                  <w:tcW w:w="1635" w:type="dxa"/>
                  <w:vAlign w:val="center"/>
                </w:tcPr>
                <w:p w14:paraId="34775B69">
                  <w:pPr>
                    <w:widowControl/>
                    <w:adjustRightInd w:val="0"/>
                    <w:snapToGrid w:val="0"/>
                    <w:spacing w:before="48" w:beforeLines="20"/>
                    <w:jc w:val="center"/>
                    <w:rPr>
                      <w:rFonts w:hint="eastAsia"/>
                      <w:color w:val="auto"/>
                      <w:kern w:val="0"/>
                      <w:szCs w:val="21"/>
                      <w:highlight w:val="none"/>
                      <w:lang w:val="en-US" w:eastAsia="zh-CN"/>
                    </w:rPr>
                  </w:pPr>
                  <w:r>
                    <w:rPr>
                      <w:rFonts w:hint="eastAsia"/>
                      <w:color w:val="auto"/>
                      <w:kern w:val="0"/>
                      <w:szCs w:val="21"/>
                      <w:highlight w:val="none"/>
                      <w:lang w:val="en-US" w:eastAsia="zh-CN"/>
                    </w:rPr>
                    <w:t>+3000</w:t>
                  </w:r>
                </w:p>
              </w:tc>
            </w:tr>
            <w:tr w14:paraId="3483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7B38E0AA">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4</w:t>
                  </w:r>
                </w:p>
              </w:tc>
              <w:tc>
                <w:tcPr>
                  <w:tcW w:w="1377" w:type="dxa"/>
                  <w:shd w:val="clear" w:color="auto" w:fill="auto"/>
                  <w:vAlign w:val="center"/>
                </w:tcPr>
                <w:p w14:paraId="35B90C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机油</w:t>
                  </w:r>
                </w:p>
              </w:tc>
              <w:tc>
                <w:tcPr>
                  <w:tcW w:w="784" w:type="dxa"/>
                  <w:shd w:val="clear" w:color="auto" w:fill="auto"/>
                  <w:vAlign w:val="center"/>
                </w:tcPr>
                <w:p w14:paraId="341E160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160378AD">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3C542949">
                  <w:pPr>
                    <w:spacing w:before="72" w:beforeLines="3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475" w:type="dxa"/>
                  <w:shd w:val="clear" w:color="auto" w:fill="auto"/>
                  <w:vAlign w:val="center"/>
                </w:tcPr>
                <w:p w14:paraId="23052ACF">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635" w:type="dxa"/>
                  <w:shd w:val="clear" w:color="auto" w:fill="auto"/>
                  <w:vAlign w:val="center"/>
                </w:tcPr>
                <w:p w14:paraId="1305E05B">
                  <w:pPr>
                    <w:widowControl/>
                    <w:adjustRightInd w:val="0"/>
                    <w:snapToGrid w:val="0"/>
                    <w:spacing w:before="48" w:beforeLines="2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+0.2</w:t>
                  </w:r>
                </w:p>
              </w:tc>
            </w:tr>
            <w:tr w14:paraId="73D6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0BC3A2AC">
                  <w:pPr>
                    <w:widowControl/>
                    <w:adjustRightInd w:val="0"/>
                    <w:snapToGrid w:val="0"/>
                    <w:spacing w:before="48" w:beforeLines="20"/>
                    <w:jc w:val="center"/>
                    <w:rPr>
                      <w:rFonts w:hint="eastAsia"/>
                      <w:color w:val="auto"/>
                      <w:kern w:val="0"/>
                      <w:szCs w:val="21"/>
                      <w:highlight w:val="none"/>
                      <w:lang w:val="en-US" w:eastAsia="zh-CN"/>
                    </w:rPr>
                  </w:pPr>
                  <w:r>
                    <w:rPr>
                      <w:rFonts w:hint="eastAsia" w:ascii="Times New Roman" w:hAnsi="Times New Roman" w:eastAsia="宋体" w:cs="Times New Roman"/>
                      <w:b/>
                      <w:bCs/>
                      <w:color w:val="auto"/>
                      <w:szCs w:val="21"/>
                      <w:highlight w:val="none"/>
                      <w:lang w:val="en-US" w:eastAsia="zh-CN"/>
                    </w:rPr>
                    <w:t>绿化营养土</w:t>
                  </w:r>
                  <w:r>
                    <w:rPr>
                      <w:rFonts w:hint="eastAsia" w:ascii="Times New Roman" w:hAnsi="Times New Roman" w:eastAsia="宋体" w:cs="Times New Roman"/>
                      <w:b/>
                      <w:bCs/>
                      <w:color w:val="auto"/>
                      <w:szCs w:val="21"/>
                      <w:highlight w:val="none"/>
                      <w:lang w:eastAsia="zh-CN"/>
                    </w:rPr>
                    <w:t>原</w:t>
                  </w:r>
                  <w:r>
                    <w:rPr>
                      <w:rFonts w:hint="eastAsia"/>
                      <w:b/>
                      <w:bCs/>
                      <w:color w:val="auto"/>
                      <w:szCs w:val="21"/>
                      <w:highlight w:val="none"/>
                      <w:lang w:eastAsia="zh-CN"/>
                    </w:rPr>
                    <w:t>辅材料消耗</w:t>
                  </w:r>
                </w:p>
              </w:tc>
            </w:tr>
            <w:tr w14:paraId="07EB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5CFC0F44">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w:t>
                  </w:r>
                </w:p>
              </w:tc>
              <w:tc>
                <w:tcPr>
                  <w:tcW w:w="1377" w:type="dxa"/>
                  <w:vAlign w:val="center"/>
                </w:tcPr>
                <w:p w14:paraId="51E51F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农村生活污水处理厂污泥</w:t>
                  </w:r>
                </w:p>
              </w:tc>
              <w:tc>
                <w:tcPr>
                  <w:tcW w:w="784" w:type="dxa"/>
                  <w:vAlign w:val="center"/>
                </w:tcPr>
                <w:p w14:paraId="4BBB9FD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2642288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5A259335">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5F7F0802">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12000</w:t>
                  </w:r>
                </w:p>
              </w:tc>
              <w:tc>
                <w:tcPr>
                  <w:tcW w:w="1635" w:type="dxa"/>
                  <w:vAlign w:val="center"/>
                </w:tcPr>
                <w:p w14:paraId="669E08D7">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+12000</w:t>
                  </w:r>
                </w:p>
              </w:tc>
            </w:tr>
            <w:tr w14:paraId="0FD6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4D726107">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w:t>
                  </w:r>
                </w:p>
              </w:tc>
              <w:tc>
                <w:tcPr>
                  <w:tcW w:w="1377" w:type="dxa"/>
                  <w:vAlign w:val="center"/>
                </w:tcPr>
                <w:p w14:paraId="4C69DA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草木灰</w:t>
                  </w:r>
                </w:p>
              </w:tc>
              <w:tc>
                <w:tcPr>
                  <w:tcW w:w="784" w:type="dxa"/>
                  <w:vAlign w:val="center"/>
                </w:tcPr>
                <w:p w14:paraId="7B21462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7E03394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1E43455E">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5902C7E9">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1635" w:type="dxa"/>
                  <w:vAlign w:val="center"/>
                </w:tcPr>
                <w:p w14:paraId="0BAF4C4B">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+8000</w:t>
                  </w:r>
                </w:p>
              </w:tc>
            </w:tr>
            <w:tr w14:paraId="4045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E09582C">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w:t>
                  </w:r>
                </w:p>
              </w:tc>
              <w:tc>
                <w:tcPr>
                  <w:tcW w:w="1377" w:type="dxa"/>
                  <w:vAlign w:val="center"/>
                </w:tcPr>
                <w:p w14:paraId="5445F5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生物酵菌剂</w:t>
                  </w:r>
                </w:p>
              </w:tc>
              <w:tc>
                <w:tcPr>
                  <w:tcW w:w="784" w:type="dxa"/>
                  <w:vAlign w:val="center"/>
                </w:tcPr>
                <w:p w14:paraId="61DD572D">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7084F70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1268" w:type="dxa"/>
                  <w:vAlign w:val="center"/>
                </w:tcPr>
                <w:p w14:paraId="21EFBE5C">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2F59C00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635" w:type="dxa"/>
                  <w:vAlign w:val="center"/>
                </w:tcPr>
                <w:p w14:paraId="7E9ABF09">
                  <w:pPr>
                    <w:widowControl/>
                    <w:adjustRightInd w:val="0"/>
                    <w:snapToGrid w:val="0"/>
                    <w:spacing w:before="48" w:beforeLines="20"/>
                    <w:jc w:val="center"/>
                    <w:rPr>
                      <w:rFonts w:hint="default"/>
                      <w:color w:val="auto"/>
                      <w:kern w:val="0"/>
                      <w:szCs w:val="21"/>
                      <w:highlight w:val="none"/>
                      <w:lang w:val="en-US" w:eastAsia="zh-CN"/>
                    </w:rPr>
                  </w:pPr>
                  <w:r>
                    <w:rPr>
                      <w:rFonts w:hint="eastAsia"/>
                      <w:color w:val="auto"/>
                      <w:kern w:val="0"/>
                      <w:szCs w:val="21"/>
                      <w:highlight w:val="none"/>
                      <w:lang w:val="en-US" w:eastAsia="zh-CN"/>
                    </w:rPr>
                    <w:t>+20</w:t>
                  </w:r>
                </w:p>
              </w:tc>
            </w:tr>
            <w:tr w14:paraId="54F6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4798AFE8">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4</w:t>
                  </w:r>
                </w:p>
              </w:tc>
              <w:tc>
                <w:tcPr>
                  <w:tcW w:w="1377" w:type="dxa"/>
                  <w:shd w:val="clear" w:color="auto" w:fill="auto"/>
                  <w:vAlign w:val="center"/>
                </w:tcPr>
                <w:p w14:paraId="3146D7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机油</w:t>
                  </w:r>
                </w:p>
              </w:tc>
              <w:tc>
                <w:tcPr>
                  <w:tcW w:w="784" w:type="dxa"/>
                  <w:shd w:val="clear" w:color="auto" w:fill="auto"/>
                  <w:vAlign w:val="center"/>
                </w:tcPr>
                <w:p w14:paraId="756CA81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67333A4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54818611">
                  <w:pPr>
                    <w:spacing w:before="72" w:beforeLines="3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475" w:type="dxa"/>
                  <w:shd w:val="clear" w:color="auto" w:fill="auto"/>
                  <w:vAlign w:val="center"/>
                </w:tcPr>
                <w:p w14:paraId="1AC62B5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635" w:type="dxa"/>
                  <w:shd w:val="clear" w:color="auto" w:fill="auto"/>
                  <w:vAlign w:val="center"/>
                </w:tcPr>
                <w:p w14:paraId="7D926BC7">
                  <w:pPr>
                    <w:widowControl/>
                    <w:adjustRightInd w:val="0"/>
                    <w:snapToGrid w:val="0"/>
                    <w:spacing w:before="48" w:beforeLines="2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+0.2</w:t>
                  </w:r>
                </w:p>
              </w:tc>
            </w:tr>
            <w:tr w14:paraId="41F9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289ACC2A">
                  <w:pPr>
                    <w:widowControl/>
                    <w:adjustRightInd w:val="0"/>
                    <w:snapToGrid w:val="0"/>
                    <w:spacing w:before="48" w:beforeLines="20"/>
                    <w:jc w:val="center"/>
                    <w:rPr>
                      <w:rFonts w:hint="eastAsia"/>
                      <w:color w:val="auto"/>
                      <w:kern w:val="0"/>
                      <w:szCs w:val="21"/>
                      <w:highlight w:val="none"/>
                      <w:lang w:val="en-US" w:eastAsia="zh-CN"/>
                    </w:rPr>
                  </w:pPr>
                  <w:r>
                    <w:rPr>
                      <w:rFonts w:hint="eastAsia" w:ascii="Times New Roman" w:hAnsi="Times New Roman" w:eastAsia="宋体" w:cs="Times New Roman"/>
                      <w:b/>
                      <w:bCs/>
                      <w:color w:val="auto"/>
                      <w:szCs w:val="21"/>
                      <w:highlight w:val="none"/>
                      <w:lang w:val="en-US" w:eastAsia="zh-CN"/>
                    </w:rPr>
                    <w:t>污泥颗粒</w:t>
                  </w:r>
                  <w:r>
                    <w:rPr>
                      <w:rFonts w:hint="eastAsia"/>
                      <w:b/>
                      <w:bCs/>
                      <w:color w:val="auto"/>
                      <w:szCs w:val="21"/>
                      <w:highlight w:val="none"/>
                      <w:lang w:eastAsia="zh-CN"/>
                    </w:rPr>
                    <w:t>原辅材料消耗</w:t>
                  </w:r>
                </w:p>
              </w:tc>
            </w:tr>
            <w:tr w14:paraId="2A53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5FE986D3">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w:t>
                  </w:r>
                </w:p>
              </w:tc>
              <w:tc>
                <w:tcPr>
                  <w:tcW w:w="1377" w:type="dxa"/>
                  <w:vAlign w:val="center"/>
                </w:tcPr>
                <w:p w14:paraId="1946BC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污泥（城南）</w:t>
                  </w:r>
                </w:p>
              </w:tc>
              <w:tc>
                <w:tcPr>
                  <w:tcW w:w="784" w:type="dxa"/>
                  <w:vAlign w:val="center"/>
                </w:tcPr>
                <w:p w14:paraId="549FC73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6AADC43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64F61832">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6A054796">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12000</w:t>
                  </w:r>
                </w:p>
              </w:tc>
              <w:tc>
                <w:tcPr>
                  <w:tcW w:w="1635" w:type="dxa"/>
                  <w:vAlign w:val="center"/>
                </w:tcPr>
                <w:p w14:paraId="17359EF9">
                  <w:pPr>
                    <w:widowControl/>
                    <w:adjustRightInd w:val="0"/>
                    <w:snapToGrid w:val="0"/>
                    <w:spacing w:before="48" w:beforeLines="20"/>
                    <w:jc w:val="center"/>
                    <w:rPr>
                      <w:rFonts w:hint="eastAsia"/>
                      <w:color w:val="auto"/>
                      <w:kern w:val="0"/>
                      <w:szCs w:val="21"/>
                      <w:highlight w:val="none"/>
                      <w:lang w:val="en-US" w:eastAsia="zh-CN"/>
                    </w:rPr>
                  </w:pPr>
                  <w:r>
                    <w:rPr>
                      <w:rFonts w:hint="eastAsia"/>
                      <w:color w:val="auto"/>
                      <w:kern w:val="0"/>
                      <w:szCs w:val="21"/>
                      <w:highlight w:val="none"/>
                      <w:lang w:val="en-US" w:eastAsia="zh-CN"/>
                    </w:rPr>
                    <w:t>+12000</w:t>
                  </w:r>
                </w:p>
              </w:tc>
            </w:tr>
            <w:tr w14:paraId="7AE7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1E88F565">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w:t>
                  </w:r>
                </w:p>
              </w:tc>
              <w:tc>
                <w:tcPr>
                  <w:tcW w:w="1377" w:type="dxa"/>
                  <w:vAlign w:val="center"/>
                </w:tcPr>
                <w:p w14:paraId="18AA5B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auto"/>
                      <w:sz w:val="21"/>
                      <w:szCs w:val="21"/>
                      <w:highlight w:val="none"/>
                      <w:lang w:eastAsia="zh-CN"/>
                    </w:rPr>
                  </w:pPr>
                  <w:r>
                    <w:rPr>
                      <w:rFonts w:hint="eastAsia"/>
                      <w:color w:val="auto"/>
                      <w:sz w:val="21"/>
                      <w:szCs w:val="21"/>
                      <w:highlight w:val="none"/>
                      <w:lang w:eastAsia="zh-CN"/>
                    </w:rPr>
                    <w:t>锯末</w:t>
                  </w:r>
                </w:p>
              </w:tc>
              <w:tc>
                <w:tcPr>
                  <w:tcW w:w="784" w:type="dxa"/>
                  <w:vAlign w:val="center"/>
                </w:tcPr>
                <w:p w14:paraId="48339AD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973" w:type="dxa"/>
                  <w:vAlign w:val="center"/>
                </w:tcPr>
                <w:p w14:paraId="49B1C74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1268" w:type="dxa"/>
                  <w:vAlign w:val="center"/>
                </w:tcPr>
                <w:p w14:paraId="34ADE0BA">
                  <w:pPr>
                    <w:spacing w:before="72" w:beforeLines="30"/>
                    <w:jc w:val="center"/>
                    <w:rPr>
                      <w:rFonts w:hint="default"/>
                      <w:color w:val="auto"/>
                      <w:szCs w:val="21"/>
                      <w:highlight w:val="none"/>
                      <w:lang w:val="en-US" w:eastAsia="zh-CN"/>
                    </w:rPr>
                  </w:pPr>
                  <w:r>
                    <w:rPr>
                      <w:rFonts w:hint="eastAsia"/>
                      <w:color w:val="auto"/>
                      <w:szCs w:val="21"/>
                      <w:highlight w:val="none"/>
                      <w:lang w:val="en-US" w:eastAsia="zh-CN"/>
                    </w:rPr>
                    <w:t>0</w:t>
                  </w:r>
                </w:p>
              </w:tc>
              <w:tc>
                <w:tcPr>
                  <w:tcW w:w="1475" w:type="dxa"/>
                  <w:vAlign w:val="center"/>
                </w:tcPr>
                <w:p w14:paraId="7F702586">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1635" w:type="dxa"/>
                  <w:vAlign w:val="center"/>
                </w:tcPr>
                <w:p w14:paraId="2489FD26">
                  <w:pPr>
                    <w:widowControl/>
                    <w:adjustRightInd w:val="0"/>
                    <w:snapToGrid w:val="0"/>
                    <w:spacing w:before="48" w:beforeLines="20"/>
                    <w:jc w:val="center"/>
                    <w:rPr>
                      <w:rFonts w:hint="eastAsia"/>
                      <w:color w:val="auto"/>
                      <w:kern w:val="0"/>
                      <w:szCs w:val="21"/>
                      <w:highlight w:val="none"/>
                      <w:lang w:val="en-US" w:eastAsia="zh-CN"/>
                    </w:rPr>
                  </w:pPr>
                  <w:r>
                    <w:rPr>
                      <w:rFonts w:hint="eastAsia"/>
                      <w:color w:val="auto"/>
                      <w:kern w:val="0"/>
                      <w:szCs w:val="21"/>
                      <w:highlight w:val="none"/>
                      <w:lang w:val="en-US" w:eastAsia="zh-CN"/>
                    </w:rPr>
                    <w:t>+8000</w:t>
                  </w:r>
                </w:p>
              </w:tc>
            </w:tr>
            <w:tr w14:paraId="0E09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2D522CD6">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w:t>
                  </w:r>
                </w:p>
              </w:tc>
              <w:tc>
                <w:tcPr>
                  <w:tcW w:w="1377" w:type="dxa"/>
                  <w:shd w:val="clear" w:color="auto" w:fill="auto"/>
                  <w:vAlign w:val="center"/>
                </w:tcPr>
                <w:p w14:paraId="7E57EA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机油</w:t>
                  </w:r>
                </w:p>
              </w:tc>
              <w:tc>
                <w:tcPr>
                  <w:tcW w:w="784" w:type="dxa"/>
                  <w:shd w:val="clear" w:color="auto" w:fill="auto"/>
                  <w:vAlign w:val="center"/>
                </w:tcPr>
                <w:p w14:paraId="729BC85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973" w:type="dxa"/>
                  <w:shd w:val="clear" w:color="auto" w:fill="auto"/>
                  <w:vAlign w:val="center"/>
                </w:tcPr>
                <w:p w14:paraId="514176C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1268" w:type="dxa"/>
                  <w:shd w:val="clear" w:color="auto" w:fill="auto"/>
                  <w:vAlign w:val="center"/>
                </w:tcPr>
                <w:p w14:paraId="3EF5250A">
                  <w:pPr>
                    <w:spacing w:before="72" w:beforeLines="3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475" w:type="dxa"/>
                  <w:shd w:val="clear" w:color="auto" w:fill="auto"/>
                  <w:vAlign w:val="center"/>
                </w:tcPr>
                <w:p w14:paraId="402F93C9">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635" w:type="dxa"/>
                  <w:shd w:val="clear" w:color="auto" w:fill="auto"/>
                  <w:vAlign w:val="center"/>
                </w:tcPr>
                <w:p w14:paraId="5BCD7A3D">
                  <w:pPr>
                    <w:widowControl/>
                    <w:adjustRightInd w:val="0"/>
                    <w:snapToGrid w:val="0"/>
                    <w:spacing w:before="48" w:beforeLines="2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+0.1</w:t>
                  </w:r>
                </w:p>
              </w:tc>
            </w:tr>
            <w:tr w14:paraId="560A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6AFA487C">
                  <w:pPr>
                    <w:widowControl/>
                    <w:adjustRightInd w:val="0"/>
                    <w:snapToGrid w:val="0"/>
                    <w:spacing w:before="48" w:beforeLines="20"/>
                    <w:jc w:val="center"/>
                    <w:rPr>
                      <w:color w:val="auto"/>
                      <w:kern w:val="0"/>
                      <w:szCs w:val="21"/>
                      <w:highlight w:val="none"/>
                    </w:rPr>
                  </w:pPr>
                  <w:r>
                    <w:rPr>
                      <w:rFonts w:hint="eastAsia"/>
                      <w:color w:val="auto"/>
                      <w:kern w:val="0"/>
                      <w:szCs w:val="21"/>
                      <w:highlight w:val="none"/>
                    </w:rPr>
                    <w:t>资源、能源消耗</w:t>
                  </w:r>
                </w:p>
              </w:tc>
            </w:tr>
            <w:tr w14:paraId="669C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2B589438">
                  <w:pPr>
                    <w:adjustRightInd w:val="0"/>
                    <w:snapToGrid w:val="0"/>
                    <w:jc w:val="center"/>
                    <w:rPr>
                      <w:color w:val="auto"/>
                      <w:szCs w:val="21"/>
                      <w:highlight w:val="none"/>
                    </w:rPr>
                  </w:pPr>
                  <w:r>
                    <w:rPr>
                      <w:rFonts w:hint="eastAsia"/>
                      <w:color w:val="auto"/>
                      <w:szCs w:val="21"/>
                      <w:highlight w:val="none"/>
                    </w:rPr>
                    <w:t>1</w:t>
                  </w:r>
                </w:p>
              </w:tc>
              <w:tc>
                <w:tcPr>
                  <w:tcW w:w="1377" w:type="dxa"/>
                  <w:vAlign w:val="center"/>
                </w:tcPr>
                <w:p w14:paraId="1CD3C366">
                  <w:pPr>
                    <w:pStyle w:val="37"/>
                    <w:ind w:left="0" w:firstLine="0"/>
                    <w:rPr>
                      <w:rFonts w:cs="Times New Roman"/>
                      <w:b w:val="0"/>
                      <w:bCs w:val="0"/>
                      <w:color w:val="auto"/>
                      <w:szCs w:val="24"/>
                      <w:highlight w:val="none"/>
                      <w:lang w:eastAsia="zh-CN" w:bidi="ar-SA"/>
                    </w:rPr>
                  </w:pPr>
                  <w:r>
                    <w:rPr>
                      <w:rFonts w:cs="Times New Roman"/>
                      <w:b w:val="0"/>
                      <w:bCs w:val="0"/>
                      <w:color w:val="auto"/>
                      <w:highlight w:val="none"/>
                      <w:lang w:eastAsia="zh-CN"/>
                    </w:rPr>
                    <w:t>水</w:t>
                  </w:r>
                </w:p>
              </w:tc>
              <w:tc>
                <w:tcPr>
                  <w:tcW w:w="784" w:type="dxa"/>
                  <w:vAlign w:val="center"/>
                </w:tcPr>
                <w:p w14:paraId="4B0D5597">
                  <w:pPr>
                    <w:pStyle w:val="37"/>
                    <w:ind w:left="0" w:firstLine="0"/>
                    <w:rPr>
                      <w:rFonts w:cs="Times New Roman"/>
                      <w:b w:val="0"/>
                      <w:bCs w:val="0"/>
                      <w:color w:val="auto"/>
                      <w:szCs w:val="24"/>
                      <w:highlight w:val="none"/>
                      <w:lang w:eastAsia="zh-CN" w:bidi="ar-SA"/>
                    </w:rPr>
                  </w:pPr>
                  <w:r>
                    <w:rPr>
                      <w:rFonts w:cs="Times New Roman"/>
                      <w:b w:val="0"/>
                      <w:bCs w:val="0"/>
                      <w:color w:val="auto"/>
                      <w:highlight w:val="none"/>
                      <w:lang w:eastAsia="zh-CN"/>
                    </w:rPr>
                    <w:t>t/a</w:t>
                  </w:r>
                </w:p>
              </w:tc>
              <w:tc>
                <w:tcPr>
                  <w:tcW w:w="973" w:type="dxa"/>
                  <w:vAlign w:val="center"/>
                </w:tcPr>
                <w:p w14:paraId="53ED2314">
                  <w:pPr>
                    <w:pStyle w:val="37"/>
                    <w:ind w:left="0" w:firstLine="0"/>
                    <w:rPr>
                      <w:rFonts w:cs="Times New Roman"/>
                      <w:b w:val="0"/>
                      <w:bCs w:val="0"/>
                      <w:color w:val="auto"/>
                      <w:highlight w:val="none"/>
                      <w:lang w:eastAsia="zh-CN"/>
                    </w:rPr>
                  </w:pPr>
                  <w:r>
                    <w:rPr>
                      <w:rFonts w:hint="eastAsia" w:cs="Times New Roman"/>
                      <w:b w:val="0"/>
                      <w:bCs w:val="0"/>
                      <w:color w:val="auto"/>
                      <w:highlight w:val="none"/>
                      <w:lang w:eastAsia="zh-CN"/>
                    </w:rPr>
                    <w:t>/</w:t>
                  </w:r>
                </w:p>
              </w:tc>
              <w:tc>
                <w:tcPr>
                  <w:tcW w:w="1268" w:type="dxa"/>
                  <w:vAlign w:val="center"/>
                </w:tcPr>
                <w:p w14:paraId="74163D8E">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cs="Times New Roman"/>
                      <w:b w:val="0"/>
                      <w:bCs w:val="0"/>
                      <w:color w:val="auto"/>
                      <w:szCs w:val="24"/>
                      <w:highlight w:val="none"/>
                      <w:lang w:eastAsia="zh-CN" w:bidi="ar-SA"/>
                    </w:rPr>
                  </w:pPr>
                  <w:r>
                    <w:rPr>
                      <w:rFonts w:hint="eastAsia" w:cs="Times New Roman"/>
                      <w:color w:val="auto"/>
                      <w:sz w:val="21"/>
                      <w:szCs w:val="21"/>
                      <w:highlight w:val="none"/>
                      <w:lang w:val="en-US" w:eastAsia="zh-CN"/>
                    </w:rPr>
                    <w:t>13482</w:t>
                  </w:r>
                </w:p>
              </w:tc>
              <w:tc>
                <w:tcPr>
                  <w:tcW w:w="1475" w:type="dxa"/>
                  <w:vAlign w:val="center"/>
                </w:tcPr>
                <w:p w14:paraId="506175AB">
                  <w:pPr>
                    <w:pStyle w:val="37"/>
                    <w:ind w:left="0" w:firstLine="0"/>
                    <w:rPr>
                      <w:rFonts w:hint="default" w:cs="Times New Roman"/>
                      <w:b w:val="0"/>
                      <w:bCs w:val="0"/>
                      <w:color w:val="auto"/>
                      <w:szCs w:val="24"/>
                      <w:highlight w:val="none"/>
                      <w:lang w:val="en-US" w:eastAsia="zh-CN" w:bidi="ar-SA"/>
                    </w:rPr>
                  </w:pPr>
                  <w:r>
                    <w:rPr>
                      <w:rFonts w:hint="eastAsia" w:cs="Times New Roman"/>
                      <w:b w:val="0"/>
                      <w:bCs w:val="0"/>
                      <w:color w:val="auto"/>
                      <w:szCs w:val="24"/>
                      <w:highlight w:val="none"/>
                      <w:lang w:val="en-US" w:eastAsia="zh-CN" w:bidi="ar-SA"/>
                    </w:rPr>
                    <w:t>13527</w:t>
                  </w:r>
                </w:p>
              </w:tc>
              <w:tc>
                <w:tcPr>
                  <w:tcW w:w="1635" w:type="dxa"/>
                  <w:vAlign w:val="center"/>
                </w:tcPr>
                <w:p w14:paraId="7E27468E">
                  <w:pPr>
                    <w:pStyle w:val="37"/>
                    <w:ind w:left="0" w:firstLine="0"/>
                    <w:rPr>
                      <w:rFonts w:hint="default" w:cs="Times New Roman"/>
                      <w:b w:val="0"/>
                      <w:bCs w:val="0"/>
                      <w:color w:val="auto"/>
                      <w:szCs w:val="24"/>
                      <w:highlight w:val="none"/>
                      <w:lang w:val="en-US" w:eastAsia="zh-CN" w:bidi="ar-SA"/>
                    </w:rPr>
                  </w:pPr>
                  <w:r>
                    <w:rPr>
                      <w:rFonts w:hint="eastAsia" w:cs="Times New Roman"/>
                      <w:b w:val="0"/>
                      <w:bCs w:val="0"/>
                      <w:color w:val="auto"/>
                      <w:szCs w:val="24"/>
                      <w:highlight w:val="none"/>
                      <w:lang w:eastAsia="zh-CN" w:bidi="ar-SA"/>
                    </w:rPr>
                    <w:t>+</w:t>
                  </w:r>
                  <w:r>
                    <w:rPr>
                      <w:rFonts w:hint="eastAsia" w:cs="Times New Roman"/>
                      <w:b w:val="0"/>
                      <w:bCs w:val="0"/>
                      <w:color w:val="auto"/>
                      <w:szCs w:val="24"/>
                      <w:highlight w:val="none"/>
                      <w:lang w:val="en-US" w:eastAsia="zh-CN" w:bidi="ar-SA"/>
                    </w:rPr>
                    <w:t>45</w:t>
                  </w:r>
                </w:p>
              </w:tc>
            </w:tr>
            <w:tr w14:paraId="5153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21FFABAA">
                  <w:pPr>
                    <w:adjustRightInd w:val="0"/>
                    <w:snapToGrid w:val="0"/>
                    <w:jc w:val="center"/>
                    <w:rPr>
                      <w:color w:val="auto"/>
                      <w:szCs w:val="21"/>
                      <w:highlight w:val="none"/>
                    </w:rPr>
                  </w:pPr>
                  <w:r>
                    <w:rPr>
                      <w:rFonts w:hint="eastAsia"/>
                      <w:color w:val="auto"/>
                      <w:szCs w:val="21"/>
                      <w:highlight w:val="none"/>
                    </w:rPr>
                    <w:t>2</w:t>
                  </w:r>
                </w:p>
              </w:tc>
              <w:tc>
                <w:tcPr>
                  <w:tcW w:w="1377" w:type="dxa"/>
                  <w:vAlign w:val="center"/>
                </w:tcPr>
                <w:p w14:paraId="698502DA">
                  <w:pPr>
                    <w:pStyle w:val="37"/>
                    <w:ind w:left="0" w:firstLine="0"/>
                    <w:rPr>
                      <w:rFonts w:cs="Times New Roman"/>
                      <w:b w:val="0"/>
                      <w:bCs w:val="0"/>
                      <w:color w:val="auto"/>
                      <w:szCs w:val="24"/>
                      <w:highlight w:val="none"/>
                      <w:lang w:eastAsia="zh-CN" w:bidi="ar-SA"/>
                    </w:rPr>
                  </w:pPr>
                  <w:r>
                    <w:rPr>
                      <w:rFonts w:cs="Times New Roman"/>
                      <w:b w:val="0"/>
                      <w:bCs w:val="0"/>
                      <w:color w:val="auto"/>
                      <w:highlight w:val="none"/>
                      <w:lang w:eastAsia="zh-CN"/>
                    </w:rPr>
                    <w:t>电</w:t>
                  </w:r>
                </w:p>
              </w:tc>
              <w:tc>
                <w:tcPr>
                  <w:tcW w:w="784" w:type="dxa"/>
                  <w:vAlign w:val="center"/>
                </w:tcPr>
                <w:p w14:paraId="47864208">
                  <w:pPr>
                    <w:pStyle w:val="37"/>
                    <w:ind w:left="0" w:firstLine="0"/>
                    <w:rPr>
                      <w:rFonts w:cs="Times New Roman"/>
                      <w:b w:val="0"/>
                      <w:bCs w:val="0"/>
                      <w:color w:val="auto"/>
                      <w:szCs w:val="24"/>
                      <w:highlight w:val="none"/>
                      <w:lang w:eastAsia="zh-CN" w:bidi="ar-SA"/>
                    </w:rPr>
                  </w:pPr>
                  <w:r>
                    <w:rPr>
                      <w:rFonts w:cs="Times New Roman"/>
                      <w:b w:val="0"/>
                      <w:bCs w:val="0"/>
                      <w:color w:val="auto"/>
                      <w:highlight w:val="none"/>
                      <w:lang w:eastAsia="zh-CN"/>
                    </w:rPr>
                    <w:t>万kw·h/a</w:t>
                  </w:r>
                </w:p>
              </w:tc>
              <w:tc>
                <w:tcPr>
                  <w:tcW w:w="973" w:type="dxa"/>
                  <w:vAlign w:val="center"/>
                </w:tcPr>
                <w:p w14:paraId="7880B229">
                  <w:pPr>
                    <w:pStyle w:val="37"/>
                    <w:ind w:left="0" w:firstLine="0"/>
                    <w:rPr>
                      <w:rFonts w:cs="Times New Roman"/>
                      <w:b w:val="0"/>
                      <w:bCs w:val="0"/>
                      <w:color w:val="auto"/>
                      <w:highlight w:val="none"/>
                      <w:lang w:eastAsia="zh-CN"/>
                    </w:rPr>
                  </w:pPr>
                  <w:r>
                    <w:rPr>
                      <w:rFonts w:hint="eastAsia" w:cs="Times New Roman"/>
                      <w:b w:val="0"/>
                      <w:bCs w:val="0"/>
                      <w:color w:val="auto"/>
                      <w:highlight w:val="none"/>
                      <w:lang w:eastAsia="zh-CN"/>
                    </w:rPr>
                    <w:t>/</w:t>
                  </w:r>
                </w:p>
              </w:tc>
              <w:tc>
                <w:tcPr>
                  <w:tcW w:w="1268" w:type="dxa"/>
                  <w:vAlign w:val="center"/>
                </w:tcPr>
                <w:p w14:paraId="08B6D9D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cs="Times New Roman"/>
                      <w:b w:val="0"/>
                      <w:bCs w:val="0"/>
                      <w:color w:val="auto"/>
                      <w:szCs w:val="24"/>
                      <w:highlight w:val="none"/>
                      <w:lang w:eastAsia="zh-CN" w:bidi="ar-SA"/>
                    </w:rPr>
                  </w:pPr>
                  <w:r>
                    <w:rPr>
                      <w:rFonts w:hint="eastAsia" w:cs="Times New Roman"/>
                      <w:color w:val="auto"/>
                      <w:sz w:val="21"/>
                      <w:szCs w:val="21"/>
                      <w:highlight w:val="none"/>
                      <w:lang w:val="en-US" w:eastAsia="zh-CN"/>
                    </w:rPr>
                    <w:t>10</w:t>
                  </w:r>
                </w:p>
              </w:tc>
              <w:tc>
                <w:tcPr>
                  <w:tcW w:w="1475" w:type="dxa"/>
                  <w:vAlign w:val="center"/>
                </w:tcPr>
                <w:p w14:paraId="09EDB8D0">
                  <w:pPr>
                    <w:pStyle w:val="37"/>
                    <w:ind w:left="0" w:firstLine="0"/>
                    <w:rPr>
                      <w:rFonts w:hint="default" w:cs="Times New Roman"/>
                      <w:b w:val="0"/>
                      <w:bCs w:val="0"/>
                      <w:color w:val="auto"/>
                      <w:szCs w:val="24"/>
                      <w:highlight w:val="none"/>
                      <w:lang w:val="en-US" w:eastAsia="zh-CN" w:bidi="ar-SA"/>
                    </w:rPr>
                  </w:pPr>
                  <w:r>
                    <w:rPr>
                      <w:rFonts w:hint="eastAsia" w:cs="Times New Roman"/>
                      <w:b w:val="0"/>
                      <w:bCs w:val="0"/>
                      <w:color w:val="auto"/>
                      <w:szCs w:val="24"/>
                      <w:highlight w:val="none"/>
                      <w:lang w:val="en-US" w:eastAsia="zh-CN" w:bidi="ar-SA"/>
                    </w:rPr>
                    <w:t>15</w:t>
                  </w:r>
                </w:p>
              </w:tc>
              <w:tc>
                <w:tcPr>
                  <w:tcW w:w="1635" w:type="dxa"/>
                  <w:vAlign w:val="center"/>
                </w:tcPr>
                <w:p w14:paraId="290C8270">
                  <w:pPr>
                    <w:pStyle w:val="37"/>
                    <w:ind w:left="0" w:firstLine="0"/>
                    <w:rPr>
                      <w:rFonts w:cs="Times New Roman"/>
                      <w:b w:val="0"/>
                      <w:bCs w:val="0"/>
                      <w:color w:val="auto"/>
                      <w:szCs w:val="24"/>
                      <w:highlight w:val="none"/>
                      <w:lang w:eastAsia="zh-CN" w:bidi="ar-SA"/>
                    </w:rPr>
                  </w:pPr>
                  <w:r>
                    <w:rPr>
                      <w:rFonts w:hint="eastAsia" w:cs="Times New Roman"/>
                      <w:b w:val="0"/>
                      <w:bCs w:val="0"/>
                      <w:color w:val="auto"/>
                      <w:szCs w:val="24"/>
                      <w:highlight w:val="none"/>
                      <w:lang w:eastAsia="zh-CN" w:bidi="ar-SA"/>
                    </w:rPr>
                    <w:t>+</w:t>
                  </w:r>
                  <w:r>
                    <w:rPr>
                      <w:rFonts w:hint="eastAsia" w:cs="Times New Roman"/>
                      <w:b w:val="0"/>
                      <w:bCs w:val="0"/>
                      <w:color w:val="auto"/>
                      <w:szCs w:val="24"/>
                      <w:highlight w:val="none"/>
                      <w:lang w:val="en-US" w:eastAsia="zh-CN" w:bidi="ar-SA"/>
                    </w:rPr>
                    <w:t>5</w:t>
                  </w:r>
                </w:p>
              </w:tc>
            </w:tr>
          </w:tbl>
          <w:p w14:paraId="478EA5F5">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-7</w:t>
            </w:r>
            <w:r>
              <w:rPr>
                <w:rFonts w:hint="eastAsia" w:ascii="Times New Roman" w:hAnsi="Times New Roman" w:eastAsia="宋体" w:cs="Times New Roman"/>
                <w:b/>
                <w:bCs/>
                <w:color w:val="auto"/>
                <w:kern w:val="2"/>
                <w:sz w:val="24"/>
                <w:szCs w:val="24"/>
                <w:highlight w:val="none"/>
                <w:lang w:val="en-US" w:eastAsia="zh-CN" w:bidi="ar-SA"/>
              </w:rPr>
              <w:t xml:space="preserve">  本项目项目</w:t>
            </w:r>
            <w:r>
              <w:rPr>
                <w:rFonts w:hint="eastAsia" w:cs="Times New Roman"/>
                <w:b/>
                <w:bCs/>
                <w:color w:val="auto"/>
                <w:kern w:val="2"/>
                <w:sz w:val="24"/>
                <w:szCs w:val="24"/>
                <w:highlight w:val="none"/>
                <w:lang w:val="en-US" w:eastAsia="zh-CN" w:bidi="ar-SA"/>
              </w:rPr>
              <w:t>原辅料汇总表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377"/>
              <w:gridCol w:w="784"/>
              <w:gridCol w:w="973"/>
              <w:gridCol w:w="1268"/>
              <w:gridCol w:w="1475"/>
              <w:gridCol w:w="1635"/>
            </w:tblGrid>
            <w:tr w14:paraId="6BF5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71A21642">
                  <w:pPr>
                    <w:widowControl/>
                    <w:adjustRightInd w:val="0"/>
                    <w:snapToGrid w:val="0"/>
                    <w:spacing w:before="48" w:beforeLines="20"/>
                    <w:jc w:val="center"/>
                    <w:rPr>
                      <w:kern w:val="0"/>
                      <w:szCs w:val="21"/>
                      <w:highlight w:val="none"/>
                    </w:rPr>
                  </w:pPr>
                  <w:r>
                    <w:rPr>
                      <w:kern w:val="0"/>
                      <w:szCs w:val="21"/>
                      <w:highlight w:val="none"/>
                    </w:rPr>
                    <w:t>序号</w:t>
                  </w:r>
                </w:p>
              </w:tc>
              <w:tc>
                <w:tcPr>
                  <w:tcW w:w="1377" w:type="dxa"/>
                  <w:vAlign w:val="center"/>
                </w:tcPr>
                <w:p w14:paraId="7D721682">
                  <w:pPr>
                    <w:widowControl/>
                    <w:adjustRightInd w:val="0"/>
                    <w:snapToGrid w:val="0"/>
                    <w:spacing w:before="48" w:beforeLines="20"/>
                    <w:jc w:val="center"/>
                    <w:rPr>
                      <w:kern w:val="0"/>
                      <w:szCs w:val="21"/>
                      <w:highlight w:val="none"/>
                    </w:rPr>
                  </w:pPr>
                  <w:r>
                    <w:rPr>
                      <w:kern w:val="0"/>
                      <w:szCs w:val="21"/>
                      <w:highlight w:val="none"/>
                    </w:rPr>
                    <w:t>名 称</w:t>
                  </w:r>
                </w:p>
              </w:tc>
              <w:tc>
                <w:tcPr>
                  <w:tcW w:w="784" w:type="dxa"/>
                  <w:vAlign w:val="center"/>
                </w:tcPr>
                <w:p w14:paraId="71F927A0">
                  <w:pPr>
                    <w:widowControl/>
                    <w:adjustRightInd w:val="0"/>
                    <w:snapToGrid w:val="0"/>
                    <w:spacing w:before="48" w:beforeLines="20"/>
                    <w:jc w:val="center"/>
                    <w:rPr>
                      <w:kern w:val="0"/>
                      <w:szCs w:val="21"/>
                      <w:highlight w:val="none"/>
                    </w:rPr>
                  </w:pPr>
                  <w:r>
                    <w:rPr>
                      <w:kern w:val="0"/>
                      <w:szCs w:val="21"/>
                      <w:highlight w:val="none"/>
                    </w:rPr>
                    <w:t>单 位</w:t>
                  </w:r>
                </w:p>
              </w:tc>
              <w:tc>
                <w:tcPr>
                  <w:tcW w:w="973" w:type="dxa"/>
                  <w:vAlign w:val="center"/>
                </w:tcPr>
                <w:p w14:paraId="16488F0D">
                  <w:pPr>
                    <w:widowControl/>
                    <w:adjustRightInd w:val="0"/>
                    <w:snapToGrid w:val="0"/>
                    <w:spacing w:before="48" w:beforeLines="20"/>
                    <w:jc w:val="center"/>
                    <w:rPr>
                      <w:kern w:val="0"/>
                      <w:szCs w:val="21"/>
                      <w:highlight w:val="none"/>
                    </w:rPr>
                  </w:pPr>
                  <w:r>
                    <w:rPr>
                      <w:rFonts w:hint="eastAsia"/>
                      <w:szCs w:val="21"/>
                      <w:highlight w:val="none"/>
                    </w:rPr>
                    <w:t>物质形态</w:t>
                  </w:r>
                </w:p>
              </w:tc>
              <w:tc>
                <w:tcPr>
                  <w:tcW w:w="1268" w:type="dxa"/>
                  <w:vAlign w:val="center"/>
                </w:tcPr>
                <w:p w14:paraId="501605DB">
                  <w:pPr>
                    <w:widowControl/>
                    <w:adjustRightInd w:val="0"/>
                    <w:snapToGrid w:val="0"/>
                    <w:spacing w:before="48" w:beforeLines="20"/>
                    <w:jc w:val="center"/>
                    <w:rPr>
                      <w:kern w:val="0"/>
                      <w:szCs w:val="21"/>
                      <w:highlight w:val="none"/>
                    </w:rPr>
                  </w:pPr>
                  <w:r>
                    <w:rPr>
                      <w:rFonts w:hint="eastAsia"/>
                      <w:szCs w:val="21"/>
                      <w:highlight w:val="none"/>
                      <w:lang w:eastAsia="zh-CN"/>
                    </w:rPr>
                    <w:t>改建</w:t>
                  </w:r>
                  <w:r>
                    <w:rPr>
                      <w:kern w:val="0"/>
                      <w:szCs w:val="21"/>
                      <w:highlight w:val="none"/>
                    </w:rPr>
                    <w:t>前用量</w:t>
                  </w:r>
                </w:p>
              </w:tc>
              <w:tc>
                <w:tcPr>
                  <w:tcW w:w="1475" w:type="dxa"/>
                  <w:vAlign w:val="center"/>
                </w:tcPr>
                <w:p w14:paraId="03FAC28A">
                  <w:pPr>
                    <w:widowControl/>
                    <w:adjustRightInd w:val="0"/>
                    <w:snapToGrid w:val="0"/>
                    <w:spacing w:before="48" w:beforeLines="20"/>
                    <w:jc w:val="center"/>
                    <w:rPr>
                      <w:kern w:val="0"/>
                      <w:szCs w:val="21"/>
                      <w:highlight w:val="none"/>
                    </w:rPr>
                  </w:pPr>
                  <w:r>
                    <w:rPr>
                      <w:rFonts w:hint="eastAsia"/>
                      <w:szCs w:val="21"/>
                      <w:highlight w:val="none"/>
                      <w:lang w:eastAsia="zh-CN"/>
                    </w:rPr>
                    <w:t>改建</w:t>
                  </w:r>
                  <w:r>
                    <w:rPr>
                      <w:kern w:val="0"/>
                      <w:szCs w:val="21"/>
                      <w:highlight w:val="none"/>
                    </w:rPr>
                    <w:t>后用量</w:t>
                  </w:r>
                </w:p>
              </w:tc>
              <w:tc>
                <w:tcPr>
                  <w:tcW w:w="1635" w:type="dxa"/>
                  <w:vAlign w:val="center"/>
                </w:tcPr>
                <w:p w14:paraId="17302CF3">
                  <w:pPr>
                    <w:widowControl/>
                    <w:adjustRightInd w:val="0"/>
                    <w:snapToGrid w:val="0"/>
                    <w:spacing w:before="48" w:beforeLines="20"/>
                    <w:jc w:val="center"/>
                    <w:rPr>
                      <w:kern w:val="0"/>
                      <w:szCs w:val="21"/>
                      <w:highlight w:val="none"/>
                    </w:rPr>
                  </w:pPr>
                  <w:r>
                    <w:rPr>
                      <w:kern w:val="0"/>
                      <w:szCs w:val="21"/>
                      <w:highlight w:val="none"/>
                    </w:rPr>
                    <w:t>变化情况</w:t>
                  </w:r>
                </w:p>
              </w:tc>
            </w:tr>
            <w:tr w14:paraId="7BF1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65E6AAC8">
                  <w:pPr>
                    <w:adjustRightInd w:val="0"/>
                    <w:snapToGrid w:val="0"/>
                    <w:jc w:val="center"/>
                    <w:rPr>
                      <w:szCs w:val="21"/>
                      <w:highlight w:val="none"/>
                    </w:rPr>
                  </w:pPr>
                  <w:r>
                    <w:rPr>
                      <w:rFonts w:hint="eastAsia"/>
                      <w:szCs w:val="21"/>
                      <w:highlight w:val="none"/>
                    </w:rPr>
                    <w:t>1</w:t>
                  </w:r>
                </w:p>
              </w:tc>
              <w:tc>
                <w:tcPr>
                  <w:tcW w:w="1377" w:type="dxa"/>
                  <w:vAlign w:val="center"/>
                </w:tcPr>
                <w:p w14:paraId="694A4DD7">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kern w:val="0"/>
                      <w:szCs w:val="21"/>
                      <w:highlight w:val="none"/>
                    </w:rPr>
                  </w:pPr>
                  <w:r>
                    <w:rPr>
                      <w:rFonts w:hint="eastAsia"/>
                      <w:color w:val="000000" w:themeColor="text1"/>
                      <w:sz w:val="21"/>
                      <w:szCs w:val="21"/>
                      <w:highlight w:val="none"/>
                      <w:lang w:eastAsia="zh-CN"/>
                      <w14:textFill>
                        <w14:solidFill>
                          <w14:schemeClr w14:val="tx1"/>
                        </w14:solidFill>
                      </w14:textFill>
                    </w:rPr>
                    <w:t>炉渣</w:t>
                  </w:r>
                </w:p>
              </w:tc>
              <w:tc>
                <w:tcPr>
                  <w:tcW w:w="784" w:type="dxa"/>
                  <w:vAlign w:val="center"/>
                </w:tcPr>
                <w:p w14:paraId="26B2C13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0C5C1CB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 w:val="18"/>
                      <w:szCs w:val="18"/>
                      <w:highlight w:val="none"/>
                    </w:rPr>
                  </w:pPr>
                  <w:r>
                    <w:rPr>
                      <w:rFonts w:hint="eastAsia" w:cs="Times New Roman"/>
                      <w:color w:val="000000" w:themeColor="text1"/>
                      <w:kern w:val="2"/>
                      <w:sz w:val="21"/>
                      <w:szCs w:val="21"/>
                      <w:highlight w:val="none"/>
                      <w:lang w:val="en-US" w:eastAsia="zh-CN" w:bidi="ar-SA"/>
                      <w14:textFill>
                        <w14:solidFill>
                          <w14:schemeClr w14:val="tx1"/>
                        </w14:solidFill>
                      </w14:textFill>
                    </w:rPr>
                    <w:t>固态</w:t>
                  </w:r>
                </w:p>
              </w:tc>
              <w:tc>
                <w:tcPr>
                  <w:tcW w:w="1268" w:type="dxa"/>
                  <w:vAlign w:val="center"/>
                </w:tcPr>
                <w:p w14:paraId="52A57CDF">
                  <w:pPr>
                    <w:spacing w:before="72" w:beforeLines="30"/>
                    <w:jc w:val="center"/>
                    <w:rPr>
                      <w:rFonts w:hint="default"/>
                      <w:color w:val="FF0000"/>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200000</w:t>
                  </w:r>
                </w:p>
              </w:tc>
              <w:tc>
                <w:tcPr>
                  <w:tcW w:w="1475" w:type="dxa"/>
                  <w:vAlign w:val="center"/>
                </w:tcPr>
                <w:p w14:paraId="11026C8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kern w:val="2"/>
                      <w:sz w:val="21"/>
                      <w:szCs w:val="21"/>
                      <w:highlight w:val="none"/>
                      <w:lang w:val="en-US" w:eastAsia="zh-CN" w:bidi="ar-SA"/>
                      <w14:textFill>
                        <w14:solidFill>
                          <w14:schemeClr w14:val="tx1"/>
                        </w14:solidFill>
                      </w14:textFill>
                    </w:rPr>
                    <w:t>69666</w:t>
                  </w:r>
                </w:p>
              </w:tc>
              <w:tc>
                <w:tcPr>
                  <w:tcW w:w="1635" w:type="dxa"/>
                  <w:vAlign w:val="center"/>
                </w:tcPr>
                <w:p w14:paraId="4C7ACD7B">
                  <w:pPr>
                    <w:widowControl/>
                    <w:adjustRightInd w:val="0"/>
                    <w:snapToGrid w:val="0"/>
                    <w:spacing w:before="48" w:beforeLines="20"/>
                    <w:jc w:val="center"/>
                    <w:rPr>
                      <w:rFonts w:hint="default" w:eastAsia="宋体"/>
                      <w:kern w:val="0"/>
                      <w:szCs w:val="21"/>
                      <w:highlight w:val="none"/>
                      <w:lang w:val="en-US" w:eastAsia="zh-CN"/>
                    </w:rPr>
                  </w:pPr>
                  <w:r>
                    <w:rPr>
                      <w:rFonts w:hint="eastAsia"/>
                      <w:kern w:val="0"/>
                      <w:szCs w:val="21"/>
                      <w:highlight w:val="none"/>
                      <w:lang w:val="en-US" w:eastAsia="zh-CN"/>
                    </w:rPr>
                    <w:t>-130334</w:t>
                  </w:r>
                </w:p>
              </w:tc>
            </w:tr>
            <w:tr w14:paraId="34F9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17D6E2D0">
                  <w:pPr>
                    <w:adjustRightInd w:val="0"/>
                    <w:snapToGrid w:val="0"/>
                    <w:jc w:val="center"/>
                    <w:rPr>
                      <w:szCs w:val="21"/>
                      <w:highlight w:val="none"/>
                    </w:rPr>
                  </w:pPr>
                  <w:r>
                    <w:rPr>
                      <w:rFonts w:hint="eastAsia"/>
                      <w:szCs w:val="21"/>
                      <w:highlight w:val="none"/>
                    </w:rPr>
                    <w:t>2</w:t>
                  </w:r>
                </w:p>
              </w:tc>
              <w:tc>
                <w:tcPr>
                  <w:tcW w:w="1377" w:type="dxa"/>
                  <w:vAlign w:val="center"/>
                </w:tcPr>
                <w:p w14:paraId="2F957A22">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kern w:val="0"/>
                      <w:szCs w:val="21"/>
                      <w:highlight w:val="none"/>
                    </w:rPr>
                  </w:pPr>
                  <w:r>
                    <w:rPr>
                      <w:rFonts w:hint="eastAsia"/>
                      <w:color w:val="000000" w:themeColor="text1"/>
                      <w:sz w:val="21"/>
                      <w:szCs w:val="21"/>
                      <w:highlight w:val="none"/>
                      <w:lang w:eastAsia="zh-CN"/>
                      <w14:textFill>
                        <w14:solidFill>
                          <w14:schemeClr w14:val="tx1"/>
                        </w14:solidFill>
                      </w14:textFill>
                    </w:rPr>
                    <w:t>污泥（城南）</w:t>
                  </w:r>
                </w:p>
              </w:tc>
              <w:tc>
                <w:tcPr>
                  <w:tcW w:w="784" w:type="dxa"/>
                  <w:vAlign w:val="center"/>
                </w:tcPr>
                <w:p w14:paraId="3472850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7BCB248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5A6C8BE7">
                  <w:pPr>
                    <w:spacing w:before="72" w:beforeLines="30"/>
                    <w:jc w:val="center"/>
                    <w:rPr>
                      <w:rFonts w:hint="default"/>
                      <w:color w:val="FF0000"/>
                      <w:szCs w:val="21"/>
                      <w:highlight w:val="none"/>
                      <w:lang w:val="en-US"/>
                    </w:rPr>
                  </w:pPr>
                  <w:r>
                    <w:rPr>
                      <w:rFonts w:hint="eastAsia"/>
                      <w:color w:val="000000" w:themeColor="text1"/>
                      <w:szCs w:val="21"/>
                      <w:highlight w:val="none"/>
                      <w:lang w:val="en-US" w:eastAsia="zh-CN"/>
                      <w14:textFill>
                        <w14:solidFill>
                          <w14:schemeClr w14:val="tx1"/>
                        </w14:solidFill>
                      </w14:textFill>
                    </w:rPr>
                    <w:t>14000</w:t>
                  </w:r>
                </w:p>
              </w:tc>
              <w:tc>
                <w:tcPr>
                  <w:tcW w:w="1475" w:type="dxa"/>
                  <w:vAlign w:val="center"/>
                </w:tcPr>
                <w:p w14:paraId="1CEE9B9A">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40666</w:t>
                  </w:r>
                </w:p>
              </w:tc>
              <w:tc>
                <w:tcPr>
                  <w:tcW w:w="1635" w:type="dxa"/>
                  <w:vAlign w:val="center"/>
                </w:tcPr>
                <w:p w14:paraId="69606C8D">
                  <w:pPr>
                    <w:widowControl/>
                    <w:adjustRightInd w:val="0"/>
                    <w:snapToGrid w:val="0"/>
                    <w:spacing w:before="48" w:beforeLines="20"/>
                    <w:jc w:val="center"/>
                    <w:rPr>
                      <w:rFonts w:hint="default" w:eastAsia="宋体"/>
                      <w:kern w:val="0"/>
                      <w:szCs w:val="21"/>
                      <w:highlight w:val="none"/>
                      <w:lang w:val="en-US" w:eastAsia="zh-CN"/>
                    </w:rPr>
                  </w:pPr>
                  <w:r>
                    <w:rPr>
                      <w:rFonts w:hint="eastAsia"/>
                      <w:kern w:val="0"/>
                      <w:szCs w:val="21"/>
                      <w:highlight w:val="none"/>
                      <w:lang w:val="en-US" w:eastAsia="zh-CN"/>
                    </w:rPr>
                    <w:t>+26666</w:t>
                  </w:r>
                </w:p>
              </w:tc>
            </w:tr>
            <w:tr w14:paraId="6B58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05943B7A">
                  <w:pPr>
                    <w:adjustRightInd w:val="0"/>
                    <w:snapToGrid w:val="0"/>
                    <w:jc w:val="center"/>
                    <w:rPr>
                      <w:szCs w:val="21"/>
                      <w:highlight w:val="none"/>
                    </w:rPr>
                  </w:pPr>
                  <w:r>
                    <w:rPr>
                      <w:rFonts w:hint="eastAsia"/>
                      <w:szCs w:val="21"/>
                      <w:highlight w:val="none"/>
                    </w:rPr>
                    <w:t>3</w:t>
                  </w:r>
                </w:p>
              </w:tc>
              <w:tc>
                <w:tcPr>
                  <w:tcW w:w="1377" w:type="dxa"/>
                  <w:vAlign w:val="center"/>
                </w:tcPr>
                <w:p w14:paraId="3C5D8037">
                  <w:pPr>
                    <w:keepNext w:val="0"/>
                    <w:keepLines w:val="0"/>
                    <w:pageBreakBefore w:val="0"/>
                    <w:widowControl/>
                    <w:kinsoku w:val="0"/>
                    <w:wordWrap/>
                    <w:overflowPunct/>
                    <w:topLinePunct w:val="0"/>
                    <w:autoSpaceDE w:val="0"/>
                    <w:autoSpaceDN w:val="0"/>
                    <w:bidi w:val="0"/>
                    <w:adjustRightInd w:val="0"/>
                    <w:snapToGrid w:val="0"/>
                    <w:spacing w:before="72" w:beforeLines="30" w:line="240" w:lineRule="auto"/>
                    <w:ind w:firstLine="0" w:firstLineChars="0"/>
                    <w:jc w:val="center"/>
                    <w:textAlignment w:val="baseline"/>
                    <w:rPr>
                      <w:kern w:val="0"/>
                      <w:szCs w:val="21"/>
                      <w:highlight w:val="none"/>
                    </w:rPr>
                  </w:pPr>
                  <w:r>
                    <w:rPr>
                      <w:rFonts w:hint="eastAsia"/>
                      <w:color w:val="000000" w:themeColor="text1"/>
                      <w:sz w:val="21"/>
                      <w:szCs w:val="21"/>
                      <w:highlight w:val="none"/>
                      <w:lang w:eastAsia="zh-CN"/>
                      <w14:textFill>
                        <w14:solidFill>
                          <w14:schemeClr w14:val="tx1"/>
                        </w14:solidFill>
                      </w14:textFill>
                    </w:rPr>
                    <w:t>机制砂</w:t>
                  </w:r>
                </w:p>
              </w:tc>
              <w:tc>
                <w:tcPr>
                  <w:tcW w:w="784" w:type="dxa"/>
                  <w:vAlign w:val="center"/>
                </w:tcPr>
                <w:p w14:paraId="01F353F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63CEF45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kern w:val="0"/>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7D1DF8EF">
                  <w:pPr>
                    <w:spacing w:before="72" w:beforeLines="30"/>
                    <w:jc w:val="center"/>
                    <w:rPr>
                      <w:rFonts w:hint="default"/>
                      <w:szCs w:val="21"/>
                      <w:highlight w:val="none"/>
                      <w:lang w:val="en-US"/>
                    </w:rPr>
                  </w:pPr>
                  <w:r>
                    <w:rPr>
                      <w:rFonts w:hint="eastAsia"/>
                      <w:color w:val="000000" w:themeColor="text1"/>
                      <w:szCs w:val="21"/>
                      <w:highlight w:val="none"/>
                      <w:lang w:val="en-US" w:eastAsia="zh-CN"/>
                      <w14:textFill>
                        <w14:solidFill>
                          <w14:schemeClr w14:val="tx1"/>
                        </w14:solidFill>
                      </w14:textFill>
                    </w:rPr>
                    <w:t>86005</w:t>
                  </w:r>
                </w:p>
              </w:tc>
              <w:tc>
                <w:tcPr>
                  <w:tcW w:w="1475" w:type="dxa"/>
                  <w:vAlign w:val="center"/>
                </w:tcPr>
                <w:p w14:paraId="0178A23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28668</w:t>
                  </w:r>
                </w:p>
              </w:tc>
              <w:tc>
                <w:tcPr>
                  <w:tcW w:w="1635" w:type="dxa"/>
                  <w:vAlign w:val="center"/>
                </w:tcPr>
                <w:p w14:paraId="623D9743">
                  <w:pPr>
                    <w:widowControl/>
                    <w:adjustRightInd w:val="0"/>
                    <w:snapToGrid w:val="0"/>
                    <w:spacing w:before="48" w:beforeLines="20"/>
                    <w:jc w:val="center"/>
                    <w:rPr>
                      <w:rFonts w:hint="default" w:eastAsia="宋体"/>
                      <w:kern w:val="0"/>
                      <w:szCs w:val="21"/>
                      <w:highlight w:val="none"/>
                      <w:lang w:val="en-US" w:eastAsia="zh-CN"/>
                    </w:rPr>
                  </w:pPr>
                  <w:r>
                    <w:rPr>
                      <w:rFonts w:hint="eastAsia"/>
                      <w:kern w:val="0"/>
                      <w:szCs w:val="21"/>
                      <w:highlight w:val="none"/>
                      <w:lang w:val="en-US" w:eastAsia="zh-CN"/>
                    </w:rPr>
                    <w:t>-57337</w:t>
                  </w:r>
                </w:p>
              </w:tc>
            </w:tr>
            <w:tr w14:paraId="3F9A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4DD6D057">
                  <w:pPr>
                    <w:adjustRightInd w:val="0"/>
                    <w:snapToGrid w:val="0"/>
                    <w:jc w:val="center"/>
                    <w:rPr>
                      <w:szCs w:val="21"/>
                      <w:highlight w:val="none"/>
                    </w:rPr>
                  </w:pPr>
                  <w:r>
                    <w:rPr>
                      <w:rFonts w:hint="eastAsia"/>
                      <w:szCs w:val="21"/>
                      <w:highlight w:val="none"/>
                    </w:rPr>
                    <w:t>4</w:t>
                  </w:r>
                </w:p>
              </w:tc>
              <w:tc>
                <w:tcPr>
                  <w:tcW w:w="1377" w:type="dxa"/>
                  <w:vAlign w:val="center"/>
                </w:tcPr>
                <w:p w14:paraId="0A7CF7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kern w:val="0"/>
                      <w:szCs w:val="21"/>
                      <w:highlight w:val="none"/>
                    </w:rPr>
                  </w:pPr>
                  <w:r>
                    <w:rPr>
                      <w:rFonts w:hint="eastAsia"/>
                      <w:color w:val="000000" w:themeColor="text1"/>
                      <w:sz w:val="21"/>
                      <w:szCs w:val="21"/>
                      <w:highlight w:val="none"/>
                      <w14:textFill>
                        <w14:solidFill>
                          <w14:schemeClr w14:val="tx1"/>
                        </w14:solidFill>
                      </w14:textFill>
                    </w:rPr>
                    <w:t>水泥</w:t>
                  </w:r>
                </w:p>
              </w:tc>
              <w:tc>
                <w:tcPr>
                  <w:tcW w:w="784" w:type="dxa"/>
                  <w:vAlign w:val="center"/>
                </w:tcPr>
                <w:p w14:paraId="07DABF2B">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0030EFC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粉状</w:t>
                  </w:r>
                </w:p>
              </w:tc>
              <w:tc>
                <w:tcPr>
                  <w:tcW w:w="1268" w:type="dxa"/>
                  <w:vAlign w:val="center"/>
                </w:tcPr>
                <w:p w14:paraId="3BD13903">
                  <w:pPr>
                    <w:spacing w:before="72" w:beforeLines="30"/>
                    <w:jc w:val="center"/>
                    <w:rPr>
                      <w:rFonts w:hint="default"/>
                      <w:szCs w:val="21"/>
                      <w:highlight w:val="none"/>
                      <w:lang w:val="en-US"/>
                    </w:rPr>
                  </w:pPr>
                  <w:r>
                    <w:rPr>
                      <w:rFonts w:hint="eastAsia"/>
                      <w:color w:val="000000" w:themeColor="text1"/>
                      <w:szCs w:val="21"/>
                      <w:highlight w:val="none"/>
                      <w:lang w:val="en-US" w:eastAsia="zh-CN"/>
                      <w14:textFill>
                        <w14:solidFill>
                          <w14:schemeClr w14:val="tx1"/>
                        </w14:solidFill>
                      </w14:textFill>
                    </w:rPr>
                    <w:t>36000</w:t>
                  </w:r>
                </w:p>
              </w:tc>
              <w:tc>
                <w:tcPr>
                  <w:tcW w:w="1475" w:type="dxa"/>
                  <w:vAlign w:val="center"/>
                </w:tcPr>
                <w:p w14:paraId="6D406E24">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11999</w:t>
                  </w:r>
                </w:p>
              </w:tc>
              <w:tc>
                <w:tcPr>
                  <w:tcW w:w="1635" w:type="dxa"/>
                  <w:vAlign w:val="center"/>
                </w:tcPr>
                <w:p w14:paraId="799CCD79">
                  <w:pPr>
                    <w:widowControl/>
                    <w:adjustRightInd w:val="0"/>
                    <w:snapToGrid w:val="0"/>
                    <w:spacing w:before="48" w:beforeLines="20"/>
                    <w:jc w:val="center"/>
                    <w:rPr>
                      <w:rFonts w:hint="default" w:eastAsia="宋体"/>
                      <w:kern w:val="0"/>
                      <w:szCs w:val="21"/>
                      <w:highlight w:val="none"/>
                      <w:lang w:val="en-US" w:eastAsia="zh-CN"/>
                    </w:rPr>
                  </w:pPr>
                  <w:r>
                    <w:rPr>
                      <w:rFonts w:hint="eastAsia"/>
                      <w:kern w:val="0"/>
                      <w:szCs w:val="21"/>
                      <w:highlight w:val="none"/>
                      <w:lang w:val="en-US" w:eastAsia="zh-CN"/>
                    </w:rPr>
                    <w:t>-24001</w:t>
                  </w:r>
                </w:p>
              </w:tc>
            </w:tr>
            <w:tr w14:paraId="304C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7B09FFAA">
                  <w:pPr>
                    <w:adjustRightInd w:val="0"/>
                    <w:snapToGrid w:val="0"/>
                    <w:jc w:val="center"/>
                    <w:rPr>
                      <w:szCs w:val="21"/>
                      <w:highlight w:val="none"/>
                    </w:rPr>
                  </w:pPr>
                  <w:r>
                    <w:rPr>
                      <w:rFonts w:hint="eastAsia"/>
                      <w:szCs w:val="21"/>
                      <w:highlight w:val="none"/>
                    </w:rPr>
                    <w:t>5</w:t>
                  </w:r>
                </w:p>
              </w:tc>
              <w:tc>
                <w:tcPr>
                  <w:tcW w:w="1377" w:type="dxa"/>
                  <w:vAlign w:val="center"/>
                </w:tcPr>
                <w:p w14:paraId="6FA604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kern w:val="0"/>
                      <w:szCs w:val="21"/>
                      <w:highlight w:val="none"/>
                    </w:rPr>
                  </w:pPr>
                  <w:r>
                    <w:rPr>
                      <w:rFonts w:hint="eastAsia"/>
                      <w:color w:val="000000" w:themeColor="text1"/>
                      <w:sz w:val="21"/>
                      <w:szCs w:val="21"/>
                      <w:highlight w:val="none"/>
                      <w14:textFill>
                        <w14:solidFill>
                          <w14:schemeClr w14:val="tx1"/>
                        </w14:solidFill>
                      </w14:textFill>
                    </w:rPr>
                    <w:t>固化剂</w:t>
                  </w:r>
                </w:p>
              </w:tc>
              <w:tc>
                <w:tcPr>
                  <w:tcW w:w="784" w:type="dxa"/>
                  <w:vAlign w:val="center"/>
                </w:tcPr>
                <w:p w14:paraId="3EBDAAC8">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163CD7F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液态</w:t>
                  </w:r>
                </w:p>
              </w:tc>
              <w:tc>
                <w:tcPr>
                  <w:tcW w:w="1268" w:type="dxa"/>
                  <w:vAlign w:val="center"/>
                </w:tcPr>
                <w:p w14:paraId="39A11CC3">
                  <w:pPr>
                    <w:spacing w:before="72" w:beforeLines="30"/>
                    <w:jc w:val="center"/>
                    <w:rPr>
                      <w:rFonts w:hint="default"/>
                      <w:szCs w:val="21"/>
                      <w:highlight w:val="none"/>
                      <w:lang w:val="en-US"/>
                    </w:rPr>
                  </w:pPr>
                  <w:r>
                    <w:rPr>
                      <w:rFonts w:hint="eastAsia"/>
                      <w:color w:val="000000" w:themeColor="text1"/>
                      <w:szCs w:val="21"/>
                      <w:highlight w:val="none"/>
                      <w:lang w:val="en-US" w:eastAsia="zh-CN"/>
                      <w14:textFill>
                        <w14:solidFill>
                          <w14:schemeClr w14:val="tx1"/>
                        </w14:solidFill>
                      </w14:textFill>
                    </w:rPr>
                    <w:t>300</w:t>
                  </w:r>
                </w:p>
              </w:tc>
              <w:tc>
                <w:tcPr>
                  <w:tcW w:w="1475" w:type="dxa"/>
                  <w:vAlign w:val="center"/>
                </w:tcPr>
                <w:p w14:paraId="64B97561">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100</w:t>
                  </w:r>
                </w:p>
              </w:tc>
              <w:tc>
                <w:tcPr>
                  <w:tcW w:w="1635" w:type="dxa"/>
                  <w:vAlign w:val="center"/>
                </w:tcPr>
                <w:p w14:paraId="518B1BAF">
                  <w:pPr>
                    <w:widowControl/>
                    <w:adjustRightInd w:val="0"/>
                    <w:snapToGrid w:val="0"/>
                    <w:spacing w:before="48" w:beforeLines="20"/>
                    <w:jc w:val="center"/>
                    <w:rPr>
                      <w:rFonts w:hint="default" w:eastAsia="宋体"/>
                      <w:kern w:val="0"/>
                      <w:szCs w:val="21"/>
                      <w:highlight w:val="none"/>
                      <w:lang w:val="en-US" w:eastAsia="zh-CN"/>
                    </w:rPr>
                  </w:pPr>
                  <w:r>
                    <w:rPr>
                      <w:rFonts w:hint="eastAsia"/>
                      <w:kern w:val="0"/>
                      <w:szCs w:val="21"/>
                      <w:highlight w:val="none"/>
                      <w:lang w:val="en-US" w:eastAsia="zh-CN"/>
                    </w:rPr>
                    <w:t>-200</w:t>
                  </w:r>
                </w:p>
              </w:tc>
            </w:tr>
            <w:tr w14:paraId="542D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9312495">
                  <w:pPr>
                    <w:adjustRightInd w:val="0"/>
                    <w:snapToGrid w:val="0"/>
                    <w:jc w:val="center"/>
                    <w:rPr>
                      <w:rFonts w:hint="eastAsia" w:eastAsia="宋体"/>
                      <w:szCs w:val="21"/>
                      <w:highlight w:val="none"/>
                      <w:lang w:val="en-US" w:eastAsia="zh-CN"/>
                    </w:rPr>
                  </w:pPr>
                  <w:r>
                    <w:rPr>
                      <w:rFonts w:hint="eastAsia"/>
                      <w:szCs w:val="21"/>
                      <w:highlight w:val="none"/>
                      <w:lang w:val="en-US" w:eastAsia="zh-CN"/>
                    </w:rPr>
                    <w:t>6</w:t>
                  </w:r>
                </w:p>
              </w:tc>
              <w:tc>
                <w:tcPr>
                  <w:tcW w:w="1377" w:type="dxa"/>
                  <w:vAlign w:val="center"/>
                </w:tcPr>
                <w:p w14:paraId="46789B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kern w:val="0"/>
                      <w:szCs w:val="21"/>
                      <w:highlight w:val="none"/>
                    </w:rPr>
                  </w:pPr>
                  <w:r>
                    <w:rPr>
                      <w:rFonts w:hint="eastAsia"/>
                      <w:color w:val="000000" w:themeColor="text1"/>
                      <w:sz w:val="21"/>
                      <w:szCs w:val="21"/>
                      <w:highlight w:val="none"/>
                      <w14:textFill>
                        <w14:solidFill>
                          <w14:schemeClr w14:val="tx1"/>
                        </w14:solidFill>
                      </w14:textFill>
                    </w:rPr>
                    <w:t>生物除臭剂</w:t>
                  </w:r>
                </w:p>
              </w:tc>
              <w:tc>
                <w:tcPr>
                  <w:tcW w:w="784" w:type="dxa"/>
                  <w:vAlign w:val="center"/>
                </w:tcPr>
                <w:p w14:paraId="1F68719D">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5946A70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液态</w:t>
                  </w:r>
                </w:p>
              </w:tc>
              <w:tc>
                <w:tcPr>
                  <w:tcW w:w="1268" w:type="dxa"/>
                  <w:vAlign w:val="center"/>
                </w:tcPr>
                <w:p w14:paraId="2009C677">
                  <w:pPr>
                    <w:spacing w:before="72" w:beforeLines="30"/>
                    <w:jc w:val="center"/>
                    <w:rPr>
                      <w:rFonts w:hint="default"/>
                      <w:szCs w:val="21"/>
                      <w:highlight w:val="none"/>
                      <w:lang w:val="en-US"/>
                    </w:rPr>
                  </w:pPr>
                  <w:r>
                    <w:rPr>
                      <w:rFonts w:hint="eastAsia"/>
                      <w:color w:val="000000" w:themeColor="text1"/>
                      <w:szCs w:val="21"/>
                      <w:highlight w:val="none"/>
                      <w:lang w:val="en-US" w:eastAsia="zh-CN"/>
                      <w14:textFill>
                        <w14:solidFill>
                          <w14:schemeClr w14:val="tx1"/>
                        </w14:solidFill>
                      </w14:textFill>
                    </w:rPr>
                    <w:t>1.633</w:t>
                  </w:r>
                </w:p>
              </w:tc>
              <w:tc>
                <w:tcPr>
                  <w:tcW w:w="1475" w:type="dxa"/>
                  <w:vAlign w:val="center"/>
                </w:tcPr>
                <w:p w14:paraId="466F0BD0">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0.6</w:t>
                  </w:r>
                </w:p>
              </w:tc>
              <w:tc>
                <w:tcPr>
                  <w:tcW w:w="1635" w:type="dxa"/>
                  <w:vAlign w:val="center"/>
                </w:tcPr>
                <w:p w14:paraId="43DB8432">
                  <w:pPr>
                    <w:widowControl/>
                    <w:adjustRightInd w:val="0"/>
                    <w:snapToGrid w:val="0"/>
                    <w:spacing w:before="48" w:beforeLines="20"/>
                    <w:jc w:val="center"/>
                    <w:rPr>
                      <w:rFonts w:hint="default"/>
                      <w:kern w:val="0"/>
                      <w:szCs w:val="21"/>
                      <w:highlight w:val="none"/>
                      <w:lang w:val="en-US"/>
                    </w:rPr>
                  </w:pPr>
                  <w:r>
                    <w:rPr>
                      <w:rFonts w:hint="eastAsia"/>
                      <w:kern w:val="0"/>
                      <w:szCs w:val="21"/>
                      <w:highlight w:val="none"/>
                      <w:lang w:val="en-US" w:eastAsia="zh-CN"/>
                    </w:rPr>
                    <w:t>-1.033</w:t>
                  </w:r>
                </w:p>
              </w:tc>
            </w:tr>
            <w:tr w14:paraId="2EAE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3726890">
                  <w:pPr>
                    <w:adjustRightInd w:val="0"/>
                    <w:snapToGrid w:val="0"/>
                    <w:jc w:val="center"/>
                    <w:rPr>
                      <w:rFonts w:hint="eastAsia" w:eastAsia="宋体"/>
                      <w:szCs w:val="21"/>
                      <w:highlight w:val="none"/>
                      <w:lang w:val="en-US" w:eastAsia="zh-CN"/>
                    </w:rPr>
                  </w:pPr>
                  <w:r>
                    <w:rPr>
                      <w:rFonts w:hint="eastAsia"/>
                      <w:szCs w:val="21"/>
                      <w:highlight w:val="none"/>
                      <w:lang w:val="en-US" w:eastAsia="zh-CN"/>
                    </w:rPr>
                    <w:t>7</w:t>
                  </w:r>
                </w:p>
              </w:tc>
              <w:tc>
                <w:tcPr>
                  <w:tcW w:w="1377" w:type="dxa"/>
                  <w:vAlign w:val="center"/>
                </w:tcPr>
                <w:p w14:paraId="32B655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kern w:val="0"/>
                      <w:szCs w:val="21"/>
                      <w:highlight w:val="none"/>
                    </w:rPr>
                  </w:pPr>
                  <w:r>
                    <w:rPr>
                      <w:rFonts w:hint="eastAsia"/>
                      <w:color w:val="000000" w:themeColor="text1"/>
                      <w:sz w:val="21"/>
                      <w:szCs w:val="21"/>
                      <w:highlight w:val="none"/>
                      <w:lang w:eastAsia="zh-CN"/>
                      <w14:textFill>
                        <w14:solidFill>
                          <w14:schemeClr w14:val="tx1"/>
                        </w14:solidFill>
                      </w14:textFill>
                    </w:rPr>
                    <w:t>机油</w:t>
                  </w:r>
                </w:p>
              </w:tc>
              <w:tc>
                <w:tcPr>
                  <w:tcW w:w="784" w:type="dxa"/>
                  <w:vAlign w:val="center"/>
                </w:tcPr>
                <w:p w14:paraId="2C5271C9">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1540F83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szCs w:val="21"/>
                      <w:highlight w:val="none"/>
                    </w:rPr>
                  </w:pPr>
                  <w:r>
                    <w:rPr>
                      <w:rFonts w:hint="eastAsia" w:cs="Times New Roman"/>
                      <w:color w:val="000000" w:themeColor="text1"/>
                      <w:sz w:val="21"/>
                      <w:szCs w:val="21"/>
                      <w:highlight w:val="none"/>
                      <w:lang w:val="en-US" w:eastAsia="zh-CN"/>
                      <w14:textFill>
                        <w14:solidFill>
                          <w14:schemeClr w14:val="tx1"/>
                        </w14:solidFill>
                      </w14:textFill>
                    </w:rPr>
                    <w:t>液态</w:t>
                  </w:r>
                </w:p>
              </w:tc>
              <w:tc>
                <w:tcPr>
                  <w:tcW w:w="1268" w:type="dxa"/>
                  <w:vAlign w:val="center"/>
                </w:tcPr>
                <w:p w14:paraId="3FCCB691">
                  <w:pPr>
                    <w:spacing w:before="72" w:beforeLines="30"/>
                    <w:jc w:val="center"/>
                    <w:rPr>
                      <w:rFonts w:hint="default"/>
                      <w:szCs w:val="21"/>
                      <w:highlight w:val="none"/>
                      <w:lang w:val="en-US"/>
                    </w:rPr>
                  </w:pPr>
                  <w:r>
                    <w:rPr>
                      <w:rFonts w:hint="eastAsia"/>
                      <w:color w:val="000000" w:themeColor="text1"/>
                      <w:szCs w:val="21"/>
                      <w:highlight w:val="none"/>
                      <w:lang w:val="en-US" w:eastAsia="zh-CN"/>
                      <w14:textFill>
                        <w14:solidFill>
                          <w14:schemeClr w14:val="tx1"/>
                        </w14:solidFill>
                      </w14:textFill>
                    </w:rPr>
                    <w:t>0.5</w:t>
                  </w:r>
                </w:p>
              </w:tc>
              <w:tc>
                <w:tcPr>
                  <w:tcW w:w="1475" w:type="dxa"/>
                  <w:vAlign w:val="center"/>
                </w:tcPr>
                <w:p w14:paraId="7ED011B3">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szCs w:val="21"/>
                      <w:highlight w:val="none"/>
                      <w:lang w:val="en-US"/>
                    </w:rPr>
                  </w:pPr>
                  <w:r>
                    <w:rPr>
                      <w:rFonts w:hint="eastAsia" w:cs="Times New Roman"/>
                      <w:color w:val="000000" w:themeColor="text1"/>
                      <w:sz w:val="21"/>
                      <w:szCs w:val="21"/>
                      <w:highlight w:val="none"/>
                      <w:lang w:val="en-US" w:eastAsia="zh-CN"/>
                      <w14:textFill>
                        <w14:solidFill>
                          <w14:schemeClr w14:val="tx1"/>
                        </w14:solidFill>
                      </w14:textFill>
                    </w:rPr>
                    <w:t>0.9</w:t>
                  </w:r>
                </w:p>
              </w:tc>
              <w:tc>
                <w:tcPr>
                  <w:tcW w:w="1635" w:type="dxa"/>
                  <w:vAlign w:val="center"/>
                </w:tcPr>
                <w:p w14:paraId="4BBDC61E">
                  <w:pPr>
                    <w:widowControl/>
                    <w:adjustRightInd w:val="0"/>
                    <w:snapToGrid w:val="0"/>
                    <w:spacing w:before="48" w:beforeLines="20"/>
                    <w:jc w:val="center"/>
                    <w:rPr>
                      <w:rFonts w:hint="default"/>
                      <w:kern w:val="0"/>
                      <w:szCs w:val="21"/>
                      <w:highlight w:val="none"/>
                      <w:lang w:val="en-US"/>
                    </w:rPr>
                  </w:pPr>
                  <w:r>
                    <w:rPr>
                      <w:rFonts w:hint="eastAsia"/>
                      <w:kern w:val="0"/>
                      <w:szCs w:val="21"/>
                      <w:highlight w:val="none"/>
                      <w:lang w:val="en-US" w:eastAsia="zh-CN"/>
                    </w:rPr>
                    <w:t>+0.4</w:t>
                  </w:r>
                </w:p>
              </w:tc>
            </w:tr>
            <w:tr w14:paraId="50EB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295DA197">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w:t>
                  </w:r>
                </w:p>
              </w:tc>
              <w:tc>
                <w:tcPr>
                  <w:tcW w:w="1377" w:type="dxa"/>
                  <w:vAlign w:val="center"/>
                </w:tcPr>
                <w:p w14:paraId="268D02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脱硫石膏</w:t>
                  </w:r>
                </w:p>
              </w:tc>
              <w:tc>
                <w:tcPr>
                  <w:tcW w:w="784" w:type="dxa"/>
                  <w:shd w:val="clear" w:color="auto" w:fill="auto"/>
                  <w:vAlign w:val="center"/>
                </w:tcPr>
                <w:p w14:paraId="481F859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745F95D1">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28DF7607">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6336F944">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3000</w:t>
                  </w:r>
                </w:p>
              </w:tc>
              <w:tc>
                <w:tcPr>
                  <w:tcW w:w="1635" w:type="dxa"/>
                  <w:vAlign w:val="center"/>
                </w:tcPr>
                <w:p w14:paraId="743EA871">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+3000</w:t>
                  </w:r>
                </w:p>
              </w:tc>
            </w:tr>
            <w:tr w14:paraId="50E1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25413449">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9</w:t>
                  </w:r>
                </w:p>
              </w:tc>
              <w:tc>
                <w:tcPr>
                  <w:tcW w:w="1377" w:type="dxa"/>
                  <w:vAlign w:val="center"/>
                </w:tcPr>
                <w:p w14:paraId="396588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尾矿</w:t>
                  </w:r>
                </w:p>
              </w:tc>
              <w:tc>
                <w:tcPr>
                  <w:tcW w:w="784" w:type="dxa"/>
                  <w:shd w:val="clear" w:color="auto" w:fill="auto"/>
                  <w:vAlign w:val="center"/>
                </w:tcPr>
                <w:p w14:paraId="7FEAAC45">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066B998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6113C367">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6630BC76">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3000</w:t>
                  </w:r>
                </w:p>
              </w:tc>
              <w:tc>
                <w:tcPr>
                  <w:tcW w:w="1635" w:type="dxa"/>
                  <w:vAlign w:val="center"/>
                </w:tcPr>
                <w:p w14:paraId="3A6F84FD">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+3000</w:t>
                  </w:r>
                </w:p>
              </w:tc>
            </w:tr>
            <w:tr w14:paraId="6630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6B70355E">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c>
                <w:tcPr>
                  <w:tcW w:w="1377" w:type="dxa"/>
                  <w:vAlign w:val="center"/>
                </w:tcPr>
                <w:p w14:paraId="4191D2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污泥（新宇）</w:t>
                  </w:r>
                </w:p>
              </w:tc>
              <w:tc>
                <w:tcPr>
                  <w:tcW w:w="784" w:type="dxa"/>
                  <w:shd w:val="clear" w:color="auto" w:fill="auto"/>
                  <w:vAlign w:val="center"/>
                </w:tcPr>
                <w:p w14:paraId="05A35C7F">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21CEF254">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2FED6D76">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3DFEBDD6">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21000</w:t>
                  </w:r>
                </w:p>
              </w:tc>
              <w:tc>
                <w:tcPr>
                  <w:tcW w:w="1635" w:type="dxa"/>
                  <w:vAlign w:val="center"/>
                </w:tcPr>
                <w:p w14:paraId="43283335">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+21000</w:t>
                  </w:r>
                </w:p>
              </w:tc>
            </w:tr>
            <w:tr w14:paraId="587F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shd w:val="clear" w:color="auto" w:fill="auto"/>
                  <w:vAlign w:val="center"/>
                </w:tcPr>
                <w:p w14:paraId="43F26557">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11</w:t>
                  </w:r>
                </w:p>
              </w:tc>
              <w:tc>
                <w:tcPr>
                  <w:tcW w:w="1377" w:type="dxa"/>
                  <w:vAlign w:val="center"/>
                </w:tcPr>
                <w:p w14:paraId="19B092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固化剂</w:t>
                  </w:r>
                </w:p>
              </w:tc>
              <w:tc>
                <w:tcPr>
                  <w:tcW w:w="784" w:type="dxa"/>
                  <w:shd w:val="clear" w:color="auto" w:fill="auto"/>
                  <w:vAlign w:val="center"/>
                </w:tcPr>
                <w:p w14:paraId="00684C4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4C8DC93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粉状</w:t>
                  </w:r>
                </w:p>
              </w:tc>
              <w:tc>
                <w:tcPr>
                  <w:tcW w:w="1268" w:type="dxa"/>
                  <w:vAlign w:val="center"/>
                </w:tcPr>
                <w:p w14:paraId="67DB8944">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6131C160">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6000</w:t>
                  </w:r>
                </w:p>
              </w:tc>
              <w:tc>
                <w:tcPr>
                  <w:tcW w:w="1635" w:type="dxa"/>
                  <w:vAlign w:val="center"/>
                </w:tcPr>
                <w:p w14:paraId="3482C011">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+6000</w:t>
                  </w:r>
                </w:p>
              </w:tc>
            </w:tr>
            <w:tr w14:paraId="28E8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132B5AFC">
                  <w:pPr>
                    <w:adjustRightInd w:val="0"/>
                    <w:snapToGrid w:val="0"/>
                    <w:jc w:val="center"/>
                    <w:rPr>
                      <w:rFonts w:hint="default"/>
                      <w:szCs w:val="21"/>
                      <w:highlight w:val="none"/>
                      <w:lang w:val="en-US" w:eastAsia="zh-CN"/>
                    </w:rPr>
                  </w:pPr>
                  <w:r>
                    <w:rPr>
                      <w:rFonts w:hint="eastAsia"/>
                      <w:szCs w:val="21"/>
                      <w:highlight w:val="none"/>
                      <w:lang w:val="en-US" w:eastAsia="zh-CN"/>
                    </w:rPr>
                    <w:t>12</w:t>
                  </w:r>
                </w:p>
              </w:tc>
              <w:tc>
                <w:tcPr>
                  <w:tcW w:w="1377" w:type="dxa"/>
                  <w:vAlign w:val="center"/>
                </w:tcPr>
                <w:p w14:paraId="15C48B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农村生活污水处理厂污泥</w:t>
                  </w:r>
                </w:p>
              </w:tc>
              <w:tc>
                <w:tcPr>
                  <w:tcW w:w="784" w:type="dxa"/>
                  <w:vAlign w:val="center"/>
                </w:tcPr>
                <w:p w14:paraId="4D6DDB3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473814A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4FA48891">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29A29B4C">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12000</w:t>
                  </w:r>
                </w:p>
              </w:tc>
              <w:tc>
                <w:tcPr>
                  <w:tcW w:w="1635" w:type="dxa"/>
                  <w:vAlign w:val="center"/>
                </w:tcPr>
                <w:p w14:paraId="42495B88">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+12000</w:t>
                  </w:r>
                </w:p>
              </w:tc>
            </w:tr>
            <w:tr w14:paraId="69FD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116CDA0F">
                  <w:pPr>
                    <w:adjustRightInd w:val="0"/>
                    <w:snapToGrid w:val="0"/>
                    <w:jc w:val="center"/>
                    <w:rPr>
                      <w:rFonts w:hint="default"/>
                      <w:szCs w:val="21"/>
                      <w:highlight w:val="none"/>
                      <w:lang w:val="en-US" w:eastAsia="zh-CN"/>
                    </w:rPr>
                  </w:pPr>
                  <w:r>
                    <w:rPr>
                      <w:rFonts w:hint="eastAsia"/>
                      <w:szCs w:val="21"/>
                      <w:highlight w:val="none"/>
                      <w:lang w:val="en-US" w:eastAsia="zh-CN"/>
                    </w:rPr>
                    <w:t>13</w:t>
                  </w:r>
                </w:p>
              </w:tc>
              <w:tc>
                <w:tcPr>
                  <w:tcW w:w="1377" w:type="dxa"/>
                  <w:vAlign w:val="center"/>
                </w:tcPr>
                <w:p w14:paraId="341ABF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草木灰</w:t>
                  </w:r>
                </w:p>
              </w:tc>
              <w:tc>
                <w:tcPr>
                  <w:tcW w:w="784" w:type="dxa"/>
                  <w:vAlign w:val="center"/>
                </w:tcPr>
                <w:p w14:paraId="632F91BC">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48313F90">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0D9BC4CD">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70BF8B0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8000</w:t>
                  </w:r>
                </w:p>
              </w:tc>
              <w:tc>
                <w:tcPr>
                  <w:tcW w:w="1635" w:type="dxa"/>
                  <w:vAlign w:val="center"/>
                </w:tcPr>
                <w:p w14:paraId="3C896E5D">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+8000</w:t>
                  </w:r>
                </w:p>
              </w:tc>
            </w:tr>
            <w:tr w14:paraId="6C53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F7B41C0">
                  <w:pPr>
                    <w:adjustRightInd w:val="0"/>
                    <w:snapToGrid w:val="0"/>
                    <w:jc w:val="center"/>
                    <w:rPr>
                      <w:rFonts w:hint="default"/>
                      <w:szCs w:val="21"/>
                      <w:highlight w:val="none"/>
                      <w:lang w:val="en-US" w:eastAsia="zh-CN"/>
                    </w:rPr>
                  </w:pPr>
                  <w:r>
                    <w:rPr>
                      <w:rFonts w:hint="eastAsia"/>
                      <w:szCs w:val="21"/>
                      <w:highlight w:val="none"/>
                      <w:lang w:val="en-US" w:eastAsia="zh-CN"/>
                    </w:rPr>
                    <w:t>14</w:t>
                  </w:r>
                </w:p>
              </w:tc>
              <w:tc>
                <w:tcPr>
                  <w:tcW w:w="1377" w:type="dxa"/>
                  <w:vAlign w:val="center"/>
                </w:tcPr>
                <w:p w14:paraId="005FE4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生物酵菌剂</w:t>
                  </w:r>
                </w:p>
              </w:tc>
              <w:tc>
                <w:tcPr>
                  <w:tcW w:w="784" w:type="dxa"/>
                  <w:vAlign w:val="center"/>
                </w:tcPr>
                <w:p w14:paraId="3DD06EB6">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479476D3">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液态</w:t>
                  </w:r>
                </w:p>
              </w:tc>
              <w:tc>
                <w:tcPr>
                  <w:tcW w:w="1268" w:type="dxa"/>
                  <w:vAlign w:val="center"/>
                </w:tcPr>
                <w:p w14:paraId="5395E3AE">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0070AAAE">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1635" w:type="dxa"/>
                  <w:vAlign w:val="center"/>
                </w:tcPr>
                <w:p w14:paraId="30EE7257">
                  <w:pPr>
                    <w:widowControl/>
                    <w:adjustRightInd w:val="0"/>
                    <w:snapToGrid w:val="0"/>
                    <w:spacing w:before="48" w:beforeLines="20"/>
                    <w:jc w:val="center"/>
                    <w:rPr>
                      <w:rFonts w:hint="default"/>
                      <w:kern w:val="0"/>
                      <w:szCs w:val="21"/>
                      <w:highlight w:val="none"/>
                      <w:lang w:val="en-US" w:eastAsia="zh-CN"/>
                    </w:rPr>
                  </w:pPr>
                  <w:r>
                    <w:rPr>
                      <w:rFonts w:hint="eastAsia"/>
                      <w:kern w:val="0"/>
                      <w:szCs w:val="21"/>
                      <w:highlight w:val="none"/>
                      <w:lang w:val="en-US" w:eastAsia="zh-CN"/>
                    </w:rPr>
                    <w:t>+20</w:t>
                  </w:r>
                </w:p>
              </w:tc>
            </w:tr>
            <w:tr w14:paraId="48FE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07B7ABB6">
                  <w:pPr>
                    <w:adjustRightInd w:val="0"/>
                    <w:snapToGrid w:val="0"/>
                    <w:jc w:val="center"/>
                    <w:rPr>
                      <w:rFonts w:hint="default"/>
                      <w:szCs w:val="21"/>
                      <w:highlight w:val="none"/>
                      <w:lang w:val="en-US" w:eastAsia="zh-CN"/>
                    </w:rPr>
                  </w:pPr>
                  <w:r>
                    <w:rPr>
                      <w:rFonts w:hint="eastAsia"/>
                      <w:szCs w:val="21"/>
                      <w:highlight w:val="none"/>
                      <w:lang w:val="en-US" w:eastAsia="zh-CN"/>
                    </w:rPr>
                    <w:t>15</w:t>
                  </w:r>
                </w:p>
              </w:tc>
              <w:tc>
                <w:tcPr>
                  <w:tcW w:w="1377" w:type="dxa"/>
                  <w:vAlign w:val="center"/>
                </w:tcPr>
                <w:p w14:paraId="553DA7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锯末</w:t>
                  </w:r>
                </w:p>
              </w:tc>
              <w:tc>
                <w:tcPr>
                  <w:tcW w:w="784" w:type="dxa"/>
                  <w:vAlign w:val="center"/>
                </w:tcPr>
                <w:p w14:paraId="2204B32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973" w:type="dxa"/>
                  <w:vAlign w:val="center"/>
                </w:tcPr>
                <w:p w14:paraId="3DE23237">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固态</w:t>
                  </w:r>
                </w:p>
              </w:tc>
              <w:tc>
                <w:tcPr>
                  <w:tcW w:w="1268" w:type="dxa"/>
                  <w:vAlign w:val="center"/>
                </w:tcPr>
                <w:p w14:paraId="1EC66EC8">
                  <w:pPr>
                    <w:spacing w:before="72" w:beforeLines="3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w:t>
                  </w:r>
                </w:p>
              </w:tc>
              <w:tc>
                <w:tcPr>
                  <w:tcW w:w="1475" w:type="dxa"/>
                  <w:vAlign w:val="center"/>
                </w:tcPr>
                <w:p w14:paraId="03EE7F35">
                  <w:pPr>
                    <w:keepNext w:val="0"/>
                    <w:keepLines w:val="0"/>
                    <w:pageBreakBefore w:val="0"/>
                    <w:widowControl/>
                    <w:tabs>
                      <w:tab w:val="left" w:pos="387"/>
                    </w:tabs>
                    <w:kinsoku w:val="0"/>
                    <w:wordWrap/>
                    <w:overflowPunct/>
                    <w:topLinePunct w:val="0"/>
                    <w:autoSpaceDE w:val="0"/>
                    <w:autoSpaceDN w:val="0"/>
                    <w:bidi w:val="0"/>
                    <w:adjustRightInd w:val="0"/>
                    <w:snapToGrid w:val="0"/>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8000</w:t>
                  </w:r>
                </w:p>
              </w:tc>
              <w:tc>
                <w:tcPr>
                  <w:tcW w:w="1635" w:type="dxa"/>
                  <w:vAlign w:val="center"/>
                </w:tcPr>
                <w:p w14:paraId="64302946">
                  <w:pPr>
                    <w:widowControl/>
                    <w:adjustRightInd w:val="0"/>
                    <w:snapToGrid w:val="0"/>
                    <w:spacing w:before="48" w:beforeLines="20"/>
                    <w:jc w:val="center"/>
                    <w:rPr>
                      <w:rFonts w:hint="eastAsia"/>
                      <w:kern w:val="0"/>
                      <w:szCs w:val="21"/>
                      <w:highlight w:val="none"/>
                      <w:lang w:val="en-US" w:eastAsia="zh-CN"/>
                    </w:rPr>
                  </w:pPr>
                  <w:r>
                    <w:rPr>
                      <w:rFonts w:hint="eastAsia"/>
                      <w:kern w:val="0"/>
                      <w:szCs w:val="21"/>
                      <w:highlight w:val="none"/>
                      <w:lang w:val="en-US" w:eastAsia="zh-CN"/>
                    </w:rPr>
                    <w:t>+8000</w:t>
                  </w:r>
                </w:p>
              </w:tc>
            </w:tr>
            <w:tr w14:paraId="7CF0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185" w:type="dxa"/>
                  <w:gridSpan w:val="7"/>
                  <w:vAlign w:val="center"/>
                </w:tcPr>
                <w:p w14:paraId="1FB2DA3F">
                  <w:pPr>
                    <w:widowControl/>
                    <w:adjustRightInd w:val="0"/>
                    <w:snapToGrid w:val="0"/>
                    <w:spacing w:before="48" w:beforeLines="20"/>
                    <w:jc w:val="center"/>
                    <w:rPr>
                      <w:kern w:val="0"/>
                      <w:szCs w:val="21"/>
                      <w:highlight w:val="none"/>
                    </w:rPr>
                  </w:pPr>
                  <w:r>
                    <w:rPr>
                      <w:rFonts w:hint="eastAsia"/>
                      <w:kern w:val="0"/>
                      <w:szCs w:val="21"/>
                      <w:highlight w:val="none"/>
                    </w:rPr>
                    <w:t>资源、能源消耗</w:t>
                  </w:r>
                </w:p>
              </w:tc>
            </w:tr>
            <w:tr w14:paraId="51F7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6FE4084">
                  <w:pPr>
                    <w:adjustRightInd w:val="0"/>
                    <w:snapToGrid w:val="0"/>
                    <w:jc w:val="center"/>
                    <w:rPr>
                      <w:szCs w:val="21"/>
                      <w:highlight w:val="none"/>
                    </w:rPr>
                  </w:pPr>
                  <w:r>
                    <w:rPr>
                      <w:rFonts w:hint="eastAsia"/>
                      <w:szCs w:val="21"/>
                      <w:highlight w:val="none"/>
                    </w:rPr>
                    <w:t>1</w:t>
                  </w:r>
                </w:p>
              </w:tc>
              <w:tc>
                <w:tcPr>
                  <w:tcW w:w="1377" w:type="dxa"/>
                  <w:vAlign w:val="center"/>
                </w:tcPr>
                <w:p w14:paraId="15077110">
                  <w:pPr>
                    <w:pStyle w:val="37"/>
                    <w:ind w:left="0" w:firstLine="0"/>
                    <w:rPr>
                      <w:rFonts w:cs="Times New Roman"/>
                      <w:b w:val="0"/>
                      <w:bCs w:val="0"/>
                      <w:szCs w:val="24"/>
                      <w:highlight w:val="none"/>
                      <w:lang w:eastAsia="zh-CN" w:bidi="ar-SA"/>
                    </w:rPr>
                  </w:pPr>
                  <w:r>
                    <w:rPr>
                      <w:rFonts w:cs="Times New Roman"/>
                      <w:b w:val="0"/>
                      <w:bCs w:val="0"/>
                      <w:highlight w:val="none"/>
                      <w:lang w:eastAsia="zh-CN"/>
                    </w:rPr>
                    <w:t>水</w:t>
                  </w:r>
                </w:p>
              </w:tc>
              <w:tc>
                <w:tcPr>
                  <w:tcW w:w="784" w:type="dxa"/>
                  <w:vAlign w:val="center"/>
                </w:tcPr>
                <w:p w14:paraId="2908F63A">
                  <w:pPr>
                    <w:pStyle w:val="37"/>
                    <w:ind w:left="0" w:firstLine="0"/>
                    <w:rPr>
                      <w:rFonts w:cs="Times New Roman"/>
                      <w:b w:val="0"/>
                      <w:bCs w:val="0"/>
                      <w:szCs w:val="24"/>
                      <w:highlight w:val="none"/>
                      <w:lang w:eastAsia="zh-CN" w:bidi="ar-SA"/>
                    </w:rPr>
                  </w:pPr>
                  <w:r>
                    <w:rPr>
                      <w:rFonts w:cs="Times New Roman"/>
                      <w:b w:val="0"/>
                      <w:bCs w:val="0"/>
                      <w:highlight w:val="none"/>
                      <w:lang w:eastAsia="zh-CN"/>
                    </w:rPr>
                    <w:t>t/a</w:t>
                  </w:r>
                </w:p>
              </w:tc>
              <w:tc>
                <w:tcPr>
                  <w:tcW w:w="973" w:type="dxa"/>
                  <w:vAlign w:val="center"/>
                </w:tcPr>
                <w:p w14:paraId="1792530E">
                  <w:pPr>
                    <w:pStyle w:val="37"/>
                    <w:ind w:left="0" w:firstLine="0"/>
                    <w:rPr>
                      <w:rFonts w:cs="Times New Roman"/>
                      <w:b w:val="0"/>
                      <w:bCs w:val="0"/>
                      <w:highlight w:val="none"/>
                      <w:lang w:eastAsia="zh-CN"/>
                    </w:rPr>
                  </w:pPr>
                  <w:r>
                    <w:rPr>
                      <w:rFonts w:hint="eastAsia" w:cs="Times New Roman"/>
                      <w:b w:val="0"/>
                      <w:bCs w:val="0"/>
                      <w:highlight w:val="none"/>
                      <w:lang w:eastAsia="zh-CN"/>
                    </w:rPr>
                    <w:t>/</w:t>
                  </w:r>
                </w:p>
              </w:tc>
              <w:tc>
                <w:tcPr>
                  <w:tcW w:w="1268" w:type="dxa"/>
                  <w:vAlign w:val="center"/>
                </w:tcPr>
                <w:p w14:paraId="48A9411A">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cs="Times New Roman"/>
                      <w:b w:val="0"/>
                      <w:bCs w:val="0"/>
                      <w:szCs w:val="24"/>
                      <w:highlight w:val="none"/>
                      <w:lang w:eastAsia="zh-CN" w:bidi="ar-SA"/>
                    </w:rPr>
                  </w:pPr>
                  <w:r>
                    <w:rPr>
                      <w:rFonts w:hint="eastAsia" w:cs="Times New Roman"/>
                      <w:color w:val="000000" w:themeColor="text1"/>
                      <w:sz w:val="21"/>
                      <w:szCs w:val="21"/>
                      <w:highlight w:val="none"/>
                      <w:lang w:val="en-US" w:eastAsia="zh-CN"/>
                      <w14:textFill>
                        <w14:solidFill>
                          <w14:schemeClr w14:val="tx1"/>
                        </w14:solidFill>
                      </w14:textFill>
                    </w:rPr>
                    <w:t>13482</w:t>
                  </w:r>
                </w:p>
              </w:tc>
              <w:tc>
                <w:tcPr>
                  <w:tcW w:w="1475" w:type="dxa"/>
                  <w:vAlign w:val="center"/>
                </w:tcPr>
                <w:p w14:paraId="1516A004">
                  <w:pPr>
                    <w:pStyle w:val="37"/>
                    <w:ind w:left="0" w:firstLine="0"/>
                    <w:rPr>
                      <w:rFonts w:hint="default" w:cs="Times New Roman"/>
                      <w:b w:val="0"/>
                      <w:bCs w:val="0"/>
                      <w:szCs w:val="24"/>
                      <w:highlight w:val="none"/>
                      <w:lang w:val="en-US" w:eastAsia="zh-CN" w:bidi="ar-SA"/>
                    </w:rPr>
                  </w:pPr>
                  <w:r>
                    <w:rPr>
                      <w:rFonts w:hint="eastAsia" w:cs="Times New Roman"/>
                      <w:b w:val="0"/>
                      <w:bCs w:val="0"/>
                      <w:szCs w:val="24"/>
                      <w:highlight w:val="none"/>
                      <w:lang w:val="en-US" w:eastAsia="zh-CN" w:bidi="ar-SA"/>
                    </w:rPr>
                    <w:t>13527</w:t>
                  </w:r>
                </w:p>
              </w:tc>
              <w:tc>
                <w:tcPr>
                  <w:tcW w:w="1635" w:type="dxa"/>
                  <w:vAlign w:val="center"/>
                </w:tcPr>
                <w:p w14:paraId="6D04F844">
                  <w:pPr>
                    <w:pStyle w:val="37"/>
                    <w:ind w:left="0" w:firstLine="0"/>
                    <w:rPr>
                      <w:rFonts w:hint="default" w:cs="Times New Roman"/>
                      <w:b w:val="0"/>
                      <w:bCs w:val="0"/>
                      <w:szCs w:val="24"/>
                      <w:highlight w:val="none"/>
                      <w:lang w:val="en-US" w:eastAsia="zh-CN" w:bidi="ar-SA"/>
                    </w:rPr>
                  </w:pPr>
                  <w:r>
                    <w:rPr>
                      <w:rFonts w:hint="eastAsia" w:cs="Times New Roman"/>
                      <w:b w:val="0"/>
                      <w:bCs w:val="0"/>
                      <w:szCs w:val="24"/>
                      <w:highlight w:val="none"/>
                      <w:lang w:eastAsia="zh-CN" w:bidi="ar-SA"/>
                    </w:rPr>
                    <w:t>+</w:t>
                  </w:r>
                  <w:r>
                    <w:rPr>
                      <w:rFonts w:hint="eastAsia" w:cs="Times New Roman"/>
                      <w:b w:val="0"/>
                      <w:bCs w:val="0"/>
                      <w:szCs w:val="24"/>
                      <w:highlight w:val="none"/>
                      <w:lang w:val="en-US" w:eastAsia="zh-CN" w:bidi="ar-SA"/>
                    </w:rPr>
                    <w:t>45</w:t>
                  </w:r>
                </w:p>
              </w:tc>
            </w:tr>
            <w:tr w14:paraId="417A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dxa"/>
                  <w:vAlign w:val="center"/>
                </w:tcPr>
                <w:p w14:paraId="3BD969DD">
                  <w:pPr>
                    <w:adjustRightInd w:val="0"/>
                    <w:snapToGrid w:val="0"/>
                    <w:jc w:val="center"/>
                    <w:rPr>
                      <w:color w:val="FF0000"/>
                      <w:szCs w:val="21"/>
                      <w:highlight w:val="none"/>
                    </w:rPr>
                  </w:pPr>
                  <w:r>
                    <w:rPr>
                      <w:rFonts w:hint="eastAsia"/>
                      <w:szCs w:val="21"/>
                      <w:highlight w:val="none"/>
                    </w:rPr>
                    <w:t>2</w:t>
                  </w:r>
                </w:p>
              </w:tc>
              <w:tc>
                <w:tcPr>
                  <w:tcW w:w="1377" w:type="dxa"/>
                  <w:vAlign w:val="center"/>
                </w:tcPr>
                <w:p w14:paraId="1EE6A5D5">
                  <w:pPr>
                    <w:pStyle w:val="37"/>
                    <w:ind w:left="0" w:firstLine="0"/>
                    <w:rPr>
                      <w:rFonts w:cs="Times New Roman"/>
                      <w:b w:val="0"/>
                      <w:bCs w:val="0"/>
                      <w:szCs w:val="24"/>
                      <w:highlight w:val="none"/>
                      <w:lang w:eastAsia="zh-CN" w:bidi="ar-SA"/>
                    </w:rPr>
                  </w:pPr>
                  <w:r>
                    <w:rPr>
                      <w:rFonts w:cs="Times New Roman"/>
                      <w:b w:val="0"/>
                      <w:bCs w:val="0"/>
                      <w:highlight w:val="none"/>
                      <w:lang w:eastAsia="zh-CN"/>
                    </w:rPr>
                    <w:t>电</w:t>
                  </w:r>
                </w:p>
              </w:tc>
              <w:tc>
                <w:tcPr>
                  <w:tcW w:w="784" w:type="dxa"/>
                  <w:vAlign w:val="center"/>
                </w:tcPr>
                <w:p w14:paraId="4A86E7C6">
                  <w:pPr>
                    <w:pStyle w:val="37"/>
                    <w:ind w:left="0" w:firstLine="0"/>
                    <w:rPr>
                      <w:rFonts w:cs="Times New Roman"/>
                      <w:b w:val="0"/>
                      <w:bCs w:val="0"/>
                      <w:szCs w:val="24"/>
                      <w:highlight w:val="none"/>
                      <w:lang w:eastAsia="zh-CN" w:bidi="ar-SA"/>
                    </w:rPr>
                  </w:pPr>
                  <w:r>
                    <w:rPr>
                      <w:rFonts w:cs="Times New Roman"/>
                      <w:b w:val="0"/>
                      <w:bCs w:val="0"/>
                      <w:highlight w:val="none"/>
                      <w:lang w:eastAsia="zh-CN"/>
                    </w:rPr>
                    <w:t>万kw·h/a</w:t>
                  </w:r>
                </w:p>
              </w:tc>
              <w:tc>
                <w:tcPr>
                  <w:tcW w:w="973" w:type="dxa"/>
                  <w:vAlign w:val="center"/>
                </w:tcPr>
                <w:p w14:paraId="7D9246FA">
                  <w:pPr>
                    <w:pStyle w:val="37"/>
                    <w:ind w:left="0" w:firstLine="0"/>
                    <w:rPr>
                      <w:rFonts w:cs="Times New Roman"/>
                      <w:b w:val="0"/>
                      <w:bCs w:val="0"/>
                      <w:highlight w:val="none"/>
                      <w:lang w:eastAsia="zh-CN"/>
                    </w:rPr>
                  </w:pPr>
                  <w:r>
                    <w:rPr>
                      <w:rFonts w:hint="eastAsia" w:cs="Times New Roman"/>
                      <w:b w:val="0"/>
                      <w:bCs w:val="0"/>
                      <w:highlight w:val="none"/>
                      <w:lang w:eastAsia="zh-CN"/>
                    </w:rPr>
                    <w:t>/</w:t>
                  </w:r>
                </w:p>
              </w:tc>
              <w:tc>
                <w:tcPr>
                  <w:tcW w:w="1268" w:type="dxa"/>
                  <w:vAlign w:val="center"/>
                </w:tcPr>
                <w:p w14:paraId="2563B7A2">
                  <w:pPr>
                    <w:keepNext w:val="0"/>
                    <w:keepLines w:val="0"/>
                    <w:pageBreakBefore w:val="0"/>
                    <w:widowControl/>
                    <w:kinsoku w:val="0"/>
                    <w:wordWrap/>
                    <w:overflowPunct/>
                    <w:topLinePunct w:val="0"/>
                    <w:autoSpaceDE w:val="0"/>
                    <w:autoSpaceDN w:val="0"/>
                    <w:bidi w:val="0"/>
                    <w:adjustRightInd w:val="0"/>
                    <w:snapToGrid w:val="0"/>
                    <w:ind w:firstLine="0" w:firstLineChars="0"/>
                    <w:jc w:val="center"/>
                    <w:rPr>
                      <w:rFonts w:cs="Times New Roman"/>
                      <w:b w:val="0"/>
                      <w:bCs w:val="0"/>
                      <w:szCs w:val="24"/>
                      <w:highlight w:val="none"/>
                      <w:lang w:eastAsia="zh-CN" w:bidi="ar-SA"/>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475" w:type="dxa"/>
                  <w:vAlign w:val="center"/>
                </w:tcPr>
                <w:p w14:paraId="4ADFCF16">
                  <w:pPr>
                    <w:pStyle w:val="37"/>
                    <w:ind w:left="0" w:firstLine="0"/>
                    <w:rPr>
                      <w:rFonts w:hint="default" w:cs="Times New Roman"/>
                      <w:b w:val="0"/>
                      <w:bCs w:val="0"/>
                      <w:szCs w:val="24"/>
                      <w:highlight w:val="none"/>
                      <w:lang w:val="en-US" w:eastAsia="zh-CN" w:bidi="ar-SA"/>
                    </w:rPr>
                  </w:pPr>
                  <w:r>
                    <w:rPr>
                      <w:rFonts w:hint="eastAsia" w:cs="Times New Roman"/>
                      <w:b w:val="0"/>
                      <w:bCs w:val="0"/>
                      <w:szCs w:val="24"/>
                      <w:highlight w:val="none"/>
                      <w:lang w:val="en-US" w:eastAsia="zh-CN" w:bidi="ar-SA"/>
                    </w:rPr>
                    <w:t>15</w:t>
                  </w:r>
                </w:p>
              </w:tc>
              <w:tc>
                <w:tcPr>
                  <w:tcW w:w="1635" w:type="dxa"/>
                  <w:vAlign w:val="center"/>
                </w:tcPr>
                <w:p w14:paraId="4B8EA3D9">
                  <w:pPr>
                    <w:pStyle w:val="37"/>
                    <w:ind w:left="0" w:firstLine="0"/>
                    <w:rPr>
                      <w:rFonts w:cs="Times New Roman"/>
                      <w:b w:val="0"/>
                      <w:bCs w:val="0"/>
                      <w:szCs w:val="24"/>
                      <w:highlight w:val="none"/>
                      <w:lang w:eastAsia="zh-CN" w:bidi="ar-SA"/>
                    </w:rPr>
                  </w:pPr>
                  <w:r>
                    <w:rPr>
                      <w:rFonts w:hint="eastAsia" w:cs="Times New Roman"/>
                      <w:b w:val="0"/>
                      <w:bCs w:val="0"/>
                      <w:szCs w:val="24"/>
                      <w:highlight w:val="none"/>
                      <w:lang w:eastAsia="zh-CN" w:bidi="ar-SA"/>
                    </w:rPr>
                    <w:t>+</w:t>
                  </w:r>
                  <w:r>
                    <w:rPr>
                      <w:rFonts w:hint="eastAsia" w:cs="Times New Roman"/>
                      <w:b w:val="0"/>
                      <w:bCs w:val="0"/>
                      <w:szCs w:val="24"/>
                      <w:highlight w:val="none"/>
                      <w:lang w:val="en-US" w:eastAsia="zh-CN" w:bidi="ar-SA"/>
                    </w:rPr>
                    <w:t>5</w:t>
                  </w:r>
                </w:p>
              </w:tc>
            </w:tr>
          </w:tbl>
          <w:p w14:paraId="05DBB315">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-8</w:t>
            </w:r>
            <w:r>
              <w:rPr>
                <w:rFonts w:hint="eastAsia" w:ascii="Times New Roman" w:hAnsi="Times New Roman" w:eastAsia="宋体" w:cs="Times New Roman"/>
                <w:b/>
                <w:bCs/>
                <w:color w:val="auto"/>
                <w:kern w:val="2"/>
                <w:sz w:val="24"/>
                <w:szCs w:val="24"/>
                <w:highlight w:val="none"/>
                <w:lang w:val="en-US" w:eastAsia="zh-CN" w:bidi="ar-SA"/>
              </w:rPr>
              <w:t xml:space="preserve">  本项目项目产品原料一般固体废物分类</w:t>
            </w:r>
          </w:p>
          <w:tbl>
            <w:tblPr>
              <w:tblStyle w:val="28"/>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64"/>
              <w:gridCol w:w="1182"/>
              <w:gridCol w:w="1550"/>
              <w:gridCol w:w="3090"/>
            </w:tblGrid>
            <w:tr w14:paraId="17E74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5" w:type="pct"/>
                  <w:tcBorders>
                    <w:tl2br w:val="nil"/>
                    <w:tr2bl w:val="nil"/>
                  </w:tcBorders>
                  <w:noWrap w:val="0"/>
                  <w:vAlign w:val="center"/>
                </w:tcPr>
                <w:p w14:paraId="2BDE9A5C">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本项目免烧砖原料</w:t>
                  </w:r>
                </w:p>
              </w:tc>
              <w:tc>
                <w:tcPr>
                  <w:tcW w:w="712" w:type="pct"/>
                  <w:tcBorders>
                    <w:tl2br w:val="nil"/>
                    <w:tr2bl w:val="nil"/>
                  </w:tcBorders>
                  <w:noWrap w:val="0"/>
                  <w:vAlign w:val="center"/>
                </w:tcPr>
                <w:p w14:paraId="616AC37C">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类别代码</w:t>
                  </w:r>
                </w:p>
              </w:tc>
              <w:tc>
                <w:tcPr>
                  <w:tcW w:w="723" w:type="pct"/>
                  <w:tcBorders>
                    <w:tl2br w:val="nil"/>
                    <w:tr2bl w:val="nil"/>
                  </w:tcBorders>
                  <w:noWrap w:val="0"/>
                  <w:vAlign w:val="center"/>
                </w:tcPr>
                <w:p w14:paraId="426B143D">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行业来源</w:t>
                  </w:r>
                </w:p>
              </w:tc>
              <w:tc>
                <w:tcPr>
                  <w:tcW w:w="948" w:type="pct"/>
                  <w:tcBorders>
                    <w:tl2br w:val="nil"/>
                    <w:tr2bl w:val="nil"/>
                  </w:tcBorders>
                  <w:noWrap w:val="0"/>
                  <w:vAlign w:val="center"/>
                </w:tcPr>
                <w:p w14:paraId="35602CC5">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废物代码</w:t>
                  </w:r>
                </w:p>
              </w:tc>
              <w:tc>
                <w:tcPr>
                  <w:tcW w:w="1890" w:type="pct"/>
                  <w:tcBorders>
                    <w:tl2br w:val="nil"/>
                    <w:tr2bl w:val="nil"/>
                  </w:tcBorders>
                  <w:noWrap w:val="0"/>
                  <w:vAlign w:val="center"/>
                </w:tcPr>
                <w:p w14:paraId="0E994A44">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vertAlign w:val="baseline"/>
                      <w:lang w:val="en-US" w:eastAsia="zh-CN" w:bidi="ar-SA"/>
                    </w:rPr>
                    <w:t>说明</w:t>
                  </w:r>
                </w:p>
              </w:tc>
            </w:tr>
            <w:tr w14:paraId="1B17B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5" w:type="pct"/>
                  <w:tcBorders>
                    <w:tl2br w:val="nil"/>
                    <w:tr2bl w:val="nil"/>
                  </w:tcBorders>
                  <w:noWrap w:val="0"/>
                  <w:vAlign w:val="center"/>
                </w:tcPr>
                <w:p w14:paraId="7ECECF05">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脱硫石膏</w:t>
                  </w:r>
                </w:p>
              </w:tc>
              <w:tc>
                <w:tcPr>
                  <w:tcW w:w="712" w:type="pct"/>
                  <w:tcBorders>
                    <w:tl2br w:val="nil"/>
                    <w:tr2bl w:val="nil"/>
                  </w:tcBorders>
                  <w:noWrap w:val="0"/>
                  <w:vAlign w:val="center"/>
                </w:tcPr>
                <w:p w14:paraId="75E5709A">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06</w:t>
                  </w:r>
                </w:p>
              </w:tc>
              <w:tc>
                <w:tcPr>
                  <w:tcW w:w="723" w:type="pct"/>
                  <w:tcBorders>
                    <w:tl2br w:val="nil"/>
                    <w:tr2bl w:val="nil"/>
                  </w:tcBorders>
                  <w:noWrap w:val="0"/>
                  <w:vAlign w:val="center"/>
                </w:tcPr>
                <w:p w14:paraId="5637C765">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非特定行业</w:t>
                  </w:r>
                </w:p>
              </w:tc>
              <w:tc>
                <w:tcPr>
                  <w:tcW w:w="948" w:type="pct"/>
                  <w:tcBorders>
                    <w:tl2br w:val="nil"/>
                    <w:tr2bl w:val="nil"/>
                  </w:tcBorders>
                  <w:noWrap w:val="0"/>
                  <w:vAlign w:val="center"/>
                </w:tcPr>
                <w:p w14:paraId="7F5DD035">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441-001-S06</w:t>
                  </w:r>
                </w:p>
              </w:tc>
              <w:tc>
                <w:tcPr>
                  <w:tcW w:w="1890" w:type="pct"/>
                  <w:tcBorders>
                    <w:tl2br w:val="nil"/>
                    <w:tr2bl w:val="nil"/>
                  </w:tcBorders>
                  <w:noWrap w:val="0"/>
                  <w:vAlign w:val="center"/>
                </w:tcPr>
                <w:p w14:paraId="4E3BC7CC">
                  <w:pPr>
                    <w:pageBreakBefore w:val="0"/>
                    <w:widowControl/>
                    <w:kinsoku/>
                    <w:wordWrap/>
                    <w:overflowPunct/>
                    <w:topLinePunct w:val="0"/>
                    <w:bidi w:val="0"/>
                    <w:adjustRightInd w:val="0"/>
                    <w:snapToGrid w:val="0"/>
                    <w:spacing w:line="240" w:lineRule="auto"/>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厂脱硫石膏。火力发电、热电联供行业烟气处理产生的脱硫石膏</w:t>
                  </w: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29812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25" w:type="pct"/>
                  <w:tcBorders>
                    <w:tl2br w:val="nil"/>
                    <w:tr2bl w:val="nil"/>
                  </w:tcBorders>
                  <w:noWrap w:val="0"/>
                  <w:vAlign w:val="center"/>
                </w:tcPr>
                <w:p w14:paraId="49CF4673">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炉渣</w:t>
                  </w:r>
                </w:p>
              </w:tc>
              <w:tc>
                <w:tcPr>
                  <w:tcW w:w="712" w:type="pct"/>
                  <w:tcBorders>
                    <w:tl2br w:val="nil"/>
                    <w:tr2bl w:val="nil"/>
                  </w:tcBorders>
                  <w:noWrap w:val="0"/>
                  <w:vAlign w:val="center"/>
                </w:tcPr>
                <w:p w14:paraId="4F055D0D">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03</w:t>
                  </w:r>
                </w:p>
              </w:tc>
              <w:tc>
                <w:tcPr>
                  <w:tcW w:w="723" w:type="pct"/>
                  <w:tcBorders>
                    <w:tl2br w:val="nil"/>
                    <w:tr2bl w:val="nil"/>
                  </w:tcBorders>
                  <w:noWrap w:val="0"/>
                  <w:vAlign w:val="center"/>
                </w:tcPr>
                <w:p w14:paraId="765F15D2">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非特定行业</w:t>
                  </w:r>
                </w:p>
              </w:tc>
              <w:tc>
                <w:tcPr>
                  <w:tcW w:w="948" w:type="pct"/>
                  <w:tcBorders>
                    <w:tl2br w:val="nil"/>
                    <w:tr2bl w:val="nil"/>
                  </w:tcBorders>
                  <w:noWrap w:val="0"/>
                  <w:vAlign w:val="center"/>
                </w:tcPr>
                <w:p w14:paraId="69E47980">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900-0</w:t>
                  </w:r>
                  <w:r>
                    <w:rPr>
                      <w:rFonts w:hint="eastAsia" w:ascii="Times New Roman" w:hAnsi="Times New Roman" w:eastAsia="宋体" w:cs="Times New Roman"/>
                      <w:color w:val="auto"/>
                      <w:kern w:val="2"/>
                      <w:sz w:val="21"/>
                      <w:szCs w:val="21"/>
                      <w:highlight w:val="none"/>
                      <w:vertAlign w:val="baseline"/>
                      <w:lang w:val="en-US" w:eastAsia="zh-CN" w:bidi="ar-SA"/>
                    </w:rPr>
                    <w:t>01</w:t>
                  </w:r>
                  <w:r>
                    <w:rPr>
                      <w:rFonts w:hint="default" w:ascii="Times New Roman" w:hAnsi="Times New Roman" w:eastAsia="宋体" w:cs="Times New Roman"/>
                      <w:color w:val="auto"/>
                      <w:kern w:val="2"/>
                      <w:sz w:val="21"/>
                      <w:szCs w:val="21"/>
                      <w:highlight w:val="none"/>
                      <w:vertAlign w:val="baseline"/>
                      <w:lang w:val="en-US" w:eastAsia="zh-CN" w:bidi="ar-SA"/>
                    </w:rPr>
                    <w:t>-S03</w:t>
                  </w:r>
                </w:p>
              </w:tc>
              <w:tc>
                <w:tcPr>
                  <w:tcW w:w="1890" w:type="pct"/>
                  <w:tcBorders>
                    <w:tl2br w:val="nil"/>
                    <w:tr2bl w:val="nil"/>
                  </w:tcBorders>
                  <w:noWrap w:val="0"/>
                  <w:vAlign w:val="center"/>
                </w:tcPr>
                <w:p w14:paraId="61F1398A">
                  <w:pPr>
                    <w:pageBreakBefore w:val="0"/>
                    <w:widowControl/>
                    <w:kinsoku/>
                    <w:wordWrap/>
                    <w:overflowPunct/>
                    <w:topLinePunct w:val="0"/>
                    <w:bidi w:val="0"/>
                    <w:adjustRightInd w:val="0"/>
                    <w:snapToGrid w:val="0"/>
                    <w:spacing w:line="240" w:lineRule="auto"/>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炉渣。煤炭燃烧产生的炉渣</w:t>
                  </w:r>
                  <w:r>
                    <w:rPr>
                      <w:rFonts w:hint="eastAsia" w:ascii="Times New Roman" w:hAnsi="Times New Roman" w:eastAsia="宋体" w:cs="Times New Roman"/>
                      <w:color w:val="auto"/>
                      <w:kern w:val="2"/>
                      <w:sz w:val="21"/>
                      <w:szCs w:val="21"/>
                      <w:highlight w:val="none"/>
                      <w:vertAlign w:val="baseline"/>
                      <w:lang w:val="en-US" w:eastAsia="zh-CN" w:bidi="ar-SA"/>
                    </w:rPr>
                    <w:t>。</w:t>
                  </w:r>
                </w:p>
              </w:tc>
            </w:tr>
            <w:tr w14:paraId="0D755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5" w:type="pct"/>
                  <w:vMerge w:val="restart"/>
                  <w:tcBorders>
                    <w:tl2br w:val="nil"/>
                    <w:tr2bl w:val="nil"/>
                  </w:tcBorders>
                  <w:noWrap w:val="0"/>
                  <w:vAlign w:val="center"/>
                </w:tcPr>
                <w:p w14:paraId="594C5783">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污泥</w:t>
                  </w:r>
                </w:p>
              </w:tc>
              <w:tc>
                <w:tcPr>
                  <w:tcW w:w="712" w:type="pct"/>
                  <w:tcBorders>
                    <w:tl2br w:val="nil"/>
                    <w:tr2bl w:val="nil"/>
                  </w:tcBorders>
                  <w:noWrap w:val="0"/>
                  <w:vAlign w:val="center"/>
                </w:tcPr>
                <w:p w14:paraId="57511A34">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07</w:t>
                  </w:r>
                </w:p>
              </w:tc>
              <w:tc>
                <w:tcPr>
                  <w:tcW w:w="723" w:type="pct"/>
                  <w:tcBorders>
                    <w:tl2br w:val="nil"/>
                    <w:tr2bl w:val="nil"/>
                  </w:tcBorders>
                  <w:noWrap w:val="0"/>
                  <w:vAlign w:val="center"/>
                </w:tcPr>
                <w:p w14:paraId="7F5249A5">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非特定行业</w:t>
                  </w:r>
                </w:p>
              </w:tc>
              <w:tc>
                <w:tcPr>
                  <w:tcW w:w="948" w:type="pct"/>
                  <w:tcBorders>
                    <w:tl2br w:val="nil"/>
                    <w:tr2bl w:val="nil"/>
                  </w:tcBorders>
                  <w:noWrap w:val="0"/>
                  <w:vAlign w:val="center"/>
                </w:tcPr>
                <w:p w14:paraId="68F91735">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900-099-S07</w:t>
                  </w:r>
                </w:p>
              </w:tc>
              <w:tc>
                <w:tcPr>
                  <w:tcW w:w="1890" w:type="pct"/>
                  <w:tcBorders>
                    <w:tl2br w:val="nil"/>
                    <w:tr2bl w:val="nil"/>
                  </w:tcBorders>
                  <w:noWrap w:val="0"/>
                  <w:vAlign w:val="center"/>
                </w:tcPr>
                <w:p w14:paraId="03226390">
                  <w:pPr>
                    <w:pageBreakBefore w:val="0"/>
                    <w:widowControl/>
                    <w:kinsoku/>
                    <w:wordWrap/>
                    <w:overflowPunct/>
                    <w:topLinePunct w:val="0"/>
                    <w:bidi w:val="0"/>
                    <w:adjustRightInd w:val="0"/>
                    <w:snapToGrid w:val="0"/>
                    <w:spacing w:line="240" w:lineRule="auto"/>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其他污泥。其他行业产生的废水处理污泥。</w:t>
                  </w:r>
                </w:p>
              </w:tc>
            </w:tr>
            <w:tr w14:paraId="1077D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5" w:type="pct"/>
                  <w:vMerge w:val="continue"/>
                  <w:tcBorders>
                    <w:tl2br w:val="nil"/>
                    <w:tr2bl w:val="nil"/>
                  </w:tcBorders>
                  <w:noWrap w:val="0"/>
                  <w:vAlign w:val="center"/>
                </w:tcPr>
                <w:p w14:paraId="48F3ADE6">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712" w:type="pct"/>
                  <w:tcBorders>
                    <w:tl2br w:val="nil"/>
                    <w:tr2bl w:val="nil"/>
                  </w:tcBorders>
                  <w:noWrap w:val="0"/>
                  <w:vAlign w:val="center"/>
                </w:tcPr>
                <w:p w14:paraId="3BE7E1BA">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90</w:t>
                  </w:r>
                </w:p>
              </w:tc>
              <w:tc>
                <w:tcPr>
                  <w:tcW w:w="723" w:type="pct"/>
                  <w:tcBorders>
                    <w:tl2br w:val="nil"/>
                    <w:tr2bl w:val="nil"/>
                  </w:tcBorders>
                  <w:noWrap w:val="0"/>
                  <w:vAlign w:val="center"/>
                </w:tcPr>
                <w:p w14:paraId="0CE67DC5">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非特定行业</w:t>
                  </w:r>
                </w:p>
              </w:tc>
              <w:tc>
                <w:tcPr>
                  <w:tcW w:w="948" w:type="pct"/>
                  <w:tcBorders>
                    <w:tl2br w:val="nil"/>
                    <w:tr2bl w:val="nil"/>
                  </w:tcBorders>
                  <w:noWrap w:val="0"/>
                  <w:vAlign w:val="center"/>
                </w:tcPr>
                <w:p w14:paraId="6BAE93DD">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4</w:t>
                  </w:r>
                  <w:r>
                    <w:rPr>
                      <w:rFonts w:hint="default" w:ascii="Times New Roman" w:hAnsi="Times New Roman" w:eastAsia="宋体" w:cs="Times New Roman"/>
                      <w:color w:val="auto"/>
                      <w:kern w:val="2"/>
                      <w:sz w:val="21"/>
                      <w:szCs w:val="21"/>
                      <w:highlight w:val="none"/>
                      <w:vertAlign w:val="baseline"/>
                      <w:lang w:val="en-US" w:eastAsia="zh-CN" w:bidi="ar-SA"/>
                    </w:rPr>
                    <w:t>62-001-S90</w:t>
                  </w:r>
                </w:p>
              </w:tc>
              <w:tc>
                <w:tcPr>
                  <w:tcW w:w="1890" w:type="pct"/>
                  <w:tcBorders>
                    <w:tl2br w:val="nil"/>
                    <w:tr2bl w:val="nil"/>
                  </w:tcBorders>
                  <w:noWrap w:val="0"/>
                  <w:vAlign w:val="center"/>
                </w:tcPr>
                <w:p w14:paraId="55CE69F7">
                  <w:pPr>
                    <w:pageBreakBefore w:val="0"/>
                    <w:widowControl/>
                    <w:kinsoku/>
                    <w:wordWrap/>
                    <w:overflowPunct/>
                    <w:topLinePunct w:val="0"/>
                    <w:bidi w:val="0"/>
                    <w:adjustRightInd w:val="0"/>
                    <w:snapToGrid w:val="0"/>
                    <w:spacing w:line="240" w:lineRule="auto"/>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污水污泥。未接纳工业废水的城镇污水处理厂产生的污泥</w:t>
                  </w:r>
                </w:p>
              </w:tc>
            </w:tr>
            <w:tr w14:paraId="3F941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725" w:type="pct"/>
                  <w:tcBorders>
                    <w:tl2br w:val="nil"/>
                    <w:tr2bl w:val="nil"/>
                  </w:tcBorders>
                  <w:noWrap w:val="0"/>
                  <w:vAlign w:val="center"/>
                </w:tcPr>
                <w:p w14:paraId="482C05A2">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尾矿</w:t>
                  </w:r>
                </w:p>
              </w:tc>
              <w:tc>
                <w:tcPr>
                  <w:tcW w:w="712" w:type="pct"/>
                  <w:tcBorders>
                    <w:tl2br w:val="nil"/>
                    <w:tr2bl w:val="nil"/>
                  </w:tcBorders>
                  <w:noWrap w:val="0"/>
                  <w:vAlign w:val="center"/>
                </w:tcPr>
                <w:p w14:paraId="482E330B">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723" w:type="pct"/>
                  <w:tcBorders>
                    <w:tl2br w:val="nil"/>
                    <w:tr2bl w:val="nil"/>
                  </w:tcBorders>
                  <w:noWrap w:val="0"/>
                  <w:vAlign w:val="center"/>
                </w:tcPr>
                <w:p w14:paraId="6B94A0C3">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非特定行业</w:t>
                  </w:r>
                </w:p>
              </w:tc>
              <w:tc>
                <w:tcPr>
                  <w:tcW w:w="948" w:type="pct"/>
                  <w:tcBorders>
                    <w:tl2br w:val="nil"/>
                    <w:tr2bl w:val="nil"/>
                  </w:tcBorders>
                  <w:noWrap w:val="0"/>
                  <w:vAlign w:val="center"/>
                </w:tcPr>
                <w:p w14:paraId="5099362A">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900-099-S05</w:t>
                  </w:r>
                </w:p>
              </w:tc>
              <w:tc>
                <w:tcPr>
                  <w:tcW w:w="1890" w:type="pct"/>
                  <w:tcBorders>
                    <w:tl2br w:val="nil"/>
                    <w:tr2bl w:val="nil"/>
                  </w:tcBorders>
                  <w:noWrap w:val="0"/>
                  <w:vAlign w:val="center"/>
                </w:tcPr>
                <w:p w14:paraId="5CFF619F">
                  <w:pPr>
                    <w:pageBreakBefore w:val="0"/>
                    <w:widowControl/>
                    <w:kinsoku/>
                    <w:wordWrap/>
                    <w:overflowPunct/>
                    <w:topLinePunct w:val="0"/>
                    <w:bidi w:val="0"/>
                    <w:adjustRightInd w:val="0"/>
                    <w:snapToGrid w:val="0"/>
                    <w:spacing w:line="240" w:lineRule="auto"/>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其他尾矿。其他采选业产生的尾矿。</w:t>
                  </w:r>
                </w:p>
              </w:tc>
            </w:tr>
            <w:tr w14:paraId="55044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725" w:type="pct"/>
                  <w:tcBorders>
                    <w:tl2br w:val="nil"/>
                    <w:tr2bl w:val="nil"/>
                  </w:tcBorders>
                  <w:noWrap w:val="0"/>
                  <w:vAlign w:val="center"/>
                </w:tcPr>
                <w:p w14:paraId="469CC433">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草木灰、锯末</w:t>
                  </w:r>
                </w:p>
              </w:tc>
              <w:tc>
                <w:tcPr>
                  <w:tcW w:w="712" w:type="pct"/>
                  <w:tcBorders>
                    <w:tl2br w:val="nil"/>
                    <w:tr2bl w:val="nil"/>
                  </w:tcBorders>
                  <w:noWrap w:val="0"/>
                  <w:vAlign w:val="center"/>
                </w:tcPr>
                <w:p w14:paraId="24C5A8ED">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59</w:t>
                  </w:r>
                </w:p>
              </w:tc>
              <w:tc>
                <w:tcPr>
                  <w:tcW w:w="723" w:type="pct"/>
                  <w:tcBorders>
                    <w:tl2br w:val="nil"/>
                    <w:tr2bl w:val="nil"/>
                  </w:tcBorders>
                  <w:noWrap w:val="0"/>
                  <w:vAlign w:val="center"/>
                </w:tcPr>
                <w:p w14:paraId="494223AA">
                  <w:pPr>
                    <w:pageBreakBefore w:val="0"/>
                    <w:widowControl/>
                    <w:kinsoku/>
                    <w:wordWrap/>
                    <w:overflowPunct/>
                    <w:topLinePunct w:val="0"/>
                    <w:bidi w:val="0"/>
                    <w:adjustRightInd w:val="0"/>
                    <w:snapToGrid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非特定行业</w:t>
                  </w:r>
                </w:p>
              </w:tc>
              <w:tc>
                <w:tcPr>
                  <w:tcW w:w="948" w:type="pct"/>
                  <w:tcBorders>
                    <w:tl2br w:val="nil"/>
                    <w:tr2bl w:val="nil"/>
                  </w:tcBorders>
                  <w:noWrap w:val="0"/>
                  <w:vAlign w:val="center"/>
                </w:tcPr>
                <w:p w14:paraId="3852A095">
                  <w:pPr>
                    <w:pageBreakBefore w:val="0"/>
                    <w:widowControl/>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900-099-S</w:t>
                  </w:r>
                  <w:r>
                    <w:rPr>
                      <w:rFonts w:hint="eastAsia" w:cs="Times New Roman"/>
                      <w:color w:val="auto"/>
                      <w:kern w:val="2"/>
                      <w:sz w:val="21"/>
                      <w:szCs w:val="21"/>
                      <w:highlight w:val="none"/>
                      <w:vertAlign w:val="baseline"/>
                      <w:lang w:val="en-US" w:eastAsia="zh-CN" w:bidi="ar-SA"/>
                    </w:rPr>
                    <w:t>59</w:t>
                  </w:r>
                </w:p>
              </w:tc>
              <w:tc>
                <w:tcPr>
                  <w:tcW w:w="1890" w:type="pct"/>
                  <w:tcBorders>
                    <w:tl2br w:val="nil"/>
                    <w:tr2bl w:val="nil"/>
                  </w:tcBorders>
                  <w:noWrap w:val="0"/>
                  <w:vAlign w:val="center"/>
                </w:tcPr>
                <w:p w14:paraId="04271BF3">
                  <w:pPr>
                    <w:keepNext w:val="0"/>
                    <w:keepLines w:val="0"/>
                    <w:widowControl/>
                    <w:suppressLineNumbers w:val="0"/>
                    <w:jc w:val="left"/>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eastAsia="宋体" w:cs="宋体"/>
                      <w:color w:val="000000"/>
                      <w:kern w:val="0"/>
                      <w:sz w:val="21"/>
                      <w:szCs w:val="21"/>
                      <w:lang w:val="en-US" w:eastAsia="zh-CN" w:bidi="ar"/>
                    </w:rPr>
                    <w:t>其他工业生产过程中产生的固体废物。</w:t>
                  </w:r>
                </w:p>
              </w:tc>
            </w:tr>
          </w:tbl>
          <w:p w14:paraId="1D4C247B">
            <w:pPr>
              <w:bidi w:val="0"/>
              <w:spacing w:line="360" w:lineRule="auto"/>
              <w:rPr>
                <w:rFonts w:hint="eastAsia"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备注：</w:t>
            </w:r>
            <w:r>
              <w:rPr>
                <w:rFonts w:hint="eastAsia" w:ascii="Times New Roman" w:hAnsi="Times New Roman" w:eastAsia="宋体" w:cs="Times New Roman"/>
                <w:b/>
                <w:bCs/>
                <w:color w:val="auto"/>
                <w:sz w:val="21"/>
                <w:szCs w:val="21"/>
                <w:u w:val="none" w:color="auto"/>
                <w:lang w:val="en-US" w:eastAsia="zh-CN"/>
              </w:rPr>
              <w:t>1、对照《一般固体废物分类》（GBT39198-2020）进行分类，</w:t>
            </w:r>
          </w:p>
          <w:p w14:paraId="253D770D">
            <w:pPr>
              <w:bidi w:val="0"/>
              <w:spacing w:line="360" w:lineRule="auto"/>
              <w:rPr>
                <w:rFonts w:hint="eastAsia"/>
                <w:b/>
                <w:bCs/>
                <w:color w:val="0000FF"/>
                <w:sz w:val="21"/>
                <w:szCs w:val="21"/>
              </w:rPr>
            </w:pPr>
            <w:r>
              <w:rPr>
                <w:rFonts w:hint="eastAsia" w:ascii="Times New Roman" w:hAnsi="Times New Roman" w:eastAsia="宋体" w:cs="Times New Roman"/>
                <w:b/>
                <w:bCs/>
                <w:color w:val="auto"/>
                <w:sz w:val="21"/>
                <w:szCs w:val="21"/>
                <w:u w:val="none" w:color="auto"/>
                <w:lang w:val="en-US" w:eastAsia="zh-CN"/>
              </w:rPr>
              <w:t>2、</w:t>
            </w:r>
            <w:r>
              <w:rPr>
                <w:rFonts w:hint="default" w:ascii="Times New Roman" w:hAnsi="Times New Roman" w:eastAsia="宋体" w:cs="Times New Roman"/>
                <w:b/>
                <w:bCs/>
                <w:color w:val="auto"/>
                <w:sz w:val="21"/>
                <w:szCs w:val="21"/>
                <w:u w:val="none" w:color="auto"/>
                <w:lang w:val="en-US" w:eastAsia="zh-CN"/>
              </w:rPr>
              <w:t>所有原料不得回收处置危险废物</w:t>
            </w:r>
          </w:p>
          <w:p w14:paraId="507F6DA0">
            <w:pPr>
              <w:adjustRightInd w:val="0"/>
              <w:snapToGrid w:val="0"/>
              <w:spacing w:before="120" w:beforeLines="50" w:line="360" w:lineRule="auto"/>
              <w:rPr>
                <w:b/>
                <w:bCs/>
                <w:color w:val="auto"/>
                <w:sz w:val="24"/>
              </w:rPr>
            </w:pPr>
            <w:r>
              <w:rPr>
                <w:rFonts w:hint="eastAsia"/>
                <w:b/>
                <w:bCs/>
                <w:color w:val="auto"/>
                <w:sz w:val="24"/>
              </w:rPr>
              <w:t>5、水平衡</w:t>
            </w:r>
          </w:p>
          <w:p w14:paraId="11C8DD5D">
            <w:pPr>
              <w:adjustRightInd w:val="0"/>
              <w:snapToGrid w:val="0"/>
              <w:spacing w:line="360" w:lineRule="auto"/>
              <w:ind w:firstLine="480" w:firstLineChars="200"/>
              <w:jc w:val="left"/>
              <w:rPr>
                <w:sz w:val="24"/>
              </w:rPr>
            </w:pPr>
            <w:r>
              <w:rPr>
                <w:rFonts w:hint="eastAsia"/>
                <w:sz w:val="24"/>
              </w:rPr>
              <w:t>本</w:t>
            </w:r>
            <w:r>
              <w:rPr>
                <w:sz w:val="24"/>
              </w:rPr>
              <w:t>项目</w:t>
            </w:r>
            <w:r>
              <w:rPr>
                <w:rFonts w:hint="eastAsia"/>
                <w:sz w:val="24"/>
              </w:rPr>
              <w:t>营运过程中用水主要为职工生活用水。产生的废水主要为生活污水。</w:t>
            </w:r>
          </w:p>
          <w:p w14:paraId="0E8E39EF">
            <w:pPr>
              <w:adjustRightInd w:val="0"/>
              <w:snapToGrid w:val="0"/>
              <w:spacing w:line="360" w:lineRule="auto"/>
              <w:ind w:firstLine="480" w:firstLineChars="200"/>
              <w:jc w:val="left"/>
              <w:rPr>
                <w:sz w:val="24"/>
              </w:rPr>
            </w:pPr>
            <w:r>
              <w:rPr>
                <w:rFonts w:hint="eastAsia"/>
                <w:sz w:val="24"/>
              </w:rPr>
              <w:t>（1）生活用水</w:t>
            </w:r>
          </w:p>
          <w:p w14:paraId="73DC2A5E">
            <w:pPr>
              <w:spacing w:line="360" w:lineRule="auto"/>
              <w:ind w:firstLine="480" w:firstLineChars="200"/>
              <w:jc w:val="left"/>
              <w:rPr>
                <w:color w:val="auto"/>
                <w:sz w:val="24"/>
              </w:rPr>
            </w:pPr>
            <w:r>
              <w:rPr>
                <w:color w:val="auto"/>
                <w:sz w:val="24"/>
              </w:rPr>
              <w:t>本项目职工定员</w:t>
            </w:r>
            <w:r>
              <w:rPr>
                <w:rFonts w:hint="eastAsia"/>
                <w:color w:val="auto"/>
                <w:sz w:val="24"/>
                <w:lang w:val="en-US" w:eastAsia="zh-CN"/>
              </w:rPr>
              <w:t>3</w:t>
            </w:r>
            <w:r>
              <w:rPr>
                <w:rFonts w:hint="eastAsia"/>
                <w:color w:val="auto"/>
                <w:sz w:val="24"/>
              </w:rPr>
              <w:t>人，</w:t>
            </w:r>
            <w:r>
              <w:rPr>
                <w:color w:val="auto"/>
                <w:sz w:val="24"/>
              </w:rPr>
              <w:t>厂区不提供食宿。根据《</w:t>
            </w:r>
            <w:r>
              <w:rPr>
                <w:rFonts w:hint="eastAsia"/>
                <w:color w:val="auto"/>
                <w:sz w:val="24"/>
                <w:lang w:eastAsia="zh-CN"/>
              </w:rPr>
              <w:t>宿州市</w:t>
            </w:r>
            <w:r>
              <w:rPr>
                <w:color w:val="auto"/>
                <w:sz w:val="24"/>
              </w:rPr>
              <w:t>行业用水定额》（</w:t>
            </w:r>
            <w:r>
              <w:rPr>
                <w:rFonts w:hint="eastAsia"/>
                <w:color w:val="auto"/>
                <w:sz w:val="24"/>
              </w:rPr>
              <w:t>DB3413T 0001-2020</w:t>
            </w:r>
            <w:r>
              <w:rPr>
                <w:color w:val="auto"/>
                <w:sz w:val="24"/>
              </w:rPr>
              <w:t>），工作人员生活用水以</w:t>
            </w:r>
            <w:r>
              <w:rPr>
                <w:rFonts w:hint="eastAsia"/>
                <w:color w:val="auto"/>
                <w:sz w:val="24"/>
                <w:lang w:val="en-US" w:eastAsia="zh-CN"/>
              </w:rPr>
              <w:t>7</w:t>
            </w:r>
            <w:r>
              <w:rPr>
                <w:color w:val="auto"/>
                <w:sz w:val="24"/>
              </w:rPr>
              <w:t>0L/人d计，年工作时间3</w:t>
            </w:r>
            <w:r>
              <w:rPr>
                <w:rFonts w:hint="eastAsia"/>
                <w:color w:val="auto"/>
                <w:sz w:val="24"/>
              </w:rPr>
              <w:t>00</w:t>
            </w:r>
            <w:r>
              <w:rPr>
                <w:color w:val="auto"/>
                <w:sz w:val="24"/>
              </w:rPr>
              <w:t>天</w:t>
            </w:r>
            <w:r>
              <w:rPr>
                <w:rFonts w:hint="eastAsia"/>
                <w:color w:val="auto"/>
                <w:sz w:val="24"/>
              </w:rPr>
              <w:t>。</w:t>
            </w:r>
            <w:r>
              <w:rPr>
                <w:color w:val="auto"/>
                <w:sz w:val="24"/>
              </w:rPr>
              <w:t>则生活用水量为</w:t>
            </w:r>
            <w:r>
              <w:rPr>
                <w:rFonts w:hint="eastAsia"/>
                <w:color w:val="auto"/>
                <w:sz w:val="24"/>
              </w:rPr>
              <w:t>0.</w:t>
            </w:r>
            <w:r>
              <w:rPr>
                <w:rFonts w:hint="eastAsia"/>
                <w:color w:val="auto"/>
                <w:sz w:val="24"/>
                <w:lang w:val="en-US" w:eastAsia="zh-CN"/>
              </w:rPr>
              <w:t>21</w:t>
            </w:r>
            <w:r>
              <w:rPr>
                <w:color w:val="auto"/>
                <w:sz w:val="24"/>
              </w:rPr>
              <w:t>t/d（</w:t>
            </w:r>
            <w:r>
              <w:rPr>
                <w:rFonts w:hint="eastAsia"/>
                <w:color w:val="auto"/>
                <w:sz w:val="24"/>
                <w:lang w:val="en-US" w:eastAsia="zh-CN"/>
              </w:rPr>
              <w:t>63</w:t>
            </w:r>
            <w:r>
              <w:rPr>
                <w:color w:val="auto"/>
                <w:sz w:val="24"/>
              </w:rPr>
              <w:t>t/a）</w:t>
            </w:r>
            <w:r>
              <w:rPr>
                <w:rFonts w:hint="eastAsia"/>
                <w:color w:val="auto"/>
                <w:sz w:val="24"/>
              </w:rPr>
              <w:t>，</w:t>
            </w:r>
            <w:r>
              <w:rPr>
                <w:color w:val="auto"/>
                <w:sz w:val="24"/>
              </w:rPr>
              <w:t>生活污水量按照用水量的80%计算，则</w:t>
            </w:r>
            <w:r>
              <w:rPr>
                <w:rFonts w:hint="eastAsia"/>
                <w:color w:val="auto"/>
                <w:sz w:val="24"/>
              </w:rPr>
              <w:t>项目</w:t>
            </w:r>
            <w:r>
              <w:rPr>
                <w:color w:val="auto"/>
                <w:sz w:val="24"/>
              </w:rPr>
              <w:t>生活污水产生量约为</w:t>
            </w:r>
            <w:r>
              <w:rPr>
                <w:rFonts w:hint="eastAsia"/>
                <w:color w:val="auto"/>
                <w:sz w:val="24"/>
                <w:lang w:val="en-US" w:eastAsia="zh-CN"/>
              </w:rPr>
              <w:t>0.17</w:t>
            </w:r>
            <w:r>
              <w:rPr>
                <w:color w:val="auto"/>
                <w:sz w:val="24"/>
              </w:rPr>
              <w:t>t/d（</w:t>
            </w:r>
            <w:r>
              <w:rPr>
                <w:rFonts w:hint="eastAsia"/>
                <w:color w:val="auto"/>
                <w:sz w:val="24"/>
                <w:lang w:val="en-US" w:eastAsia="zh-CN"/>
              </w:rPr>
              <w:t>51</w:t>
            </w:r>
            <w:r>
              <w:rPr>
                <w:color w:val="auto"/>
                <w:sz w:val="24"/>
              </w:rPr>
              <w:t>t/a）。废水主要污染物因子为COD、SS、BOD</w:t>
            </w:r>
            <w:r>
              <w:rPr>
                <w:color w:val="auto"/>
                <w:sz w:val="24"/>
                <w:vertAlign w:val="subscript"/>
              </w:rPr>
              <w:t>5</w:t>
            </w:r>
            <w:r>
              <w:rPr>
                <w:color w:val="auto"/>
                <w:sz w:val="24"/>
              </w:rPr>
              <w:t>、NH</w:t>
            </w:r>
            <w:r>
              <w:rPr>
                <w:color w:val="auto"/>
                <w:sz w:val="24"/>
                <w:vertAlign w:val="subscript"/>
              </w:rPr>
              <w:t>3</w:t>
            </w:r>
            <w:r>
              <w:rPr>
                <w:color w:val="auto"/>
                <w:sz w:val="24"/>
              </w:rPr>
              <w:t>-N。本项目生活污水中主要污染指标浓度选取为：COD</w:t>
            </w:r>
            <w:r>
              <w:rPr>
                <w:rFonts w:hint="eastAsia"/>
                <w:color w:val="auto"/>
                <w:sz w:val="24"/>
              </w:rPr>
              <w:t xml:space="preserve"> 400</w:t>
            </w:r>
            <w:r>
              <w:rPr>
                <w:color w:val="auto"/>
                <w:sz w:val="24"/>
              </w:rPr>
              <w:t>mg/L、SS</w:t>
            </w:r>
            <w:r>
              <w:rPr>
                <w:rFonts w:hint="eastAsia"/>
                <w:color w:val="auto"/>
                <w:sz w:val="24"/>
              </w:rPr>
              <w:t>15</w:t>
            </w:r>
            <w:r>
              <w:rPr>
                <w:color w:val="auto"/>
                <w:sz w:val="24"/>
              </w:rPr>
              <w:t>0mg/L、BOD</w:t>
            </w:r>
            <w:r>
              <w:rPr>
                <w:color w:val="auto"/>
                <w:sz w:val="24"/>
                <w:vertAlign w:val="subscript"/>
              </w:rPr>
              <w:t>5</w:t>
            </w:r>
            <w:r>
              <w:rPr>
                <w:rFonts w:hint="eastAsia"/>
                <w:color w:val="auto"/>
                <w:sz w:val="24"/>
              </w:rPr>
              <w:t>15</w:t>
            </w:r>
            <w:r>
              <w:rPr>
                <w:color w:val="auto"/>
                <w:sz w:val="24"/>
              </w:rPr>
              <w:t>0mg/L、NH</w:t>
            </w:r>
            <w:r>
              <w:rPr>
                <w:color w:val="auto"/>
                <w:sz w:val="24"/>
                <w:vertAlign w:val="subscript"/>
              </w:rPr>
              <w:t>3</w:t>
            </w:r>
            <w:r>
              <w:rPr>
                <w:color w:val="auto"/>
                <w:sz w:val="24"/>
              </w:rPr>
              <w:t>-N3</w:t>
            </w:r>
            <w:r>
              <w:rPr>
                <w:rFonts w:hint="eastAsia"/>
                <w:color w:val="auto"/>
                <w:sz w:val="24"/>
              </w:rPr>
              <w:t>5</w:t>
            </w:r>
            <w:r>
              <w:rPr>
                <w:color w:val="auto"/>
                <w:sz w:val="24"/>
              </w:rPr>
              <w:t>mg/L。</w:t>
            </w:r>
            <w:r>
              <w:rPr>
                <w:rFonts w:hint="eastAsia"/>
                <w:color w:val="auto"/>
                <w:sz w:val="24"/>
              </w:rPr>
              <w:t>生活污水经化粪池处理后定期清掏用作周边农田施肥，不外排至环境水体中</w:t>
            </w:r>
            <w:r>
              <w:rPr>
                <w:color w:val="auto"/>
                <w:sz w:val="24"/>
              </w:rPr>
              <w:t>。</w:t>
            </w:r>
          </w:p>
          <w:p w14:paraId="3A4CA602">
            <w:pPr>
              <w:pStyle w:val="2"/>
              <w:snapToGrid w:val="0"/>
              <w:spacing w:after="0" w:line="360" w:lineRule="auto"/>
              <w:ind w:left="0" w:leftChars="0" w:firstLine="0"/>
              <w:jc w:val="center"/>
              <w:rPr>
                <w:szCs w:val="24"/>
              </w:rPr>
            </w:pPr>
            <w:r>
              <w:rPr>
                <w:szCs w:val="24"/>
              </w:rPr>
              <w:object>
                <v:shape id="_x0000_i1025" o:spt="75" type="#_x0000_t75" style="height:50.9pt;width:293.8pt;" o:ole="t" filled="f" o:preferrelative="t" stroked="f" coordsize="21600,21600">
                  <v:path/>
                  <v:fill on="f" focussize="0,0"/>
                  <v:stroke on="f"/>
                  <v:imagedata r:id="rId8" cropright="16361f" o:title=""/>
                  <o:lock v:ext="edit" aspectratio="f"/>
                  <w10:wrap type="none"/>
                  <w10:anchorlock/>
                </v:shape>
                <o:OLEObject Type="Embed" ProgID="Visio.Drawing.11" ShapeID="_x0000_i1025" DrawAspect="Content" ObjectID="_1468075725" r:id="rId7">
                  <o:LockedField>false</o:LockedField>
                </o:OLEObject>
              </w:object>
            </w:r>
          </w:p>
          <w:p w14:paraId="40B7CFEB">
            <w:pPr>
              <w:pStyle w:val="2"/>
              <w:snapToGrid w:val="0"/>
              <w:spacing w:after="0" w:line="360" w:lineRule="auto"/>
              <w:ind w:left="0" w:leftChars="0" w:firstLine="0"/>
              <w:jc w:val="center"/>
              <w:rPr>
                <w:b/>
                <w:bCs/>
                <w:szCs w:val="24"/>
              </w:rPr>
            </w:pPr>
            <w:r>
              <w:rPr>
                <w:b/>
                <w:bCs/>
                <w:szCs w:val="24"/>
              </w:rPr>
              <w:t>图</w:t>
            </w:r>
            <w:r>
              <w:rPr>
                <w:rFonts w:hint="eastAsia"/>
                <w:b/>
                <w:bCs/>
                <w:szCs w:val="24"/>
              </w:rPr>
              <w:t>2</w:t>
            </w:r>
            <w:r>
              <w:rPr>
                <w:rFonts w:hint="eastAsia"/>
                <w:b/>
                <w:bCs/>
                <w:szCs w:val="24"/>
                <w:lang w:val="en-US" w:eastAsia="zh-CN"/>
              </w:rPr>
              <w:t>-</w:t>
            </w:r>
            <w:r>
              <w:rPr>
                <w:rFonts w:hint="eastAsia"/>
                <w:b/>
                <w:bCs/>
                <w:szCs w:val="24"/>
              </w:rPr>
              <w:t>1</w:t>
            </w:r>
            <w:r>
              <w:rPr>
                <w:b/>
                <w:bCs/>
                <w:szCs w:val="24"/>
              </w:rPr>
              <w:t xml:space="preserve">  </w:t>
            </w:r>
            <w:r>
              <w:rPr>
                <w:rFonts w:hint="eastAsia"/>
                <w:b/>
                <w:bCs/>
                <w:szCs w:val="24"/>
              </w:rPr>
              <w:t>本</w:t>
            </w:r>
            <w:r>
              <w:rPr>
                <w:b/>
                <w:bCs/>
                <w:szCs w:val="24"/>
              </w:rPr>
              <w:t>项目水平衡图 单位：t/d</w:t>
            </w:r>
          </w:p>
          <w:p w14:paraId="3E02AB4B">
            <w:pPr>
              <w:pStyle w:val="2"/>
              <w:ind w:left="0" w:leftChars="0" w:firstLine="0"/>
              <w:jc w:val="center"/>
              <w:rPr>
                <w:b/>
                <w:bCs/>
                <w:szCs w:val="24"/>
              </w:rPr>
            </w:pPr>
            <w:r>
              <w:rPr>
                <w:b/>
                <w:bCs/>
                <w:szCs w:val="24"/>
              </w:rPr>
              <w:object>
                <v:shape id="_x0000_i1026" o:spt="75" type="#_x0000_t75" style="height:335.15pt;width:409.55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0FCD1D74">
            <w:pPr>
              <w:pStyle w:val="2"/>
              <w:snapToGrid w:val="0"/>
              <w:spacing w:after="0" w:line="360" w:lineRule="auto"/>
              <w:ind w:left="0" w:leftChars="0" w:firstLine="0"/>
              <w:jc w:val="center"/>
              <w:rPr>
                <w:b/>
                <w:bCs/>
                <w:szCs w:val="24"/>
              </w:rPr>
            </w:pPr>
            <w:r>
              <w:rPr>
                <w:b/>
                <w:bCs/>
                <w:szCs w:val="24"/>
              </w:rPr>
              <w:t>图</w:t>
            </w:r>
            <w:r>
              <w:rPr>
                <w:rFonts w:hint="eastAsia"/>
                <w:b/>
                <w:bCs/>
                <w:szCs w:val="24"/>
              </w:rPr>
              <w:t>2</w:t>
            </w:r>
            <w:r>
              <w:rPr>
                <w:rFonts w:hint="eastAsia"/>
                <w:b/>
                <w:bCs/>
                <w:szCs w:val="24"/>
                <w:lang w:val="en-US" w:eastAsia="zh-CN"/>
              </w:rPr>
              <w:t>-</w:t>
            </w:r>
            <w:r>
              <w:rPr>
                <w:rFonts w:hint="eastAsia"/>
                <w:b/>
                <w:bCs/>
                <w:szCs w:val="24"/>
              </w:rPr>
              <w:t xml:space="preserve">2 </w:t>
            </w:r>
            <w:r>
              <w:rPr>
                <w:b/>
                <w:bCs/>
                <w:szCs w:val="24"/>
              </w:rPr>
              <w:t xml:space="preserve"> </w:t>
            </w:r>
            <w:r>
              <w:rPr>
                <w:rFonts w:hint="eastAsia"/>
                <w:b/>
                <w:bCs/>
                <w:szCs w:val="24"/>
              </w:rPr>
              <w:t>全厂</w:t>
            </w:r>
            <w:r>
              <w:rPr>
                <w:b/>
                <w:bCs/>
                <w:szCs w:val="24"/>
              </w:rPr>
              <w:t>水平衡图 单位：t/d</w:t>
            </w:r>
          </w:p>
          <w:p w14:paraId="2D8D0251">
            <w:pPr>
              <w:adjustRightInd w:val="0"/>
              <w:snapToGrid w:val="0"/>
              <w:spacing w:line="360" w:lineRule="auto"/>
              <w:rPr>
                <w:b/>
                <w:bCs/>
                <w:kern w:val="0"/>
                <w:sz w:val="24"/>
              </w:rPr>
            </w:pPr>
            <w:r>
              <w:rPr>
                <w:rFonts w:hint="eastAsia"/>
                <w:b/>
                <w:bCs/>
                <w:kern w:val="0"/>
                <w:sz w:val="24"/>
              </w:rPr>
              <w:t>6、</w:t>
            </w:r>
            <w:r>
              <w:rPr>
                <w:b/>
                <w:bCs/>
                <w:kern w:val="0"/>
                <w:sz w:val="24"/>
              </w:rPr>
              <w:t>劳动定员及工作制度</w:t>
            </w:r>
          </w:p>
          <w:p w14:paraId="1062CB2D">
            <w:pPr>
              <w:adjustRightInd w:val="0"/>
              <w:snapToGrid w:val="0"/>
              <w:spacing w:line="360" w:lineRule="auto"/>
              <w:ind w:firstLine="480" w:firstLineChars="200"/>
              <w:rPr>
                <w:kern w:val="0"/>
                <w:sz w:val="24"/>
              </w:rPr>
            </w:pPr>
            <w:r>
              <w:rPr>
                <w:rFonts w:hint="eastAsia"/>
                <w:sz w:val="24"/>
                <w:lang w:eastAsia="zh-CN"/>
              </w:rPr>
              <w:t>改建</w:t>
            </w:r>
            <w:r>
              <w:rPr>
                <w:sz w:val="24"/>
              </w:rPr>
              <w:t>前项目劳动定员</w:t>
            </w:r>
            <w:r>
              <w:rPr>
                <w:rFonts w:hint="eastAsia"/>
                <w:kern w:val="0"/>
                <w:sz w:val="24"/>
                <w:lang w:val="en-US" w:eastAsia="zh-CN"/>
              </w:rPr>
              <w:t>10</w:t>
            </w:r>
            <w:r>
              <w:rPr>
                <w:rFonts w:hint="eastAsia"/>
                <w:kern w:val="0"/>
                <w:sz w:val="24"/>
              </w:rPr>
              <w:t>人，</w:t>
            </w:r>
            <w:r>
              <w:rPr>
                <w:sz w:val="24"/>
              </w:rPr>
              <w:t>厂区</w:t>
            </w:r>
            <w:r>
              <w:rPr>
                <w:rFonts w:hint="eastAsia"/>
                <w:sz w:val="24"/>
                <w:lang w:eastAsia="zh-CN"/>
              </w:rPr>
              <w:t>不</w:t>
            </w:r>
            <w:r>
              <w:rPr>
                <w:sz w:val="24"/>
              </w:rPr>
              <w:t>提供宿舍</w:t>
            </w:r>
            <w:r>
              <w:rPr>
                <w:rFonts w:hint="eastAsia"/>
                <w:sz w:val="24"/>
              </w:rPr>
              <w:t>，不提供食堂，</w:t>
            </w:r>
            <w:r>
              <w:rPr>
                <w:rFonts w:hint="eastAsia"/>
                <w:kern w:val="0"/>
                <w:sz w:val="24"/>
              </w:rPr>
              <w:t>年工作时间为</w:t>
            </w:r>
            <w:r>
              <w:rPr>
                <w:rFonts w:hint="eastAsia"/>
                <w:kern w:val="0"/>
                <w:sz w:val="24"/>
                <w:lang w:val="en-US" w:eastAsia="zh-CN"/>
              </w:rPr>
              <w:t>300</w:t>
            </w:r>
            <w:r>
              <w:rPr>
                <w:rFonts w:hint="eastAsia"/>
                <w:kern w:val="0"/>
                <w:sz w:val="24"/>
              </w:rPr>
              <w:t>，</w:t>
            </w:r>
            <w:r>
              <w:rPr>
                <w:rFonts w:hint="eastAsia"/>
                <w:kern w:val="0"/>
                <w:sz w:val="24"/>
                <w:lang w:eastAsia="zh-CN"/>
              </w:rPr>
              <w:t>单</w:t>
            </w:r>
            <w:r>
              <w:rPr>
                <w:rFonts w:hint="eastAsia"/>
                <w:kern w:val="0"/>
                <w:sz w:val="24"/>
              </w:rPr>
              <w:t>班制工作，</w:t>
            </w:r>
            <w:r>
              <w:rPr>
                <w:sz w:val="24"/>
              </w:rPr>
              <w:t>每班8h</w:t>
            </w:r>
            <w:r>
              <w:rPr>
                <w:rFonts w:hint="eastAsia"/>
                <w:kern w:val="0"/>
                <w:sz w:val="24"/>
              </w:rPr>
              <w:t>。</w:t>
            </w:r>
            <w:r>
              <w:rPr>
                <w:rFonts w:hint="eastAsia"/>
                <w:sz w:val="24"/>
              </w:rPr>
              <w:t>因增加</w:t>
            </w:r>
            <w:r>
              <w:rPr>
                <w:rFonts w:hint="eastAsia"/>
                <w:sz w:val="24"/>
                <w:lang w:eastAsia="zh-CN"/>
              </w:rPr>
              <w:t>固化土、回填土、绿化营养土、污泥颗粒</w:t>
            </w:r>
            <w:r>
              <w:rPr>
                <w:rFonts w:hint="eastAsia"/>
                <w:sz w:val="24"/>
              </w:rPr>
              <w:t>生产线，</w:t>
            </w:r>
            <w:r>
              <w:rPr>
                <w:rFonts w:hint="eastAsia"/>
                <w:kern w:val="0"/>
                <w:sz w:val="24"/>
              </w:rPr>
              <w:t>本项目劳动定员</w:t>
            </w:r>
            <w:r>
              <w:rPr>
                <w:rFonts w:hint="eastAsia"/>
                <w:sz w:val="24"/>
              </w:rPr>
              <w:t>增加</w:t>
            </w:r>
            <w:r>
              <w:rPr>
                <w:rFonts w:hint="eastAsia"/>
                <w:kern w:val="0"/>
                <w:sz w:val="24"/>
                <w:lang w:val="en-US" w:eastAsia="zh-CN"/>
              </w:rPr>
              <w:t>3</w:t>
            </w:r>
            <w:r>
              <w:rPr>
                <w:rFonts w:hint="eastAsia"/>
                <w:kern w:val="0"/>
                <w:sz w:val="24"/>
              </w:rPr>
              <w:t>人，</w:t>
            </w:r>
            <w:r>
              <w:rPr>
                <w:rFonts w:hint="eastAsia"/>
                <w:kern w:val="0"/>
                <w:sz w:val="24"/>
                <w:lang w:eastAsia="zh-CN"/>
              </w:rPr>
              <w:t>改建后全厂总人数共计</w:t>
            </w:r>
            <w:r>
              <w:rPr>
                <w:rFonts w:hint="eastAsia"/>
                <w:kern w:val="0"/>
                <w:sz w:val="24"/>
                <w:lang w:val="en-US" w:eastAsia="zh-CN"/>
              </w:rPr>
              <w:t>13人，</w:t>
            </w:r>
            <w:r>
              <w:rPr>
                <w:rFonts w:hint="eastAsia"/>
                <w:kern w:val="0"/>
                <w:sz w:val="24"/>
              </w:rPr>
              <w:t>年工作时间为</w:t>
            </w:r>
            <w:r>
              <w:rPr>
                <w:rFonts w:hint="eastAsia"/>
                <w:kern w:val="0"/>
                <w:sz w:val="24"/>
                <w:lang w:val="en-US" w:eastAsia="zh-CN"/>
              </w:rPr>
              <w:t>300</w:t>
            </w:r>
            <w:r>
              <w:rPr>
                <w:rFonts w:hint="eastAsia"/>
                <w:kern w:val="0"/>
                <w:sz w:val="24"/>
              </w:rPr>
              <w:t>天，</w:t>
            </w:r>
            <w:r>
              <w:rPr>
                <w:rFonts w:hint="eastAsia"/>
                <w:kern w:val="0"/>
                <w:sz w:val="24"/>
                <w:lang w:eastAsia="zh-CN"/>
              </w:rPr>
              <w:t>单</w:t>
            </w:r>
            <w:r>
              <w:rPr>
                <w:rFonts w:hint="eastAsia"/>
                <w:kern w:val="0"/>
                <w:sz w:val="24"/>
              </w:rPr>
              <w:t>班制工作，</w:t>
            </w:r>
            <w:r>
              <w:rPr>
                <w:sz w:val="24"/>
              </w:rPr>
              <w:t>每班8h</w:t>
            </w:r>
            <w:r>
              <w:rPr>
                <w:rFonts w:hint="eastAsia"/>
                <w:kern w:val="0"/>
                <w:sz w:val="24"/>
              </w:rPr>
              <w:t>。</w:t>
            </w:r>
            <w:r>
              <w:rPr>
                <w:kern w:val="0"/>
                <w:sz w:val="24"/>
              </w:rPr>
              <w:t>厂区提供</w:t>
            </w:r>
            <w:r>
              <w:rPr>
                <w:sz w:val="24"/>
              </w:rPr>
              <w:t>宿舍</w:t>
            </w:r>
            <w:r>
              <w:rPr>
                <w:rFonts w:hint="eastAsia"/>
                <w:sz w:val="24"/>
              </w:rPr>
              <w:t>，不提供食堂</w:t>
            </w:r>
            <w:r>
              <w:rPr>
                <w:rFonts w:hint="eastAsia"/>
                <w:kern w:val="0"/>
                <w:sz w:val="24"/>
              </w:rPr>
              <w:t>。</w:t>
            </w:r>
          </w:p>
          <w:p w14:paraId="540C4446">
            <w:pPr>
              <w:adjustRightInd w:val="0"/>
              <w:snapToGrid w:val="0"/>
              <w:spacing w:line="360" w:lineRule="auto"/>
              <w:rPr>
                <w:b/>
                <w:bCs/>
                <w:kern w:val="0"/>
                <w:sz w:val="24"/>
              </w:rPr>
            </w:pPr>
            <w:r>
              <w:rPr>
                <w:rFonts w:hint="eastAsia"/>
                <w:b/>
                <w:bCs/>
                <w:kern w:val="0"/>
                <w:sz w:val="24"/>
                <w:lang w:val="en-US" w:eastAsia="zh-CN"/>
              </w:rPr>
              <w:t>7</w:t>
            </w:r>
            <w:r>
              <w:rPr>
                <w:rFonts w:hint="eastAsia"/>
                <w:b/>
                <w:bCs/>
                <w:kern w:val="0"/>
                <w:sz w:val="24"/>
              </w:rPr>
              <w:t>、</w:t>
            </w:r>
            <w:r>
              <w:rPr>
                <w:b/>
                <w:bCs/>
                <w:kern w:val="0"/>
                <w:sz w:val="24"/>
              </w:rPr>
              <w:t>厂区平面布置</w:t>
            </w:r>
          </w:p>
          <w:p w14:paraId="0D51B57D">
            <w:pPr>
              <w:pStyle w:val="33"/>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①项目整体布置</w:t>
            </w:r>
          </w:p>
          <w:p w14:paraId="3CD52979">
            <w:pPr>
              <w:pStyle w:val="33"/>
              <w:snapToGrid w:val="0"/>
              <w:spacing w:line="360" w:lineRule="auto"/>
              <w:ind w:firstLine="480" w:firstLineChars="200"/>
              <w:rPr>
                <w:color w:val="auto"/>
                <w:kern w:val="0"/>
              </w:rPr>
            </w:pPr>
            <w:r>
              <w:rPr>
                <w:color w:val="000000" w:themeColor="text1"/>
                <w:kern w:val="0"/>
                <w14:textFill>
                  <w14:solidFill>
                    <w14:schemeClr w14:val="tx1"/>
                  </w14:solidFill>
                </w14:textFill>
              </w:rPr>
              <w:t>项目建设地点位于安徽省宿州市埇桥区桃园镇浍光村，</w:t>
            </w:r>
            <w:r>
              <w:rPr>
                <w:color w:val="auto"/>
                <w:kern w:val="0"/>
              </w:rPr>
              <w:t>厂区分为生产区、办公</w:t>
            </w:r>
            <w:r>
              <w:rPr>
                <w:rFonts w:hint="eastAsia"/>
                <w:color w:val="auto"/>
                <w:kern w:val="0"/>
                <w:lang w:eastAsia="zh-CN"/>
              </w:rPr>
              <w:t>室</w:t>
            </w:r>
            <w:r>
              <w:rPr>
                <w:color w:val="auto"/>
                <w:kern w:val="0"/>
              </w:rPr>
              <w:t>、原料区、成品区等功能分区，具体见平面布置图。</w:t>
            </w:r>
          </w:p>
          <w:p w14:paraId="116886EE">
            <w:pPr>
              <w:pStyle w:val="33"/>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②项目原料及产品由汽车进行运输。</w:t>
            </w:r>
          </w:p>
          <w:p w14:paraId="14798D51">
            <w:pPr>
              <w:pStyle w:val="33"/>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③平面布置合理性</w:t>
            </w:r>
          </w:p>
          <w:p w14:paraId="53C0CE96">
            <w:pPr>
              <w:adjustRightInd w:val="0"/>
              <w:snapToGrid w:val="0"/>
              <w:spacing w:line="336" w:lineRule="auto"/>
              <w:ind w:firstLine="480" w:firstLineChars="200"/>
              <w:rPr>
                <w:rFonts w:hint="eastAsia" w:eastAsia="宋体"/>
                <w:lang w:val="en-US" w:eastAsia="zh-CN"/>
              </w:rPr>
            </w:pPr>
            <w:r>
              <w:rPr>
                <w:color w:val="000000" w:themeColor="text1"/>
                <w:kern w:val="0"/>
                <w:sz w:val="24"/>
                <w14:textFill>
                  <w14:solidFill>
                    <w14:schemeClr w14:val="tx1"/>
                  </w14:solidFill>
                </w14:textFill>
              </w:rPr>
              <w:t>项目厂区布置总体来说，结构明朗，流程顺畅，布局紧凑，符合防火、安全卫生、环保、交通、运输、生产工艺流程等需求。总体上做到按功能分区，系统分明布置整齐。</w:t>
            </w:r>
          </w:p>
        </w:tc>
      </w:tr>
      <w:tr w14:paraId="437911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Before w:val="1"/>
          <w:wBefore w:w="233" w:type="dxa"/>
          <w:trHeight w:val="13752" w:hRule="atLeast"/>
          <w:jc w:val="center"/>
        </w:trPr>
        <w:tc>
          <w:tcPr>
            <w:tcW w:w="553" w:type="dxa"/>
            <w:gridSpan w:val="2"/>
            <w:tcBorders>
              <w:tl2br w:val="nil"/>
              <w:tr2bl w:val="nil"/>
            </w:tcBorders>
            <w:vAlign w:val="center"/>
          </w:tcPr>
          <w:p w14:paraId="71346D1A">
            <w:pPr>
              <w:pStyle w:val="24"/>
              <w:adjustRightInd w:val="0"/>
              <w:snapToGrid w:val="0"/>
              <w:spacing w:before="0" w:beforeAutospacing="0" w:after="0" w:afterAutospacing="0"/>
              <w:jc w:val="center"/>
              <w:rPr>
                <w:rFonts w:cs="宋体"/>
                <w:szCs w:val="24"/>
              </w:rPr>
            </w:pPr>
            <w:r>
              <w:rPr>
                <w:rFonts w:hint="eastAsia" w:cs="宋体"/>
                <w:szCs w:val="24"/>
              </w:rPr>
              <w:t>工艺流程和产排污环节</w:t>
            </w:r>
          </w:p>
        </w:tc>
        <w:tc>
          <w:tcPr>
            <w:tcW w:w="7975" w:type="dxa"/>
            <w:tcBorders>
              <w:tl2br w:val="nil"/>
              <w:tr2bl w:val="nil"/>
            </w:tcBorders>
          </w:tcPr>
          <w:p w14:paraId="74BD7B57">
            <w:pPr>
              <w:numPr>
                <w:ilvl w:val="0"/>
                <w:numId w:val="0"/>
              </w:numPr>
              <w:spacing w:line="360" w:lineRule="auto"/>
              <w:ind w:firstLine="482" w:firstLineChars="200"/>
              <w:rPr>
                <w:rFonts w:hint="eastAsia"/>
                <w:b/>
                <w:bCs/>
                <w:color w:val="auto"/>
                <w:sz w:val="24"/>
                <w:lang w:val="en-US" w:eastAsia="zh-CN"/>
              </w:rPr>
            </w:pPr>
            <w:r>
              <w:rPr>
                <w:rFonts w:hint="eastAsia"/>
                <w:b/>
                <w:bCs/>
                <w:color w:val="auto"/>
                <w:sz w:val="24"/>
                <w:lang w:val="en-US" w:eastAsia="zh-CN"/>
              </w:rPr>
              <w:t>1、固化土生产工艺流程</w:t>
            </w:r>
          </w:p>
          <w:p w14:paraId="0ED7420C">
            <w:pPr>
              <w:jc w:val="center"/>
              <w:rPr>
                <w:rFonts w:hint="eastAsia"/>
                <w:color w:val="auto"/>
                <w:sz w:val="24"/>
                <w:lang w:val="en-US" w:eastAsia="zh-CN"/>
              </w:rPr>
            </w:pPr>
            <w:r>
              <w:rPr>
                <w:rFonts w:hint="eastAsia"/>
                <w:color w:val="auto"/>
                <w:sz w:val="24"/>
                <w:lang w:val="en-US" w:eastAsia="zh-CN"/>
              </w:rPr>
              <w:object>
                <v:shape id="_x0000_i1027" o:spt="75" type="#_x0000_t75" style="height:298.85pt;width:289.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01F55921">
            <w:pPr>
              <w:numPr>
                <w:ilvl w:val="0"/>
                <w:numId w:val="0"/>
              </w:numPr>
              <w:spacing w:line="360" w:lineRule="auto"/>
              <w:ind w:leftChars="200"/>
              <w:jc w:val="center"/>
              <w:rPr>
                <w:rFonts w:hint="default"/>
                <w:b/>
                <w:bCs/>
                <w:color w:val="auto"/>
                <w:sz w:val="24"/>
                <w:lang w:val="en-US" w:eastAsia="zh-CN"/>
              </w:rPr>
            </w:pPr>
            <w:r>
              <w:rPr>
                <w:rFonts w:hint="eastAsia"/>
                <w:b/>
                <w:bCs/>
                <w:color w:val="auto"/>
                <w:sz w:val="24"/>
                <w:lang w:val="en-US" w:eastAsia="zh-CN"/>
              </w:rPr>
              <w:t>图2-3 固化土生产工艺流程图</w:t>
            </w:r>
          </w:p>
          <w:p w14:paraId="0D432A4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b/>
                <w:bCs/>
                <w:color w:val="auto"/>
                <w:sz w:val="24"/>
                <w:szCs w:val="24"/>
              </w:rPr>
            </w:pPr>
            <w:r>
              <w:rPr>
                <w:rFonts w:hint="eastAsia"/>
                <w:b/>
                <w:bCs/>
                <w:color w:val="auto"/>
                <w:sz w:val="24"/>
                <w:szCs w:val="24"/>
              </w:rPr>
              <w:t>工艺流程简述：</w:t>
            </w:r>
          </w:p>
          <w:p w14:paraId="449B50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color w:val="auto"/>
                <w:sz w:val="24"/>
                <w:szCs w:val="24"/>
              </w:rPr>
              <w:t>①</w:t>
            </w:r>
            <w:r>
              <w:rPr>
                <w:rFonts w:hint="eastAsia"/>
                <w:color w:val="auto"/>
                <w:sz w:val="24"/>
                <w:szCs w:val="24"/>
                <w:lang w:eastAsia="zh-CN"/>
              </w:rPr>
              <w:t>投料</w:t>
            </w:r>
          </w:p>
          <w:p w14:paraId="41B365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本项目利用污泥、尾矿、脱硫石膏等一般固废为原料，污泥采用吨袋包装，其他物料散装，原料经加盖的货车运输至场区原料仓库内存放。</w:t>
            </w:r>
          </w:p>
          <w:p w14:paraId="5C338B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eastAsia="zh-CN"/>
              </w:rPr>
              <w:t>尾矿、脱硫石膏等一般固废用铲车加入两仓料斗之中，污泥经叉车输送</w:t>
            </w:r>
            <w:r>
              <w:rPr>
                <w:rFonts w:hint="eastAsia" w:ascii="Times New Roman" w:hAnsi="Times New Roman" w:eastAsia="宋体" w:cs="Times New Roman"/>
                <w:color w:val="auto"/>
                <w:sz w:val="24"/>
                <w:szCs w:val="24"/>
                <w:lang w:eastAsia="zh-CN"/>
              </w:rPr>
              <w:t>至</w:t>
            </w:r>
            <w:r>
              <w:rPr>
                <w:rFonts w:hint="eastAsia"/>
                <w:color w:val="auto"/>
                <w:sz w:val="24"/>
                <w:szCs w:val="24"/>
                <w:lang w:eastAsia="zh-CN"/>
              </w:rPr>
              <w:t>两</w:t>
            </w:r>
            <w:r>
              <w:rPr>
                <w:rFonts w:hint="eastAsia" w:ascii="Times New Roman" w:hAnsi="Times New Roman" w:eastAsia="宋体" w:cs="Times New Roman"/>
                <w:color w:val="auto"/>
                <w:sz w:val="24"/>
                <w:szCs w:val="24"/>
                <w:lang w:eastAsia="zh-CN"/>
              </w:rPr>
              <w:t>仓料斗处，拆开吨包加入至</w:t>
            </w:r>
            <w:r>
              <w:rPr>
                <w:rFonts w:hint="eastAsia"/>
                <w:color w:val="auto"/>
                <w:sz w:val="24"/>
                <w:szCs w:val="24"/>
                <w:lang w:eastAsia="zh-CN"/>
              </w:rPr>
              <w:t>两</w:t>
            </w:r>
            <w:r>
              <w:rPr>
                <w:rFonts w:hint="eastAsia" w:ascii="Times New Roman" w:hAnsi="Times New Roman" w:eastAsia="宋体" w:cs="Times New Roman"/>
                <w:color w:val="auto"/>
                <w:sz w:val="24"/>
                <w:szCs w:val="24"/>
                <w:lang w:eastAsia="zh-CN"/>
              </w:rPr>
              <w:t>仓料斗中。该工序会产生投料输送粉尘</w:t>
            </w:r>
            <w:r>
              <w:rPr>
                <w:rFonts w:hint="eastAsia" w:ascii="Times New Roman" w:hAnsi="Times New Roman" w:eastAsia="宋体" w:cs="Times New Roman"/>
                <w:color w:val="auto"/>
                <w:sz w:val="24"/>
                <w:szCs w:val="24"/>
                <w:lang w:val="en-US" w:eastAsia="zh-CN"/>
              </w:rPr>
              <w:t>G</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-1、废包装袋S1。</w:t>
            </w:r>
          </w:p>
          <w:p w14:paraId="4E3FBD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②破碎松散</w:t>
            </w:r>
          </w:p>
          <w:p w14:paraId="6CDFDF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投料后通过皮带机进入粉碎机中进行破碎和松散，此过程产生破碎松散粉尘G</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-2、噪声N。</w:t>
            </w:r>
          </w:p>
          <w:p w14:paraId="03EB54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③混合搅拌</w:t>
            </w:r>
          </w:p>
          <w:p w14:paraId="2496F3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物料粉碎均匀后，通过皮带机运输至搅拌机。</w:t>
            </w:r>
            <w:r>
              <w:rPr>
                <w:color w:val="auto"/>
                <w:sz w:val="24"/>
                <w:szCs w:val="24"/>
              </w:rPr>
              <w:t>固化剂</w:t>
            </w:r>
            <w:r>
              <w:rPr>
                <w:rFonts w:hint="eastAsia"/>
                <w:color w:val="auto"/>
                <w:sz w:val="24"/>
                <w:szCs w:val="24"/>
                <w:lang w:eastAsia="zh-CN"/>
              </w:rPr>
              <w:t>为粉态物料，投入搅拌机中，</w:t>
            </w:r>
            <w:r>
              <w:rPr>
                <w:color w:val="auto"/>
                <w:sz w:val="24"/>
                <w:szCs w:val="24"/>
              </w:rPr>
              <w:t>根据物料实际情况不同，固化剂添加量不同，固化剂添加量</w:t>
            </w:r>
            <w:r>
              <w:rPr>
                <w:rFonts w:hint="eastAsia"/>
                <w:color w:val="auto"/>
                <w:sz w:val="24"/>
                <w:szCs w:val="24"/>
                <w:lang w:eastAsia="zh-CN"/>
              </w:rPr>
              <w:t>一般</w:t>
            </w:r>
            <w:r>
              <w:rPr>
                <w:color w:val="auto"/>
                <w:sz w:val="24"/>
                <w:szCs w:val="24"/>
              </w:rPr>
              <w:t>按</w:t>
            </w:r>
            <w:r>
              <w:rPr>
                <w:rFonts w:hint="eastAsia"/>
                <w:color w:val="auto"/>
                <w:sz w:val="24"/>
                <w:szCs w:val="24"/>
                <w:lang w:val="en-US" w:eastAsia="zh-CN"/>
              </w:rPr>
              <w:t>万分之三左右</w:t>
            </w:r>
            <w:r>
              <w:rPr>
                <w:color w:val="auto"/>
                <w:sz w:val="24"/>
                <w:szCs w:val="24"/>
              </w:rPr>
              <w:t>考虑，该工序</w:t>
            </w:r>
            <w:r>
              <w:rPr>
                <w:rFonts w:hint="eastAsia"/>
                <w:color w:val="auto"/>
                <w:sz w:val="24"/>
                <w:szCs w:val="24"/>
                <w:lang w:eastAsia="zh-CN"/>
              </w:rPr>
              <w:t>会产生搅拌粉尘</w:t>
            </w:r>
            <w:r>
              <w:rPr>
                <w:rFonts w:hint="eastAsia"/>
                <w:color w:val="auto"/>
                <w:sz w:val="24"/>
                <w:szCs w:val="24"/>
                <w:lang w:val="en-US" w:eastAsia="zh-CN"/>
              </w:rPr>
              <w:t>G1-3、和噪声N。</w:t>
            </w:r>
          </w:p>
          <w:p w14:paraId="631F1B12">
            <w:pPr>
              <w:spacing w:line="360" w:lineRule="auto"/>
              <w:ind w:firstLine="480" w:firstLineChars="200"/>
              <w:rPr>
                <w:rFonts w:hint="eastAsia"/>
                <w:color w:val="auto"/>
                <w:sz w:val="24"/>
                <w:lang w:eastAsia="zh-CN"/>
              </w:rPr>
            </w:pPr>
            <w:r>
              <w:rPr>
                <w:rFonts w:hint="eastAsia"/>
                <w:color w:val="auto"/>
                <w:sz w:val="24"/>
                <w:lang w:eastAsia="zh-CN"/>
              </w:rPr>
              <w:t>④</w:t>
            </w:r>
            <w:r>
              <w:rPr>
                <w:rFonts w:hint="eastAsia"/>
                <w:color w:val="auto"/>
                <w:sz w:val="24"/>
                <w:szCs w:val="24"/>
                <w:lang w:eastAsia="zh-CN"/>
              </w:rPr>
              <w:t>下料、</w:t>
            </w:r>
            <w:r>
              <w:rPr>
                <w:rFonts w:hint="eastAsia"/>
                <w:color w:val="auto"/>
                <w:sz w:val="24"/>
                <w:lang w:eastAsia="zh-CN"/>
              </w:rPr>
              <w:t>包装入库</w:t>
            </w:r>
          </w:p>
          <w:p w14:paraId="2BD012DB">
            <w:pPr>
              <w:spacing w:line="360" w:lineRule="auto"/>
              <w:ind w:firstLine="480" w:firstLineChars="200"/>
              <w:rPr>
                <w:rFonts w:hint="eastAsia"/>
                <w:color w:val="auto"/>
                <w:sz w:val="24"/>
                <w:lang w:val="en-US" w:eastAsia="zh-CN"/>
              </w:rPr>
            </w:pPr>
            <w:r>
              <w:rPr>
                <w:rFonts w:hint="eastAsia"/>
                <w:color w:val="auto"/>
                <w:sz w:val="24"/>
                <w:lang w:eastAsia="zh-CN"/>
              </w:rPr>
              <w:t>搅拌均匀后通过输送带下料至吨袋包装，并转移至成品库暂存待售。此过程产生下料粉尘</w:t>
            </w:r>
            <w:r>
              <w:rPr>
                <w:rFonts w:hint="eastAsia"/>
                <w:color w:val="auto"/>
                <w:sz w:val="24"/>
                <w:lang w:val="en-US" w:eastAsia="zh-CN"/>
              </w:rPr>
              <w:t>G1-4、噪声N。</w:t>
            </w:r>
          </w:p>
          <w:p w14:paraId="4804E5E3">
            <w:pPr>
              <w:numPr>
                <w:ilvl w:val="0"/>
                <w:numId w:val="0"/>
              </w:numPr>
              <w:spacing w:line="360" w:lineRule="auto"/>
              <w:ind w:firstLine="482" w:firstLineChars="200"/>
              <w:rPr>
                <w:rFonts w:hint="eastAsia"/>
                <w:b/>
                <w:bCs/>
                <w:color w:val="auto"/>
                <w:sz w:val="24"/>
                <w:lang w:val="en-US" w:eastAsia="zh-CN"/>
              </w:rPr>
            </w:pPr>
            <w:r>
              <w:rPr>
                <w:rFonts w:hint="eastAsia"/>
                <w:b/>
                <w:bCs/>
                <w:color w:val="auto"/>
                <w:sz w:val="24"/>
                <w:lang w:val="en-US" w:eastAsia="zh-CN"/>
              </w:rPr>
              <w:t>2、回填土生产工艺流程</w:t>
            </w:r>
          </w:p>
          <w:p w14:paraId="26B64200">
            <w:pPr>
              <w:pStyle w:val="14"/>
              <w:jc w:val="center"/>
              <w:rPr>
                <w:rFonts w:hint="eastAsia"/>
              </w:rPr>
            </w:pPr>
            <w:r>
              <w:rPr>
                <w:rFonts w:hint="eastAsia"/>
              </w:rPr>
              <w:object>
                <v:shape id="_x0000_i1028" o:spt="75" type="#_x0000_t75" style="height:355.5pt;width:300.7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14:paraId="3004E562">
            <w:pPr>
              <w:numPr>
                <w:ilvl w:val="0"/>
                <w:numId w:val="0"/>
              </w:numPr>
              <w:spacing w:line="360" w:lineRule="auto"/>
              <w:ind w:leftChars="200"/>
              <w:jc w:val="center"/>
              <w:rPr>
                <w:sz w:val="24"/>
                <w:szCs w:val="24"/>
              </w:rPr>
            </w:pPr>
            <w:r>
              <w:rPr>
                <w:rFonts w:hint="eastAsia"/>
                <w:b/>
                <w:bCs/>
                <w:color w:val="auto"/>
                <w:sz w:val="24"/>
                <w:lang w:val="en-US" w:eastAsia="zh-CN"/>
              </w:rPr>
              <w:t>图2-4 回填土生产工艺流程图</w:t>
            </w:r>
          </w:p>
          <w:p w14:paraId="76E9F0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sz w:val="24"/>
                <w:szCs w:val="24"/>
              </w:rPr>
              <w:t>①磨粉</w:t>
            </w:r>
          </w:p>
          <w:p w14:paraId="400374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highlight w:val="none"/>
              </w:rPr>
              <w:t>原料炉渣经过雷蒙磨研磨后，用于生产，此过</w:t>
            </w:r>
            <w:r>
              <w:rPr>
                <w:sz w:val="24"/>
                <w:szCs w:val="24"/>
              </w:rPr>
              <w:t>程产生废气G</w:t>
            </w:r>
            <w:r>
              <w:rPr>
                <w:rFonts w:hint="eastAsia"/>
                <w:sz w:val="24"/>
                <w:szCs w:val="24"/>
                <w:lang w:val="en-US" w:eastAsia="zh-CN"/>
              </w:rPr>
              <w:t>2</w:t>
            </w:r>
            <w:r>
              <w:rPr>
                <w:sz w:val="24"/>
                <w:szCs w:val="24"/>
              </w:rPr>
              <w:t>-1。</w:t>
            </w:r>
          </w:p>
          <w:p w14:paraId="7D57F8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②投料</w:t>
            </w:r>
          </w:p>
          <w:p w14:paraId="70E4CD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本项目利用炉渣、污泥等一般固废为原料，污泥采用吨袋包装，原料经加盖的货车运输至场区原料仓库内存放。污泥经叉车输送至两仓料斗处，拆开吨包加入至两仓料斗中。该工序会产生投料粉尘G</w:t>
            </w:r>
            <w:r>
              <w:rPr>
                <w:rFonts w:hint="eastAsia"/>
                <w:sz w:val="24"/>
                <w:szCs w:val="24"/>
                <w:lang w:val="en-US" w:eastAsia="zh-CN"/>
              </w:rPr>
              <w:t>2</w:t>
            </w:r>
            <w:r>
              <w:rPr>
                <w:sz w:val="24"/>
                <w:szCs w:val="24"/>
              </w:rPr>
              <w:t>-</w:t>
            </w:r>
            <w:r>
              <w:rPr>
                <w:rFonts w:hint="eastAsia"/>
                <w:sz w:val="24"/>
                <w:szCs w:val="24"/>
                <w:lang w:val="en-US" w:eastAsia="zh-CN"/>
              </w:rPr>
              <w:t>2</w:t>
            </w:r>
            <w:r>
              <w:rPr>
                <w:sz w:val="24"/>
                <w:szCs w:val="24"/>
              </w:rPr>
              <w:t>、废包装袋S</w:t>
            </w:r>
            <w:r>
              <w:rPr>
                <w:rFonts w:hint="eastAsia"/>
                <w:sz w:val="24"/>
                <w:szCs w:val="24"/>
                <w:lang w:val="en-US" w:eastAsia="zh-CN"/>
              </w:rPr>
              <w:t>2</w:t>
            </w:r>
            <w:r>
              <w:rPr>
                <w:sz w:val="24"/>
                <w:szCs w:val="24"/>
              </w:rPr>
              <w:t>-1。</w:t>
            </w:r>
          </w:p>
          <w:p w14:paraId="43DD72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③破碎松散</w:t>
            </w:r>
          </w:p>
          <w:p w14:paraId="36BE2D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投料后通过皮带机进入粉</w:t>
            </w:r>
            <w:r>
              <w:rPr>
                <w:rFonts w:hint="eastAsia"/>
                <w:sz w:val="24"/>
                <w:szCs w:val="24"/>
                <w:lang w:eastAsia="zh-CN"/>
              </w:rPr>
              <w:t>碎</w:t>
            </w:r>
            <w:r>
              <w:rPr>
                <w:sz w:val="24"/>
                <w:szCs w:val="24"/>
              </w:rPr>
              <w:t>机中进行破碎和松散，此过程产生破碎松散粉尘G</w:t>
            </w:r>
            <w:r>
              <w:rPr>
                <w:rFonts w:hint="eastAsia"/>
                <w:sz w:val="24"/>
                <w:szCs w:val="24"/>
                <w:lang w:val="en-US" w:eastAsia="zh-CN"/>
              </w:rPr>
              <w:t>2</w:t>
            </w:r>
            <w:r>
              <w:rPr>
                <w:sz w:val="24"/>
                <w:szCs w:val="24"/>
              </w:rPr>
              <w:t>-</w:t>
            </w:r>
            <w:r>
              <w:rPr>
                <w:rFonts w:hint="eastAsia"/>
                <w:sz w:val="24"/>
                <w:szCs w:val="24"/>
                <w:lang w:val="en-US" w:eastAsia="zh-CN"/>
              </w:rPr>
              <w:t>3</w:t>
            </w:r>
            <w:r>
              <w:rPr>
                <w:sz w:val="24"/>
                <w:szCs w:val="24"/>
              </w:rPr>
              <w:t>、噪声N。</w:t>
            </w:r>
          </w:p>
          <w:p w14:paraId="5D2DF8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④混合搅拌</w:t>
            </w:r>
          </w:p>
          <w:p w14:paraId="3B8574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物料粉碎均匀后，通过皮带机运输至</w:t>
            </w:r>
            <w:r>
              <w:rPr>
                <w:rFonts w:hint="eastAsia"/>
                <w:sz w:val="24"/>
                <w:szCs w:val="24"/>
                <w:lang w:eastAsia="zh-CN"/>
              </w:rPr>
              <w:t>搅拌机</w:t>
            </w:r>
            <w:r>
              <w:rPr>
                <w:sz w:val="24"/>
                <w:szCs w:val="24"/>
              </w:rPr>
              <w:t>。固化剂为</w:t>
            </w:r>
            <w:r>
              <w:rPr>
                <w:rFonts w:hint="eastAsia"/>
                <w:sz w:val="24"/>
                <w:szCs w:val="24"/>
                <w:lang w:eastAsia="zh-CN"/>
              </w:rPr>
              <w:t>粉态</w:t>
            </w:r>
            <w:r>
              <w:rPr>
                <w:sz w:val="24"/>
                <w:szCs w:val="24"/>
              </w:rPr>
              <w:t>物料，</w:t>
            </w:r>
            <w:r>
              <w:rPr>
                <w:rFonts w:hint="eastAsia"/>
                <w:sz w:val="24"/>
                <w:szCs w:val="24"/>
                <w:lang w:eastAsia="zh-CN"/>
              </w:rPr>
              <w:t>投入</w:t>
            </w:r>
            <w:r>
              <w:rPr>
                <w:sz w:val="24"/>
                <w:szCs w:val="24"/>
              </w:rPr>
              <w:t>搅拌机中。根据物料实际情况不同，固化剂添加量不同，固化剂添加量一般按万分之三左右考虑，该工序会产生搅拌粉尘G</w:t>
            </w:r>
            <w:r>
              <w:rPr>
                <w:rFonts w:hint="eastAsia"/>
                <w:sz w:val="24"/>
                <w:szCs w:val="24"/>
                <w:lang w:val="en-US" w:eastAsia="zh-CN"/>
              </w:rPr>
              <w:t>2</w:t>
            </w:r>
            <w:r>
              <w:rPr>
                <w:sz w:val="24"/>
                <w:szCs w:val="24"/>
              </w:rPr>
              <w:t>-4、和噪声N。</w:t>
            </w:r>
          </w:p>
          <w:p w14:paraId="5409C7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⑤下料、包装入库</w:t>
            </w:r>
          </w:p>
          <w:p w14:paraId="75625A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sz w:val="24"/>
                <w:szCs w:val="24"/>
              </w:rPr>
              <w:t>搅拌均匀后通过输送带下料至吨袋包装，并转移至成品库暂存待售。此过程产生下料粉尘G</w:t>
            </w:r>
            <w:r>
              <w:rPr>
                <w:rFonts w:hint="eastAsia"/>
                <w:sz w:val="24"/>
                <w:szCs w:val="24"/>
                <w:lang w:val="en-US" w:eastAsia="zh-CN"/>
              </w:rPr>
              <w:t>2</w:t>
            </w:r>
            <w:r>
              <w:rPr>
                <w:sz w:val="24"/>
                <w:szCs w:val="24"/>
              </w:rPr>
              <w:t>-5、噪声N。</w:t>
            </w:r>
          </w:p>
          <w:p w14:paraId="1A1B5172">
            <w:pPr>
              <w:spacing w:line="360" w:lineRule="auto"/>
              <w:ind w:firstLine="482" w:firstLineChars="200"/>
              <w:rPr>
                <w:rFonts w:hint="default"/>
                <w:b/>
                <w:bCs/>
                <w:color w:val="auto"/>
                <w:sz w:val="24"/>
                <w:lang w:val="en-US" w:eastAsia="zh-CN"/>
              </w:rPr>
            </w:pPr>
            <w:r>
              <w:rPr>
                <w:rFonts w:hint="eastAsia"/>
                <w:b/>
                <w:bCs/>
                <w:color w:val="auto"/>
                <w:sz w:val="24"/>
                <w:lang w:val="en-US" w:eastAsia="zh-CN"/>
              </w:rPr>
              <w:t>3、绿化营养土生产工艺流程</w:t>
            </w:r>
          </w:p>
          <w:p w14:paraId="0D77585F">
            <w:pPr>
              <w:spacing w:line="360" w:lineRule="auto"/>
              <w:jc w:val="center"/>
              <w:rPr>
                <w:rFonts w:hint="eastAsia" w:eastAsia="宋体"/>
                <w:color w:val="auto"/>
                <w:sz w:val="24"/>
                <w:lang w:eastAsia="zh-CN"/>
              </w:rPr>
            </w:pPr>
            <w:r>
              <w:rPr>
                <w:rFonts w:hint="eastAsia" w:eastAsia="宋体"/>
                <w:color w:val="auto"/>
                <w:sz w:val="24"/>
                <w:lang w:eastAsia="zh-CN"/>
              </w:rPr>
              <w:object>
                <v:shape id="_x0000_i1029" o:spt="75" type="#_x0000_t75" style="height:263.75pt;width:398.1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14:paraId="5728A5C3">
            <w:pPr>
              <w:numPr>
                <w:ilvl w:val="0"/>
                <w:numId w:val="0"/>
              </w:numPr>
              <w:spacing w:line="360" w:lineRule="auto"/>
              <w:ind w:leftChars="200"/>
              <w:jc w:val="center"/>
              <w:rPr>
                <w:rFonts w:hint="eastAsia"/>
                <w:color w:val="auto"/>
                <w:sz w:val="24"/>
                <w:lang w:eastAsia="zh-CN"/>
              </w:rPr>
            </w:pPr>
            <w:r>
              <w:rPr>
                <w:rFonts w:hint="eastAsia"/>
                <w:b/>
                <w:bCs/>
                <w:color w:val="auto"/>
                <w:sz w:val="24"/>
                <w:lang w:val="en-US" w:eastAsia="zh-CN"/>
              </w:rPr>
              <w:t>图2-5 绿化营养土生产工艺流程图</w:t>
            </w:r>
          </w:p>
          <w:p w14:paraId="49FA1A10">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工艺流程简述：</w:t>
            </w:r>
          </w:p>
          <w:p w14:paraId="1CBB1C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color w:val="auto"/>
                <w:sz w:val="24"/>
                <w:szCs w:val="24"/>
                <w:highlight w:val="none"/>
              </w:rPr>
              <w:t>①</w:t>
            </w:r>
            <w:r>
              <w:rPr>
                <w:rFonts w:hint="eastAsia"/>
                <w:color w:val="auto"/>
                <w:sz w:val="24"/>
                <w:szCs w:val="24"/>
                <w:highlight w:val="none"/>
                <w:lang w:eastAsia="zh-CN"/>
              </w:rPr>
              <w:t>投料</w:t>
            </w:r>
          </w:p>
          <w:p w14:paraId="2B28C8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本项目绿化营养土利用污泥等一般固废为原料，污泥采用吨袋包装，原料经加盖的货车运输至厂区原料仓库内存放，经罐车运输至厂区使用泵打入筒仓中储存。</w:t>
            </w:r>
          </w:p>
          <w:p w14:paraId="13C208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eastAsia="zh-CN"/>
              </w:rPr>
              <w:t>污泥经叉车输送</w:t>
            </w:r>
            <w:r>
              <w:rPr>
                <w:rFonts w:hint="eastAsia" w:ascii="Times New Roman" w:hAnsi="Times New Roman" w:eastAsia="宋体" w:cs="Times New Roman"/>
                <w:color w:val="auto"/>
                <w:sz w:val="24"/>
                <w:szCs w:val="24"/>
                <w:lang w:eastAsia="zh-CN"/>
              </w:rPr>
              <w:t>至</w:t>
            </w:r>
            <w:r>
              <w:rPr>
                <w:rFonts w:hint="eastAsia" w:cs="Times New Roman"/>
                <w:color w:val="auto"/>
                <w:sz w:val="24"/>
                <w:szCs w:val="24"/>
                <w:lang w:eastAsia="zh-CN"/>
              </w:rPr>
              <w:t>两</w:t>
            </w:r>
            <w:r>
              <w:rPr>
                <w:rFonts w:hint="eastAsia" w:ascii="Times New Roman" w:hAnsi="Times New Roman" w:eastAsia="宋体" w:cs="Times New Roman"/>
                <w:color w:val="auto"/>
                <w:sz w:val="24"/>
                <w:szCs w:val="24"/>
                <w:lang w:eastAsia="zh-CN"/>
              </w:rPr>
              <w:t>仓料斗处，拆开吨包加入至</w:t>
            </w:r>
            <w:r>
              <w:rPr>
                <w:rFonts w:hint="eastAsia" w:cs="Times New Roman"/>
                <w:color w:val="auto"/>
                <w:sz w:val="24"/>
                <w:szCs w:val="24"/>
                <w:lang w:eastAsia="zh-CN"/>
              </w:rPr>
              <w:t>两</w:t>
            </w:r>
            <w:r>
              <w:rPr>
                <w:rFonts w:hint="eastAsia" w:ascii="Times New Roman" w:hAnsi="Times New Roman" w:eastAsia="宋体" w:cs="Times New Roman"/>
                <w:color w:val="auto"/>
                <w:sz w:val="24"/>
                <w:szCs w:val="24"/>
                <w:lang w:eastAsia="zh-CN"/>
              </w:rPr>
              <w:t>仓料斗中。该工序会产生</w:t>
            </w:r>
            <w:r>
              <w:rPr>
                <w:rFonts w:hint="eastAsia" w:ascii="Times New Roman" w:hAnsi="Times New Roman" w:eastAsia="宋体" w:cs="Times New Roman"/>
                <w:color w:val="auto"/>
                <w:sz w:val="24"/>
                <w:szCs w:val="24"/>
                <w:lang w:val="en-US" w:eastAsia="zh-CN"/>
              </w:rPr>
              <w:t>筒仓呼吸粉尘G3-</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投料粉尘</w:t>
            </w:r>
            <w:r>
              <w:rPr>
                <w:rFonts w:hint="eastAsia" w:ascii="Times New Roman" w:hAnsi="Times New Roman" w:eastAsia="宋体" w:cs="Times New Roman"/>
                <w:color w:val="auto"/>
                <w:sz w:val="24"/>
                <w:szCs w:val="24"/>
                <w:lang w:val="en-US" w:eastAsia="zh-CN"/>
              </w:rPr>
              <w:t>G3-</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、废包装袋S</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1。</w:t>
            </w:r>
          </w:p>
          <w:p w14:paraId="597499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②破碎松散</w:t>
            </w:r>
          </w:p>
          <w:p w14:paraId="49C6EB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投料后通过皮带机进入粉土机中进行破碎和松散，此过程产生破碎松散粉尘G3-3、噪声N。</w:t>
            </w:r>
          </w:p>
          <w:p w14:paraId="2F2B1C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③混合搅拌</w:t>
            </w:r>
          </w:p>
          <w:p w14:paraId="28C815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color w:val="auto"/>
                <w:sz w:val="24"/>
                <w:szCs w:val="24"/>
                <w:lang w:eastAsia="zh-CN"/>
              </w:rPr>
              <w:t>物料粉碎均匀后，通过皮带机运输至搅拌机。筒仓通过</w:t>
            </w:r>
            <w:r>
              <w:rPr>
                <w:rFonts w:hint="eastAsia"/>
                <w:color w:val="auto"/>
                <w:sz w:val="24"/>
                <w:szCs w:val="24"/>
              </w:rPr>
              <w:t>水泥仓</w:t>
            </w:r>
            <w:r>
              <w:rPr>
                <w:rFonts w:hint="eastAsia"/>
                <w:color w:val="auto"/>
                <w:sz w:val="24"/>
                <w:szCs w:val="24"/>
                <w:lang w:eastAsia="zh-CN"/>
              </w:rPr>
              <w:t>自带的输送计量功能按比例通过密闭皮带输送进入搅拌仓内。微生物发酵促进剂人工投入搅拌机中，投加量约万分之一。</w:t>
            </w:r>
          </w:p>
          <w:p w14:paraId="6E672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④翻抛</w:t>
            </w:r>
          </w:p>
          <w:p w14:paraId="50EE38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搅拌均匀后的物料转移至成品库堆放，堆放时间约3-7d，堆放期间使用翻抛机进行翻抛。翻抛过程中喷洒除臭和补充微量水分，此过程基本无</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产生，产生少量恶臭。</w:t>
            </w:r>
          </w:p>
          <w:p w14:paraId="46662E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⑤成品包装入库</w:t>
            </w:r>
          </w:p>
          <w:p w14:paraId="04C8C640">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堆放满足时间要求后，对绿化营养土进行分袋包装入库，待售。</w:t>
            </w:r>
          </w:p>
          <w:p w14:paraId="63E8E933">
            <w:pPr>
              <w:spacing w:line="360" w:lineRule="auto"/>
              <w:ind w:firstLine="482" w:firstLineChars="200"/>
              <w:rPr>
                <w:rFonts w:hint="default"/>
                <w:b/>
                <w:bCs/>
                <w:color w:val="auto"/>
                <w:sz w:val="24"/>
                <w:lang w:val="en-US" w:eastAsia="zh-CN"/>
              </w:rPr>
            </w:pPr>
            <w:r>
              <w:rPr>
                <w:rFonts w:hint="eastAsia"/>
                <w:b/>
                <w:bCs/>
                <w:color w:val="auto"/>
                <w:sz w:val="24"/>
                <w:lang w:val="en-US" w:eastAsia="zh-CN"/>
              </w:rPr>
              <w:t>4、污泥颗粒生产工艺流程</w:t>
            </w:r>
          </w:p>
          <w:p w14:paraId="21612737">
            <w:pPr>
              <w:pStyle w:val="14"/>
              <w:jc w:val="center"/>
              <w:rPr>
                <w:rFonts w:hint="eastAsia"/>
                <w:b/>
                <w:bCs/>
                <w:lang w:val="en-US" w:eastAsia="zh-CN"/>
              </w:rPr>
            </w:pPr>
            <w:r>
              <w:rPr>
                <w:rFonts w:hint="eastAsia"/>
                <w:b/>
                <w:bCs/>
                <w:lang w:val="en-US" w:eastAsia="zh-CN"/>
              </w:rPr>
              <w:object>
                <v:shape id="_x0000_i1030" o:spt="75" type="#_x0000_t75" style="height:95.25pt;width:157.5pt;" o:ole="t" filled="f" o:preferrelative="t" stroked="f" coordsize="21600,21600">
                  <v:path/>
                  <v:fill on="f" focussize="0,0"/>
                  <v:stroke on="f"/>
                  <v:imagedata r:id="rId18" o:title=""/>
                  <o:lock v:ext="edit" aspectratio="f"/>
                  <w10:wrap type="none"/>
                  <w10:anchorlock/>
                </v:shape>
                <o:OLEObject Type="Embed" ProgID="Visio.Drawing.11" ShapeID="_x0000_i1030" DrawAspect="Content" ObjectID="_1468075730" r:id="rId17">
                  <o:LockedField>false</o:LockedField>
                </o:OLEObject>
              </w:object>
            </w:r>
          </w:p>
          <w:p w14:paraId="700F8E40">
            <w:pPr>
              <w:pStyle w:val="18"/>
              <w:keepNext w:val="0"/>
              <w:keepLines w:val="0"/>
              <w:pageBreakBefore w:val="0"/>
              <w:kinsoku/>
              <w:wordWrap/>
              <w:overflowPunct/>
              <w:topLinePunct w:val="0"/>
              <w:autoSpaceDE/>
              <w:autoSpaceDN/>
              <w:bidi w:val="0"/>
              <w:adjustRightInd/>
              <w:spacing w:line="360" w:lineRule="auto"/>
              <w:ind w:firstLine="482" w:firstLineChars="200"/>
              <w:jc w:val="center"/>
              <w:textAlignment w:val="auto"/>
              <w:rPr>
                <w:rFonts w:hint="eastAsia"/>
                <w:b/>
                <w:bCs/>
                <w:color w:val="auto"/>
                <w:sz w:val="24"/>
                <w:lang w:val="en-US" w:eastAsia="zh-CN"/>
              </w:rPr>
            </w:pPr>
            <w:r>
              <w:rPr>
                <w:rFonts w:hint="eastAsia"/>
                <w:b/>
                <w:bCs/>
                <w:color w:val="auto"/>
                <w:sz w:val="24"/>
                <w:lang w:val="en-US" w:eastAsia="zh-CN"/>
              </w:rPr>
              <w:t>图2-6 污泥颗粒生产工艺流程图</w:t>
            </w:r>
          </w:p>
          <w:p w14:paraId="5D3F203C">
            <w:pPr>
              <w:spacing w:line="360" w:lineRule="auto"/>
              <w:ind w:firstLine="480" w:firstLineChars="200"/>
              <w:rPr>
                <w:rFonts w:hint="eastAsia"/>
                <w:color w:val="auto"/>
                <w:sz w:val="24"/>
                <w:lang w:eastAsia="zh-CN"/>
              </w:rPr>
            </w:pPr>
            <w:r>
              <w:rPr>
                <w:rFonts w:hint="eastAsia"/>
                <w:color w:val="auto"/>
                <w:sz w:val="24"/>
                <w:lang w:eastAsia="zh-CN"/>
              </w:rPr>
              <w:t>工艺流程简述：</w:t>
            </w:r>
          </w:p>
          <w:p w14:paraId="287902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color w:val="auto"/>
                <w:sz w:val="24"/>
                <w:szCs w:val="24"/>
              </w:rPr>
              <w:t>①</w:t>
            </w:r>
            <w:r>
              <w:rPr>
                <w:rFonts w:hint="eastAsia"/>
                <w:color w:val="auto"/>
                <w:sz w:val="24"/>
                <w:szCs w:val="24"/>
                <w:lang w:eastAsia="zh-CN"/>
              </w:rPr>
              <w:t>挤压造粒</w:t>
            </w:r>
          </w:p>
          <w:p w14:paraId="0A5130BB">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rPr>
            </w:pPr>
            <w:r>
              <w:rPr>
                <w:rFonts w:hint="eastAsia" w:ascii="Times New Roman" w:hAnsi="Times New Roman" w:eastAsia="宋体" w:cs="Times New Roman"/>
                <w:color w:val="auto"/>
                <w:kern w:val="2"/>
                <w:sz w:val="24"/>
                <w:szCs w:val="24"/>
                <w:lang w:val="en-US" w:eastAsia="zh-CN" w:bidi="ar-SA"/>
              </w:rPr>
              <w:t>原料</w:t>
            </w:r>
            <w:r>
              <w:rPr>
                <w:rFonts w:hint="eastAsia" w:cs="Times New Roman"/>
                <w:color w:val="auto"/>
                <w:kern w:val="2"/>
                <w:sz w:val="24"/>
                <w:szCs w:val="24"/>
                <w:lang w:val="en-US" w:eastAsia="zh-CN" w:bidi="ar-SA"/>
              </w:rPr>
              <w:t>污泥和锯末经挤出机挤出后即为成品</w:t>
            </w:r>
            <w:r>
              <w:rPr>
                <w:rFonts w:hint="eastAsia" w:ascii="Times New Roman" w:hAnsi="Times New Roman" w:eastAsia="宋体" w:cs="Times New Roman"/>
                <w:color w:val="0000FF"/>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此过程产生</w:t>
            </w:r>
            <w:r>
              <w:rPr>
                <w:rFonts w:hint="eastAsia" w:cs="Times New Roman"/>
                <w:color w:val="auto"/>
                <w:kern w:val="2"/>
                <w:sz w:val="24"/>
                <w:szCs w:val="24"/>
                <w:lang w:val="en-US" w:eastAsia="zh-CN" w:bidi="ar-SA"/>
              </w:rPr>
              <w:t>固废S4</w:t>
            </w: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、噪声N</w:t>
            </w:r>
            <w:r>
              <w:rPr>
                <w:rFonts w:hint="eastAsia" w:ascii="Times New Roman" w:hAnsi="Times New Roman" w:eastAsia="宋体" w:cs="Times New Roman"/>
                <w:color w:val="auto"/>
                <w:kern w:val="2"/>
                <w:sz w:val="24"/>
                <w:szCs w:val="24"/>
                <w:lang w:val="en-US" w:eastAsia="zh-CN" w:bidi="ar-SA"/>
              </w:rPr>
              <w:t>。</w:t>
            </w:r>
          </w:p>
          <w:p w14:paraId="5EBCCD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val="en-US" w:eastAsia="zh-CN"/>
              </w:rPr>
              <w:t>②成</w:t>
            </w:r>
            <w:r>
              <w:rPr>
                <w:rFonts w:hint="eastAsia" w:ascii="Times New Roman" w:hAnsi="Times New Roman" w:eastAsia="宋体" w:cs="Times New Roman"/>
                <w:color w:val="auto"/>
                <w:sz w:val="24"/>
                <w:szCs w:val="24"/>
                <w:lang w:val="en-US" w:eastAsia="zh-CN"/>
              </w:rPr>
              <w:t>品包装入库</w:t>
            </w:r>
          </w:p>
          <w:p w14:paraId="58C8B9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lang w:val="en-US" w:eastAsia="zh-CN"/>
              </w:rPr>
            </w:pPr>
            <w:r>
              <w:rPr>
                <w:rFonts w:hint="eastAsia" w:cs="Times New Roman"/>
                <w:color w:val="auto"/>
                <w:sz w:val="24"/>
                <w:szCs w:val="24"/>
                <w:lang w:val="en-US" w:eastAsia="zh-CN"/>
              </w:rPr>
              <w:t>对成品</w:t>
            </w:r>
            <w:r>
              <w:rPr>
                <w:rFonts w:hint="eastAsia" w:ascii="Times New Roman" w:hAnsi="Times New Roman" w:eastAsia="宋体" w:cs="Times New Roman"/>
                <w:color w:val="auto"/>
                <w:sz w:val="24"/>
                <w:szCs w:val="24"/>
                <w:lang w:val="en-US" w:eastAsia="zh-CN"/>
              </w:rPr>
              <w:t>分袋包装入库，待售。</w:t>
            </w:r>
          </w:p>
          <w:p w14:paraId="6A2C17DF">
            <w:pPr>
              <w:pStyle w:val="18"/>
              <w:keepNext w:val="0"/>
              <w:keepLines w:val="0"/>
              <w:pageBreakBefore w:val="0"/>
              <w:kinsoku/>
              <w:wordWrap/>
              <w:overflowPunct/>
              <w:topLinePunct w:val="0"/>
              <w:autoSpaceDE/>
              <w:autoSpaceDN/>
              <w:bidi w:val="0"/>
              <w:adjustRightInd/>
              <w:spacing w:line="360" w:lineRule="auto"/>
              <w:ind w:firstLine="482" w:firstLineChars="200"/>
              <w:textAlignment w:val="auto"/>
              <w:rPr>
                <w:b/>
                <w:bCs w:val="0"/>
                <w:color w:val="auto"/>
                <w:sz w:val="24"/>
                <w:highlight w:val="none"/>
              </w:rPr>
            </w:pPr>
            <w:r>
              <w:rPr>
                <w:b/>
                <w:bCs w:val="0"/>
                <w:color w:val="auto"/>
                <w:sz w:val="24"/>
                <w:highlight w:val="none"/>
              </w:rPr>
              <w:t>项目生产过程中</w:t>
            </w:r>
            <w:r>
              <w:rPr>
                <w:rFonts w:hint="default" w:ascii="Times New Roman" w:hAnsi="Times New Roman" w:eastAsia="宋体" w:cs="Times New Roman"/>
                <w:b/>
                <w:bCs w:val="0"/>
                <w:color w:val="auto"/>
                <w:sz w:val="24"/>
                <w:highlight w:val="none"/>
              </w:rPr>
              <w:t>污染物</w:t>
            </w:r>
            <w:r>
              <w:rPr>
                <w:b/>
                <w:bCs w:val="0"/>
                <w:color w:val="auto"/>
                <w:sz w:val="24"/>
                <w:highlight w:val="none"/>
              </w:rPr>
              <w:t>产生</w:t>
            </w:r>
            <w:r>
              <w:rPr>
                <w:rFonts w:hint="eastAsia"/>
                <w:b/>
                <w:color w:val="auto"/>
                <w:sz w:val="24"/>
                <w:highlight w:val="none"/>
              </w:rPr>
              <w:t>节点</w:t>
            </w:r>
            <w:r>
              <w:rPr>
                <w:b/>
                <w:bCs w:val="0"/>
                <w:color w:val="auto"/>
                <w:sz w:val="24"/>
                <w:highlight w:val="none"/>
              </w:rPr>
              <w:t>汇总如下：</w:t>
            </w:r>
          </w:p>
          <w:p w14:paraId="576D4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24"/>
                <w:highlight w:val="none"/>
              </w:rPr>
            </w:pPr>
            <w:r>
              <w:rPr>
                <w:rFonts w:hint="eastAsia"/>
                <w:b/>
                <w:color w:val="auto"/>
                <w:sz w:val="24"/>
                <w:highlight w:val="none"/>
              </w:rPr>
              <w:t>表</w:t>
            </w:r>
            <w:r>
              <w:rPr>
                <w:rFonts w:hint="eastAsia"/>
                <w:b/>
                <w:color w:val="auto"/>
                <w:sz w:val="24"/>
                <w:highlight w:val="none"/>
                <w:lang w:val="en-US" w:eastAsia="zh-CN"/>
              </w:rPr>
              <w:t>2</w:t>
            </w:r>
            <w:r>
              <w:rPr>
                <w:rFonts w:hint="eastAsia"/>
                <w:b/>
                <w:color w:val="auto"/>
                <w:sz w:val="24"/>
                <w:highlight w:val="none"/>
              </w:rPr>
              <w:t>-</w:t>
            </w:r>
            <w:r>
              <w:rPr>
                <w:rFonts w:hint="eastAsia"/>
                <w:b/>
                <w:color w:val="auto"/>
                <w:sz w:val="24"/>
                <w:highlight w:val="none"/>
                <w:lang w:val="en-US" w:eastAsia="zh-CN"/>
              </w:rPr>
              <w:t>9</w:t>
            </w:r>
            <w:r>
              <w:rPr>
                <w:rFonts w:hint="eastAsia"/>
                <w:b/>
                <w:color w:val="auto"/>
                <w:sz w:val="24"/>
                <w:highlight w:val="none"/>
              </w:rPr>
              <w:t xml:space="preserve"> 生产工艺产污节点、主要污染物</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055"/>
              <w:gridCol w:w="1891"/>
              <w:gridCol w:w="2553"/>
            </w:tblGrid>
            <w:tr w14:paraId="4E7B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noWrap w:val="0"/>
                  <w:vAlign w:val="center"/>
                </w:tcPr>
                <w:p w14:paraId="339E6D47">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类别</w:t>
                  </w:r>
                </w:p>
              </w:tc>
              <w:tc>
                <w:tcPr>
                  <w:tcW w:w="1291" w:type="pct"/>
                  <w:noWrap w:val="0"/>
                  <w:vAlign w:val="center"/>
                </w:tcPr>
                <w:p w14:paraId="0F25B37F">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产污环节</w:t>
                  </w:r>
                </w:p>
              </w:tc>
              <w:tc>
                <w:tcPr>
                  <w:tcW w:w="1188" w:type="pct"/>
                  <w:noWrap w:val="0"/>
                  <w:vAlign w:val="center"/>
                </w:tcPr>
                <w:p w14:paraId="7192D8CA">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代号</w:t>
                  </w:r>
                </w:p>
              </w:tc>
              <w:tc>
                <w:tcPr>
                  <w:tcW w:w="1604" w:type="pct"/>
                  <w:noWrap w:val="0"/>
                  <w:vAlign w:val="center"/>
                </w:tcPr>
                <w:p w14:paraId="4B3B9331">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污染因子</w:t>
                  </w:r>
                </w:p>
              </w:tc>
            </w:tr>
            <w:tr w14:paraId="1922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vMerge w:val="restart"/>
                  <w:noWrap w:val="0"/>
                  <w:vAlign w:val="center"/>
                </w:tcPr>
                <w:p w14:paraId="5CEA5348">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废气</w:t>
                  </w:r>
                </w:p>
              </w:tc>
              <w:tc>
                <w:tcPr>
                  <w:tcW w:w="1291" w:type="pct"/>
                  <w:noWrap w:val="0"/>
                  <w:vAlign w:val="center"/>
                </w:tcPr>
                <w:p w14:paraId="3DD4A40C">
                  <w:pPr>
                    <w:jc w:val="center"/>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磨粉废气</w:t>
                  </w:r>
                </w:p>
              </w:tc>
              <w:tc>
                <w:tcPr>
                  <w:tcW w:w="1188" w:type="pct"/>
                  <w:noWrap w:val="0"/>
                  <w:vAlign w:val="center"/>
                </w:tcPr>
                <w:p w14:paraId="2E47FDD6">
                  <w:pPr>
                    <w:jc w:val="center"/>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G2-1</w:t>
                  </w:r>
                </w:p>
              </w:tc>
              <w:tc>
                <w:tcPr>
                  <w:tcW w:w="1604" w:type="pct"/>
                  <w:noWrap w:val="0"/>
                  <w:vAlign w:val="center"/>
                </w:tcPr>
                <w:p w14:paraId="79CF32F9">
                  <w:pPr>
                    <w:jc w:val="center"/>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颗粒物</w:t>
                  </w:r>
                </w:p>
              </w:tc>
            </w:tr>
            <w:tr w14:paraId="5978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vMerge w:val="continue"/>
                  <w:noWrap w:val="0"/>
                  <w:vAlign w:val="center"/>
                </w:tcPr>
                <w:p w14:paraId="1AB3C710">
                  <w:pPr>
                    <w:jc w:val="center"/>
                    <w:rPr>
                      <w:rFonts w:hint="default" w:ascii="Times New Roman" w:hAnsi="Times New Roman" w:cs="Times New Roman"/>
                      <w:color w:val="auto"/>
                      <w:kern w:val="0"/>
                      <w:sz w:val="21"/>
                      <w:szCs w:val="21"/>
                      <w:vertAlign w:val="baseline"/>
                      <w:lang w:eastAsia="zh-CN"/>
                    </w:rPr>
                  </w:pPr>
                </w:p>
              </w:tc>
              <w:tc>
                <w:tcPr>
                  <w:tcW w:w="1291" w:type="pct"/>
                  <w:noWrap w:val="0"/>
                  <w:vAlign w:val="center"/>
                </w:tcPr>
                <w:p w14:paraId="673EA0EB">
                  <w:pPr>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eastAsia="zh-CN"/>
                    </w:rPr>
                    <w:t>投料输送废气</w:t>
                  </w:r>
                </w:p>
              </w:tc>
              <w:tc>
                <w:tcPr>
                  <w:tcW w:w="1188" w:type="pct"/>
                  <w:noWrap w:val="0"/>
                  <w:vAlign w:val="center"/>
                </w:tcPr>
                <w:p w14:paraId="5B89F5D1">
                  <w:pPr>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G1-2、G2-2、G3-2</w:t>
                  </w:r>
                </w:p>
              </w:tc>
              <w:tc>
                <w:tcPr>
                  <w:tcW w:w="1604" w:type="pct"/>
                  <w:noWrap w:val="0"/>
                  <w:vAlign w:val="center"/>
                </w:tcPr>
                <w:p w14:paraId="36CE3862">
                  <w:pPr>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颗粒物</w:t>
                  </w:r>
                </w:p>
              </w:tc>
            </w:tr>
            <w:tr w14:paraId="19C2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vMerge w:val="continue"/>
                  <w:noWrap w:val="0"/>
                  <w:vAlign w:val="center"/>
                </w:tcPr>
                <w:p w14:paraId="3D3B8F62">
                  <w:pPr>
                    <w:jc w:val="center"/>
                    <w:rPr>
                      <w:rFonts w:hint="default" w:ascii="Times New Roman" w:hAnsi="Times New Roman" w:cs="Times New Roman"/>
                      <w:color w:val="auto"/>
                      <w:kern w:val="0"/>
                      <w:sz w:val="21"/>
                      <w:szCs w:val="21"/>
                      <w:vertAlign w:val="baseline"/>
                      <w:lang w:eastAsia="zh-CN"/>
                    </w:rPr>
                  </w:pPr>
                </w:p>
              </w:tc>
              <w:tc>
                <w:tcPr>
                  <w:tcW w:w="1291" w:type="pct"/>
                  <w:noWrap w:val="0"/>
                  <w:vAlign w:val="center"/>
                </w:tcPr>
                <w:p w14:paraId="24CFC9DA">
                  <w:pPr>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破碎松散废气</w:t>
                  </w:r>
                </w:p>
              </w:tc>
              <w:tc>
                <w:tcPr>
                  <w:tcW w:w="1188" w:type="pct"/>
                  <w:noWrap w:val="0"/>
                  <w:vAlign w:val="center"/>
                </w:tcPr>
                <w:p w14:paraId="49BFCA52">
                  <w:pPr>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G1-2、G2-3、G3-3</w:t>
                  </w:r>
                </w:p>
              </w:tc>
              <w:tc>
                <w:tcPr>
                  <w:tcW w:w="1604" w:type="pct"/>
                  <w:noWrap w:val="0"/>
                  <w:vAlign w:val="center"/>
                </w:tcPr>
                <w:p w14:paraId="7E57C3A6">
                  <w:pPr>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颗粒物</w:t>
                  </w:r>
                </w:p>
              </w:tc>
            </w:tr>
            <w:tr w14:paraId="7931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vMerge w:val="continue"/>
                  <w:noWrap w:val="0"/>
                  <w:vAlign w:val="center"/>
                </w:tcPr>
                <w:p w14:paraId="403062BE">
                  <w:pPr>
                    <w:jc w:val="center"/>
                    <w:rPr>
                      <w:rFonts w:hint="default" w:ascii="Times New Roman" w:hAnsi="Times New Roman" w:eastAsia="宋体" w:cs="Times New Roman"/>
                      <w:color w:val="auto"/>
                      <w:kern w:val="0"/>
                      <w:sz w:val="21"/>
                      <w:szCs w:val="21"/>
                      <w:vertAlign w:val="baseline"/>
                      <w:lang w:eastAsia="zh-CN"/>
                    </w:rPr>
                  </w:pPr>
                </w:p>
              </w:tc>
              <w:tc>
                <w:tcPr>
                  <w:tcW w:w="1291" w:type="pct"/>
                  <w:noWrap w:val="0"/>
                  <w:vAlign w:val="center"/>
                </w:tcPr>
                <w:p w14:paraId="33C9EB9E">
                  <w:pPr>
                    <w:jc w:val="center"/>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eastAsia="zh-CN"/>
                    </w:rPr>
                    <w:t>混合搅拌</w:t>
                  </w:r>
                </w:p>
              </w:tc>
              <w:tc>
                <w:tcPr>
                  <w:tcW w:w="1188" w:type="pct"/>
                  <w:noWrap w:val="0"/>
                  <w:vAlign w:val="center"/>
                </w:tcPr>
                <w:p w14:paraId="42C05761">
                  <w:pPr>
                    <w:jc w:val="center"/>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G1-3、G2-4、G3-4</w:t>
                  </w:r>
                </w:p>
              </w:tc>
              <w:tc>
                <w:tcPr>
                  <w:tcW w:w="1604" w:type="pct"/>
                  <w:noWrap w:val="0"/>
                  <w:vAlign w:val="center"/>
                </w:tcPr>
                <w:p w14:paraId="5E50ED5A">
                  <w:pPr>
                    <w:jc w:val="center"/>
                    <w:rPr>
                      <w:rFonts w:hint="default" w:ascii="Times New Roman" w:hAnsi="Times New Roman" w:cs="Times New Roman"/>
                      <w:color w:val="auto"/>
                      <w:kern w:val="0"/>
                      <w:sz w:val="21"/>
                      <w:szCs w:val="21"/>
                      <w:vertAlign w:val="baseline"/>
                      <w:lang w:val="en-US" w:eastAsia="zh-CN" w:bidi="ar-SA"/>
                    </w:rPr>
                  </w:pPr>
                  <w:r>
                    <w:rPr>
                      <w:rFonts w:hint="default" w:ascii="Times New Roman" w:hAnsi="Times New Roman" w:cs="Times New Roman"/>
                      <w:color w:val="auto"/>
                      <w:kern w:val="0"/>
                      <w:sz w:val="21"/>
                      <w:szCs w:val="21"/>
                      <w:vertAlign w:val="baseline"/>
                      <w:lang w:val="en-US" w:eastAsia="zh-CN"/>
                    </w:rPr>
                    <w:t>颗粒物</w:t>
                  </w:r>
                </w:p>
              </w:tc>
            </w:tr>
            <w:tr w14:paraId="6FD8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vMerge w:val="continue"/>
                  <w:noWrap w:val="0"/>
                  <w:vAlign w:val="center"/>
                </w:tcPr>
                <w:p w14:paraId="7EA7D46D">
                  <w:pPr>
                    <w:jc w:val="center"/>
                    <w:rPr>
                      <w:rFonts w:hint="default" w:ascii="Times New Roman" w:hAnsi="Times New Roman" w:eastAsia="宋体" w:cs="Times New Roman"/>
                      <w:color w:val="auto"/>
                      <w:kern w:val="0"/>
                      <w:sz w:val="21"/>
                      <w:szCs w:val="21"/>
                      <w:vertAlign w:val="baseline"/>
                      <w:lang w:eastAsia="zh-CN"/>
                    </w:rPr>
                  </w:pPr>
                </w:p>
              </w:tc>
              <w:tc>
                <w:tcPr>
                  <w:tcW w:w="1291" w:type="pct"/>
                  <w:noWrap w:val="0"/>
                  <w:vAlign w:val="center"/>
                </w:tcPr>
                <w:p w14:paraId="01A68143">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下料废气</w:t>
                  </w:r>
                </w:p>
              </w:tc>
              <w:tc>
                <w:tcPr>
                  <w:tcW w:w="1188" w:type="pct"/>
                  <w:noWrap w:val="0"/>
                  <w:vAlign w:val="center"/>
                </w:tcPr>
                <w:p w14:paraId="6AB128A2">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G1-4、G2-5</w:t>
                  </w:r>
                </w:p>
              </w:tc>
              <w:tc>
                <w:tcPr>
                  <w:tcW w:w="1604" w:type="pct"/>
                  <w:noWrap w:val="0"/>
                  <w:vAlign w:val="center"/>
                </w:tcPr>
                <w:p w14:paraId="19AA3390">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颗粒物</w:t>
                  </w:r>
                </w:p>
              </w:tc>
            </w:tr>
            <w:tr w14:paraId="2251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vMerge w:val="continue"/>
                  <w:noWrap w:val="0"/>
                  <w:vAlign w:val="center"/>
                </w:tcPr>
                <w:p w14:paraId="4AA1F1F7">
                  <w:pPr>
                    <w:jc w:val="center"/>
                    <w:rPr>
                      <w:rFonts w:hint="default" w:ascii="Times New Roman" w:hAnsi="Times New Roman" w:eastAsia="宋体" w:cs="Times New Roman"/>
                      <w:color w:val="auto"/>
                      <w:kern w:val="0"/>
                      <w:sz w:val="21"/>
                      <w:szCs w:val="21"/>
                      <w:vertAlign w:val="baseline"/>
                      <w:lang w:eastAsia="zh-CN"/>
                    </w:rPr>
                  </w:pPr>
                </w:p>
              </w:tc>
              <w:tc>
                <w:tcPr>
                  <w:tcW w:w="1291" w:type="pct"/>
                  <w:noWrap w:val="0"/>
                  <w:vAlign w:val="center"/>
                </w:tcPr>
                <w:p w14:paraId="4E19CA74">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翻抛</w:t>
                  </w:r>
                </w:p>
              </w:tc>
              <w:tc>
                <w:tcPr>
                  <w:tcW w:w="1188" w:type="pct"/>
                  <w:noWrap w:val="0"/>
                  <w:vAlign w:val="center"/>
                </w:tcPr>
                <w:p w14:paraId="66A2EC19">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G3-5</w:t>
                  </w:r>
                </w:p>
              </w:tc>
              <w:tc>
                <w:tcPr>
                  <w:tcW w:w="1604" w:type="pct"/>
                  <w:noWrap w:val="0"/>
                  <w:vAlign w:val="center"/>
                </w:tcPr>
                <w:p w14:paraId="6C828083">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氨、硫化氢、臭气浓度</w:t>
                  </w:r>
                </w:p>
              </w:tc>
            </w:tr>
            <w:tr w14:paraId="6018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noWrap w:val="0"/>
                  <w:vAlign w:val="center"/>
                </w:tcPr>
                <w:p w14:paraId="14A1DBC9">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废水</w:t>
                  </w:r>
                </w:p>
              </w:tc>
              <w:tc>
                <w:tcPr>
                  <w:tcW w:w="1291" w:type="pct"/>
                  <w:noWrap w:val="0"/>
                  <w:vAlign w:val="center"/>
                </w:tcPr>
                <w:p w14:paraId="1C124A34">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职工生活</w:t>
                  </w:r>
                </w:p>
              </w:tc>
              <w:tc>
                <w:tcPr>
                  <w:tcW w:w="1188" w:type="pct"/>
                  <w:noWrap w:val="0"/>
                  <w:vAlign w:val="center"/>
                </w:tcPr>
                <w:p w14:paraId="60E444A1">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W1</w:t>
                  </w:r>
                </w:p>
              </w:tc>
              <w:tc>
                <w:tcPr>
                  <w:tcW w:w="1604" w:type="pct"/>
                  <w:noWrap w:val="0"/>
                  <w:vAlign w:val="center"/>
                </w:tcPr>
                <w:p w14:paraId="4A5B2255">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废水</w:t>
                  </w:r>
                </w:p>
              </w:tc>
            </w:tr>
            <w:tr w14:paraId="339C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noWrap w:val="0"/>
                  <w:vAlign w:val="center"/>
                </w:tcPr>
                <w:p w14:paraId="433DE151">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固废</w:t>
                  </w:r>
                </w:p>
              </w:tc>
              <w:tc>
                <w:tcPr>
                  <w:tcW w:w="1291" w:type="pct"/>
                  <w:noWrap w:val="0"/>
                  <w:vAlign w:val="center"/>
                </w:tcPr>
                <w:p w14:paraId="544A91C6">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物料使用</w:t>
                  </w:r>
                </w:p>
              </w:tc>
              <w:tc>
                <w:tcPr>
                  <w:tcW w:w="1188" w:type="pct"/>
                  <w:noWrap w:val="0"/>
                  <w:vAlign w:val="center"/>
                </w:tcPr>
                <w:p w14:paraId="731DD8EF">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S1-1、S2-1、S3-1、S4-1</w:t>
                  </w:r>
                </w:p>
              </w:tc>
              <w:tc>
                <w:tcPr>
                  <w:tcW w:w="1604" w:type="pct"/>
                  <w:noWrap w:val="0"/>
                  <w:vAlign w:val="center"/>
                </w:tcPr>
                <w:p w14:paraId="015456E7">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废包装袋</w:t>
                  </w:r>
                </w:p>
              </w:tc>
            </w:tr>
            <w:tr w14:paraId="3E27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5" w:type="pct"/>
                  <w:noWrap w:val="0"/>
                  <w:vAlign w:val="center"/>
                </w:tcPr>
                <w:p w14:paraId="45CE78F6">
                  <w:pPr>
                    <w:jc w:val="center"/>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噪声</w:t>
                  </w:r>
                </w:p>
              </w:tc>
              <w:tc>
                <w:tcPr>
                  <w:tcW w:w="1291" w:type="pct"/>
                  <w:noWrap w:val="0"/>
                  <w:vAlign w:val="center"/>
                </w:tcPr>
                <w:p w14:paraId="30EFE0E5">
                  <w:pPr>
                    <w:jc w:val="center"/>
                    <w:rPr>
                      <w:rFonts w:hint="default" w:ascii="Times New Roman" w:hAnsi="Times New Roman"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生产设备</w:t>
                  </w:r>
                </w:p>
              </w:tc>
              <w:tc>
                <w:tcPr>
                  <w:tcW w:w="1188" w:type="pct"/>
                  <w:noWrap w:val="0"/>
                  <w:vAlign w:val="center"/>
                </w:tcPr>
                <w:p w14:paraId="50E37E80">
                  <w:pPr>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N</w:t>
                  </w:r>
                </w:p>
              </w:tc>
              <w:tc>
                <w:tcPr>
                  <w:tcW w:w="1604" w:type="pct"/>
                  <w:noWrap w:val="0"/>
                  <w:vAlign w:val="center"/>
                </w:tcPr>
                <w:p w14:paraId="4FF5D39C">
                  <w:pPr>
                    <w:jc w:val="center"/>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cs="Times New Roman"/>
                      <w:color w:val="auto"/>
                      <w:kern w:val="0"/>
                      <w:sz w:val="21"/>
                      <w:szCs w:val="21"/>
                      <w:vertAlign w:val="baseline"/>
                      <w:lang w:eastAsia="zh-CN"/>
                    </w:rPr>
                    <w:t>等效连续声级</w:t>
                  </w:r>
                </w:p>
              </w:tc>
            </w:tr>
          </w:tbl>
          <w:p w14:paraId="0133A722">
            <w:pPr>
              <w:jc w:val="center"/>
              <w:rPr>
                <w:rFonts w:ascii="宋体" w:hAnsi="宋体" w:cs="宋体"/>
                <w:kern w:val="0"/>
                <w:sz w:val="24"/>
              </w:rPr>
            </w:pPr>
          </w:p>
          <w:p w14:paraId="761C6D3B">
            <w:pPr>
              <w:jc w:val="center"/>
              <w:rPr>
                <w:rFonts w:ascii="宋体" w:hAnsi="宋体" w:cs="宋体"/>
                <w:kern w:val="0"/>
                <w:sz w:val="24"/>
              </w:rPr>
            </w:pPr>
          </w:p>
          <w:p w14:paraId="480FFBA6">
            <w:pPr>
              <w:rPr>
                <w:rFonts w:ascii="宋体" w:hAnsi="宋体" w:cs="宋体"/>
                <w:kern w:val="0"/>
                <w:sz w:val="24"/>
              </w:rPr>
            </w:pPr>
          </w:p>
        </w:tc>
      </w:tr>
    </w:tbl>
    <w:p w14:paraId="0A1D28EB">
      <w:pPr>
        <w:pStyle w:val="9"/>
        <w:sectPr>
          <w:pgSz w:w="11906" w:h="16838"/>
          <w:pgMar w:top="1440" w:right="1803" w:bottom="1440" w:left="1803" w:header="851" w:footer="1077" w:gutter="0"/>
          <w:cols w:space="720" w:num="1"/>
          <w:docGrid w:linePitch="312" w:charSpace="0"/>
        </w:sectPr>
      </w:pP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54"/>
        <w:gridCol w:w="8062"/>
      </w:tblGrid>
      <w:tr w14:paraId="15B797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772" w:hRule="atLeast"/>
          <w:jc w:val="center"/>
        </w:trPr>
        <w:tc>
          <w:tcPr>
            <w:tcW w:w="454" w:type="dxa"/>
            <w:tcBorders>
              <w:tl2br w:val="nil"/>
              <w:tr2bl w:val="nil"/>
            </w:tcBorders>
            <w:vAlign w:val="center"/>
          </w:tcPr>
          <w:p w14:paraId="04738A6D">
            <w:pPr>
              <w:pStyle w:val="24"/>
              <w:adjustRightInd w:val="0"/>
              <w:snapToGrid w:val="0"/>
              <w:spacing w:before="0" w:beforeAutospacing="0" w:after="0" w:afterAutospacing="0"/>
              <w:jc w:val="center"/>
              <w:rPr>
                <w:rFonts w:cs="宋体"/>
                <w:szCs w:val="24"/>
              </w:rPr>
            </w:pPr>
            <w:r>
              <w:rPr>
                <w:rFonts w:hint="eastAsia" w:cs="宋体"/>
                <w:szCs w:val="24"/>
              </w:rPr>
              <w:t>与项目有关的原有环境污染问题</w:t>
            </w:r>
          </w:p>
        </w:tc>
        <w:tc>
          <w:tcPr>
            <w:tcW w:w="8062" w:type="dxa"/>
            <w:tcBorders>
              <w:tl2br w:val="nil"/>
              <w:tr2bl w:val="nil"/>
            </w:tcBorders>
          </w:tcPr>
          <w:p w14:paraId="520ED47C">
            <w:pPr>
              <w:adjustRightInd w:val="0"/>
              <w:snapToGrid w:val="0"/>
              <w:spacing w:line="360" w:lineRule="auto"/>
              <w:rPr>
                <w:b/>
                <w:bCs/>
                <w:kern w:val="0"/>
                <w:sz w:val="24"/>
              </w:rPr>
            </w:pPr>
            <w:r>
              <w:rPr>
                <w:b/>
                <w:bCs/>
                <w:kern w:val="0"/>
                <w:sz w:val="24"/>
              </w:rPr>
              <w:t>1、</w:t>
            </w:r>
            <w:r>
              <w:rPr>
                <w:rFonts w:hint="eastAsia"/>
                <w:b/>
                <w:bCs/>
                <w:kern w:val="0"/>
                <w:sz w:val="24"/>
              </w:rPr>
              <w:t>现有</w:t>
            </w:r>
            <w:r>
              <w:rPr>
                <w:b/>
                <w:bCs/>
                <w:kern w:val="0"/>
                <w:sz w:val="24"/>
              </w:rPr>
              <w:t>工程环保手续履行情况</w:t>
            </w:r>
          </w:p>
          <w:p w14:paraId="74B64FC5">
            <w:pPr>
              <w:pStyle w:val="41"/>
              <w:spacing w:line="360" w:lineRule="auto"/>
              <w:rPr>
                <w:sz w:val="24"/>
              </w:rPr>
            </w:pPr>
            <w:r>
              <w:rPr>
                <w:rFonts w:hint="eastAsia"/>
                <w:sz w:val="24"/>
              </w:rPr>
              <w:t>表2</w:t>
            </w:r>
            <w:r>
              <w:rPr>
                <w:rFonts w:hint="eastAsia"/>
                <w:sz w:val="24"/>
                <w:lang w:val="en-US" w:eastAsia="zh-CN"/>
              </w:rPr>
              <w:t>-10</w:t>
            </w:r>
            <w:r>
              <w:rPr>
                <w:rFonts w:hint="eastAsia"/>
                <w:sz w:val="24"/>
              </w:rPr>
              <w:t xml:space="preserve">  环评及其相关手续办理情况一览表</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16"/>
              <w:gridCol w:w="1001"/>
              <w:gridCol w:w="1379"/>
              <w:gridCol w:w="2172"/>
              <w:gridCol w:w="2336"/>
            </w:tblGrid>
            <w:tr w14:paraId="6143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 w:type="pct"/>
                  <w:tcBorders>
                    <w:tl2br w:val="nil"/>
                    <w:tr2bl w:val="nil"/>
                  </w:tcBorders>
                  <w:vAlign w:val="center"/>
                </w:tcPr>
                <w:p w14:paraId="3FFB3E7C">
                  <w:pPr>
                    <w:pStyle w:val="37"/>
                    <w:spacing w:line="240" w:lineRule="auto"/>
                    <w:ind w:left="0" w:firstLine="0"/>
                    <w:rPr>
                      <w:b w:val="0"/>
                      <w:bCs w:val="0"/>
                      <w:szCs w:val="21"/>
                      <w:lang w:eastAsia="zh-CN"/>
                    </w:rPr>
                  </w:pPr>
                  <w:r>
                    <w:rPr>
                      <w:rFonts w:hint="eastAsia"/>
                      <w:b w:val="0"/>
                      <w:bCs w:val="0"/>
                      <w:szCs w:val="21"/>
                      <w:lang w:eastAsia="zh-CN"/>
                    </w:rPr>
                    <w:t>序号</w:t>
                  </w:r>
                </w:p>
              </w:tc>
              <w:tc>
                <w:tcPr>
                  <w:tcW w:w="329" w:type="pct"/>
                  <w:tcBorders>
                    <w:tl2br w:val="nil"/>
                    <w:tr2bl w:val="nil"/>
                  </w:tcBorders>
                  <w:vAlign w:val="center"/>
                </w:tcPr>
                <w:p w14:paraId="442FC767">
                  <w:pPr>
                    <w:pStyle w:val="37"/>
                    <w:spacing w:line="240" w:lineRule="auto"/>
                    <w:ind w:left="0" w:firstLine="0"/>
                    <w:rPr>
                      <w:b w:val="0"/>
                      <w:bCs w:val="0"/>
                      <w:szCs w:val="21"/>
                      <w:lang w:eastAsia="zh-CN"/>
                    </w:rPr>
                  </w:pPr>
                  <w:r>
                    <w:rPr>
                      <w:rFonts w:hint="eastAsia"/>
                      <w:b w:val="0"/>
                      <w:bCs w:val="0"/>
                      <w:szCs w:val="21"/>
                      <w:lang w:eastAsia="zh-CN"/>
                    </w:rPr>
                    <w:t>项目名称</w:t>
                  </w:r>
                </w:p>
              </w:tc>
              <w:tc>
                <w:tcPr>
                  <w:tcW w:w="639" w:type="pct"/>
                  <w:tcBorders>
                    <w:tl2br w:val="nil"/>
                    <w:tr2bl w:val="nil"/>
                  </w:tcBorders>
                  <w:vAlign w:val="center"/>
                </w:tcPr>
                <w:p w14:paraId="11FE0271">
                  <w:pPr>
                    <w:pStyle w:val="37"/>
                    <w:spacing w:line="240" w:lineRule="auto"/>
                    <w:ind w:left="0" w:firstLine="0"/>
                    <w:rPr>
                      <w:b w:val="0"/>
                      <w:bCs w:val="0"/>
                      <w:szCs w:val="21"/>
                      <w:lang w:eastAsia="zh-CN"/>
                    </w:rPr>
                  </w:pPr>
                  <w:r>
                    <w:rPr>
                      <w:rFonts w:hint="eastAsia"/>
                      <w:b w:val="0"/>
                      <w:bCs w:val="0"/>
                      <w:szCs w:val="21"/>
                      <w:lang w:eastAsia="zh-CN"/>
                    </w:rPr>
                    <w:t>环评文本</w:t>
                  </w:r>
                </w:p>
              </w:tc>
              <w:tc>
                <w:tcPr>
                  <w:tcW w:w="880" w:type="pct"/>
                  <w:tcBorders>
                    <w:tl2br w:val="nil"/>
                    <w:tr2bl w:val="nil"/>
                  </w:tcBorders>
                  <w:vAlign w:val="center"/>
                </w:tcPr>
                <w:p w14:paraId="7E523CF4">
                  <w:pPr>
                    <w:pStyle w:val="37"/>
                    <w:spacing w:line="240" w:lineRule="auto"/>
                    <w:ind w:left="0" w:firstLine="0"/>
                    <w:rPr>
                      <w:b w:val="0"/>
                      <w:bCs w:val="0"/>
                      <w:szCs w:val="21"/>
                      <w:lang w:eastAsia="zh-CN"/>
                    </w:rPr>
                  </w:pPr>
                  <w:r>
                    <w:rPr>
                      <w:rFonts w:hint="eastAsia"/>
                      <w:b w:val="0"/>
                      <w:bCs w:val="0"/>
                      <w:szCs w:val="21"/>
                      <w:lang w:eastAsia="zh-CN"/>
                    </w:rPr>
                    <w:t>环评批复</w:t>
                  </w:r>
                </w:p>
              </w:tc>
              <w:tc>
                <w:tcPr>
                  <w:tcW w:w="1386" w:type="pct"/>
                  <w:tcBorders>
                    <w:tl2br w:val="nil"/>
                    <w:tr2bl w:val="nil"/>
                  </w:tcBorders>
                  <w:vAlign w:val="center"/>
                </w:tcPr>
                <w:p w14:paraId="334BEC26">
                  <w:pPr>
                    <w:pStyle w:val="37"/>
                    <w:spacing w:line="240" w:lineRule="auto"/>
                    <w:ind w:left="0" w:firstLine="0"/>
                    <w:rPr>
                      <w:b w:val="0"/>
                      <w:bCs w:val="0"/>
                      <w:szCs w:val="21"/>
                      <w:lang w:eastAsia="zh-CN"/>
                    </w:rPr>
                  </w:pPr>
                  <w:r>
                    <w:rPr>
                      <w:rFonts w:hint="eastAsia"/>
                      <w:b w:val="0"/>
                      <w:bCs w:val="0"/>
                      <w:szCs w:val="21"/>
                      <w:lang w:eastAsia="zh-CN"/>
                    </w:rPr>
                    <w:t>验收意见</w:t>
                  </w:r>
                </w:p>
              </w:tc>
              <w:tc>
                <w:tcPr>
                  <w:tcW w:w="1491" w:type="pct"/>
                  <w:tcBorders>
                    <w:tl2br w:val="nil"/>
                    <w:tr2bl w:val="nil"/>
                  </w:tcBorders>
                  <w:vAlign w:val="center"/>
                </w:tcPr>
                <w:p w14:paraId="012BD175">
                  <w:pPr>
                    <w:pStyle w:val="37"/>
                    <w:spacing w:line="240" w:lineRule="auto"/>
                    <w:ind w:left="0" w:firstLine="0"/>
                    <w:rPr>
                      <w:b w:val="0"/>
                      <w:bCs w:val="0"/>
                      <w:szCs w:val="21"/>
                      <w:lang w:eastAsia="zh-CN"/>
                    </w:rPr>
                  </w:pPr>
                  <w:r>
                    <w:rPr>
                      <w:rFonts w:hint="eastAsia"/>
                      <w:b w:val="0"/>
                      <w:bCs w:val="0"/>
                      <w:szCs w:val="21"/>
                      <w:lang w:eastAsia="zh-CN"/>
                    </w:rPr>
                    <w:t>排污许可</w:t>
                  </w:r>
                </w:p>
              </w:tc>
            </w:tr>
            <w:tr w14:paraId="7738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272" w:type="pct"/>
                  <w:vMerge w:val="restart"/>
                  <w:tcBorders>
                    <w:tl2br w:val="nil"/>
                    <w:tr2bl w:val="nil"/>
                  </w:tcBorders>
                  <w:vAlign w:val="center"/>
                </w:tcPr>
                <w:p w14:paraId="1DB76E55">
                  <w:pPr>
                    <w:pStyle w:val="37"/>
                    <w:spacing w:line="240" w:lineRule="auto"/>
                    <w:ind w:left="0" w:firstLine="0"/>
                    <w:rPr>
                      <w:b w:val="0"/>
                      <w:bCs w:val="0"/>
                      <w:szCs w:val="21"/>
                      <w:lang w:eastAsia="zh-CN"/>
                    </w:rPr>
                  </w:pPr>
                  <w:r>
                    <w:rPr>
                      <w:rFonts w:hint="eastAsia"/>
                      <w:b w:val="0"/>
                      <w:bCs w:val="0"/>
                      <w:szCs w:val="21"/>
                      <w:lang w:eastAsia="zh-CN"/>
                    </w:rPr>
                    <w:t>1</w:t>
                  </w:r>
                </w:p>
              </w:tc>
              <w:tc>
                <w:tcPr>
                  <w:tcW w:w="329" w:type="pct"/>
                  <w:vMerge w:val="restart"/>
                  <w:tcBorders>
                    <w:tl2br w:val="nil"/>
                    <w:tr2bl w:val="nil"/>
                  </w:tcBorders>
                  <w:vAlign w:val="center"/>
                </w:tcPr>
                <w:p w14:paraId="29F5F7CB">
                  <w:pPr>
                    <w:pStyle w:val="37"/>
                    <w:spacing w:line="240" w:lineRule="auto"/>
                    <w:ind w:left="0" w:firstLine="0"/>
                    <w:rPr>
                      <w:b w:val="0"/>
                      <w:bCs w:val="0"/>
                      <w:szCs w:val="21"/>
                      <w:lang w:eastAsia="zh-CN"/>
                    </w:rPr>
                  </w:pPr>
                  <w:r>
                    <w:rPr>
                      <w:rFonts w:hint="eastAsia"/>
                      <w:b w:val="0"/>
                      <w:bCs w:val="0"/>
                      <w:szCs w:val="21"/>
                      <w:lang w:val="en-US" w:eastAsia="zh-CN"/>
                    </w:rPr>
                    <w:t>道路建养材料生产项目</w:t>
                  </w:r>
                </w:p>
              </w:tc>
              <w:tc>
                <w:tcPr>
                  <w:tcW w:w="639" w:type="pct"/>
                  <w:vMerge w:val="restart"/>
                  <w:tcBorders>
                    <w:tl2br w:val="nil"/>
                    <w:tr2bl w:val="nil"/>
                  </w:tcBorders>
                  <w:vAlign w:val="center"/>
                </w:tcPr>
                <w:p w14:paraId="1D06BFCD">
                  <w:pPr>
                    <w:pStyle w:val="37"/>
                    <w:spacing w:line="240" w:lineRule="auto"/>
                    <w:ind w:left="0" w:firstLine="0"/>
                    <w:rPr>
                      <w:b w:val="0"/>
                      <w:bCs w:val="0"/>
                      <w:szCs w:val="21"/>
                      <w:lang w:eastAsia="zh-CN"/>
                    </w:rPr>
                  </w:pPr>
                  <w:r>
                    <w:rPr>
                      <w:rFonts w:hint="eastAsia"/>
                      <w:b w:val="0"/>
                      <w:bCs w:val="0"/>
                      <w:lang w:eastAsia="zh-CN"/>
                    </w:rPr>
                    <w:t>《</w:t>
                  </w:r>
                  <w:r>
                    <w:rPr>
                      <w:rFonts w:hint="eastAsia"/>
                      <w:b w:val="0"/>
                      <w:bCs w:val="0"/>
                      <w:lang w:val="en-US" w:eastAsia="zh-CN"/>
                    </w:rPr>
                    <w:t>安徽省红跃环保科技有限公司宿州分公司道路建养材料生产项目环境影响报告表</w:t>
                  </w:r>
                  <w:r>
                    <w:rPr>
                      <w:rFonts w:hint="eastAsia"/>
                      <w:b w:val="0"/>
                      <w:bCs w:val="0"/>
                      <w:lang w:eastAsia="zh-CN"/>
                    </w:rPr>
                    <w:t>》</w:t>
                  </w:r>
                </w:p>
              </w:tc>
              <w:tc>
                <w:tcPr>
                  <w:tcW w:w="880" w:type="pct"/>
                  <w:vMerge w:val="restart"/>
                  <w:tcBorders>
                    <w:tl2br w:val="nil"/>
                    <w:tr2bl w:val="nil"/>
                  </w:tcBorders>
                  <w:vAlign w:val="center"/>
                </w:tcPr>
                <w:p w14:paraId="4AA2CAD3">
                  <w:pPr>
                    <w:pStyle w:val="37"/>
                    <w:spacing w:line="240" w:lineRule="auto"/>
                    <w:ind w:left="0" w:firstLine="0"/>
                    <w:rPr>
                      <w:b w:val="0"/>
                      <w:bCs w:val="0"/>
                      <w:szCs w:val="21"/>
                      <w:lang w:eastAsia="zh-CN"/>
                    </w:rPr>
                  </w:pPr>
                  <w:r>
                    <w:rPr>
                      <w:rFonts w:hint="eastAsia"/>
                      <w:b w:val="0"/>
                      <w:bCs w:val="0"/>
                      <w:lang w:eastAsia="zh-CN"/>
                    </w:rPr>
                    <w:t>《</w:t>
                  </w:r>
                  <w:r>
                    <w:rPr>
                      <w:rFonts w:hint="eastAsia"/>
                      <w:b w:val="0"/>
                      <w:bCs w:val="0"/>
                      <w:lang w:val="en-US" w:eastAsia="zh-CN"/>
                    </w:rPr>
                    <w:t>关于对安徽省红跃环保科技有限公司宿州分公司道路建养材料生产项目环境影响报告表的批复</w:t>
                  </w:r>
                  <w:r>
                    <w:rPr>
                      <w:rFonts w:hint="eastAsia"/>
                      <w:b w:val="0"/>
                      <w:bCs w:val="0"/>
                      <w:lang w:eastAsia="zh-CN"/>
                    </w:rPr>
                    <w:t>》（</w:t>
                  </w:r>
                  <w:r>
                    <w:rPr>
                      <w:rFonts w:hint="eastAsia"/>
                      <w:b w:val="0"/>
                      <w:bCs w:val="0"/>
                      <w:lang w:val="en-US" w:eastAsia="zh-CN"/>
                    </w:rPr>
                    <w:t>宿州市埇桥区生态环境分局，埇环建字【2024】3号，2024年1月9日</w:t>
                  </w:r>
                  <w:r>
                    <w:rPr>
                      <w:rFonts w:hint="eastAsia"/>
                      <w:b w:val="0"/>
                      <w:bCs w:val="0"/>
                      <w:szCs w:val="21"/>
                      <w:lang w:eastAsia="zh-CN"/>
                    </w:rPr>
                    <w:t>）</w:t>
                  </w:r>
                </w:p>
              </w:tc>
              <w:tc>
                <w:tcPr>
                  <w:tcW w:w="1386" w:type="pct"/>
                  <w:tcBorders>
                    <w:tl2br w:val="nil"/>
                    <w:tr2bl w:val="nil"/>
                  </w:tcBorders>
                  <w:vAlign w:val="center"/>
                </w:tcPr>
                <w:p w14:paraId="11C7E379">
                  <w:pPr>
                    <w:pStyle w:val="37"/>
                    <w:spacing w:line="240" w:lineRule="auto"/>
                    <w:ind w:left="0" w:firstLine="0"/>
                    <w:rPr>
                      <w:b w:val="0"/>
                      <w:bCs w:val="0"/>
                      <w:szCs w:val="21"/>
                      <w:lang w:eastAsia="zh-CN"/>
                    </w:rPr>
                  </w:pPr>
                  <w:r>
                    <w:rPr>
                      <w:rFonts w:hint="eastAsia"/>
                      <w:b w:val="0"/>
                      <w:bCs w:val="0"/>
                      <w:lang w:eastAsia="zh-CN"/>
                    </w:rPr>
                    <w:t>《</w:t>
                  </w:r>
                  <w:r>
                    <w:rPr>
                      <w:rFonts w:hint="eastAsia"/>
                      <w:b w:val="0"/>
                      <w:bCs w:val="0"/>
                      <w:lang w:val="en-US" w:eastAsia="zh-CN"/>
                    </w:rPr>
                    <w:t>安徽省红跃环保科技有限公司宿州分公司道路建养材料生产项目</w:t>
                  </w:r>
                  <w:r>
                    <w:rPr>
                      <w:rFonts w:hint="eastAsia"/>
                      <w:b w:val="0"/>
                      <w:bCs w:val="0"/>
                      <w:lang w:eastAsia="zh-CN"/>
                    </w:rPr>
                    <w:t>竣工环境保护验收意见》（阶段性）（20</w:t>
                  </w:r>
                  <w:r>
                    <w:rPr>
                      <w:rFonts w:hint="eastAsia"/>
                      <w:b w:val="0"/>
                      <w:bCs w:val="0"/>
                      <w:lang w:val="en-US" w:eastAsia="zh-CN"/>
                    </w:rPr>
                    <w:t>24</w:t>
                  </w:r>
                  <w:r>
                    <w:rPr>
                      <w:rFonts w:hint="eastAsia"/>
                      <w:b w:val="0"/>
                      <w:bCs w:val="0"/>
                      <w:lang w:eastAsia="zh-CN"/>
                    </w:rPr>
                    <w:t>年</w:t>
                  </w:r>
                  <w:r>
                    <w:rPr>
                      <w:rFonts w:hint="eastAsia"/>
                      <w:b w:val="0"/>
                      <w:bCs w:val="0"/>
                      <w:lang w:val="en-US" w:eastAsia="zh-CN"/>
                    </w:rPr>
                    <w:t>12</w:t>
                  </w:r>
                  <w:r>
                    <w:rPr>
                      <w:rFonts w:hint="eastAsia"/>
                      <w:b w:val="0"/>
                      <w:bCs w:val="0"/>
                      <w:lang w:eastAsia="zh-CN"/>
                    </w:rPr>
                    <w:t>月</w:t>
                  </w:r>
                  <w:r>
                    <w:rPr>
                      <w:rFonts w:hint="eastAsia"/>
                      <w:b w:val="0"/>
                      <w:bCs w:val="0"/>
                      <w:lang w:val="en-US" w:eastAsia="zh-CN"/>
                    </w:rPr>
                    <w:t>28</w:t>
                  </w:r>
                  <w:r>
                    <w:rPr>
                      <w:rFonts w:hint="eastAsia"/>
                      <w:b w:val="0"/>
                      <w:bCs w:val="0"/>
                      <w:lang w:eastAsia="zh-CN"/>
                    </w:rPr>
                    <w:t>日）</w:t>
                  </w:r>
                </w:p>
              </w:tc>
              <w:tc>
                <w:tcPr>
                  <w:tcW w:w="1491" w:type="pct"/>
                  <w:vMerge w:val="restart"/>
                  <w:tcBorders>
                    <w:tl2br w:val="nil"/>
                    <w:tr2bl w:val="nil"/>
                  </w:tcBorders>
                  <w:vAlign w:val="center"/>
                </w:tcPr>
                <w:p w14:paraId="2ECA4551">
                  <w:pPr>
                    <w:pStyle w:val="37"/>
                    <w:spacing w:line="240" w:lineRule="auto"/>
                    <w:ind w:left="0" w:firstLine="0"/>
                    <w:rPr>
                      <w:b w:val="0"/>
                      <w:bCs w:val="0"/>
                      <w:lang w:eastAsia="zh-CN"/>
                    </w:rPr>
                  </w:pPr>
                  <w:r>
                    <w:rPr>
                      <w:b w:val="0"/>
                      <w:bCs w:val="0"/>
                      <w:lang w:eastAsia="zh-CN"/>
                    </w:rPr>
                    <w:t>排污许可证</w:t>
                  </w:r>
                </w:p>
                <w:p w14:paraId="463BFE68">
                  <w:pPr>
                    <w:pStyle w:val="37"/>
                    <w:spacing w:line="240" w:lineRule="auto"/>
                    <w:ind w:left="0" w:firstLine="0"/>
                    <w:rPr>
                      <w:b w:val="0"/>
                      <w:bCs w:val="0"/>
                      <w:lang w:eastAsia="zh-CN"/>
                    </w:rPr>
                  </w:pPr>
                  <w:r>
                    <w:rPr>
                      <w:b w:val="0"/>
                      <w:bCs w:val="0"/>
                      <w:lang w:eastAsia="zh-CN"/>
                    </w:rPr>
                    <w:t>（证书编号：</w:t>
                  </w:r>
                  <w:r>
                    <w:rPr>
                      <w:rFonts w:hint="eastAsia"/>
                      <w:b w:val="0"/>
                      <w:bCs w:val="0"/>
                      <w:lang w:val="en-US" w:eastAsia="zh-CN"/>
                    </w:rPr>
                    <w:t>91341300MA8PP8YK24001W</w:t>
                  </w:r>
                  <w:r>
                    <w:rPr>
                      <w:b w:val="0"/>
                      <w:bCs w:val="0"/>
                      <w:lang w:eastAsia="zh-CN"/>
                    </w:rPr>
                    <w:t>）</w:t>
                  </w:r>
                </w:p>
              </w:tc>
            </w:tr>
            <w:tr w14:paraId="3EE1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272" w:type="pct"/>
                  <w:vMerge w:val="continue"/>
                  <w:tcBorders>
                    <w:tl2br w:val="nil"/>
                    <w:tr2bl w:val="nil"/>
                  </w:tcBorders>
                  <w:vAlign w:val="center"/>
                </w:tcPr>
                <w:p w14:paraId="1226A0FB">
                  <w:pPr>
                    <w:pStyle w:val="37"/>
                    <w:spacing w:line="240" w:lineRule="auto"/>
                    <w:ind w:left="0" w:firstLine="0"/>
                  </w:pPr>
                </w:p>
              </w:tc>
              <w:tc>
                <w:tcPr>
                  <w:tcW w:w="329" w:type="pct"/>
                  <w:vMerge w:val="continue"/>
                  <w:tcBorders>
                    <w:tl2br w:val="nil"/>
                    <w:tr2bl w:val="nil"/>
                  </w:tcBorders>
                  <w:vAlign w:val="center"/>
                </w:tcPr>
                <w:p w14:paraId="31837674">
                  <w:pPr>
                    <w:pStyle w:val="37"/>
                    <w:spacing w:line="240" w:lineRule="auto"/>
                    <w:ind w:left="0" w:firstLine="0"/>
                  </w:pPr>
                </w:p>
              </w:tc>
              <w:tc>
                <w:tcPr>
                  <w:tcW w:w="639" w:type="pct"/>
                  <w:vMerge w:val="continue"/>
                  <w:tcBorders>
                    <w:tl2br w:val="nil"/>
                    <w:tr2bl w:val="nil"/>
                  </w:tcBorders>
                  <w:vAlign w:val="center"/>
                </w:tcPr>
                <w:p w14:paraId="4911E6AA">
                  <w:pPr>
                    <w:pStyle w:val="37"/>
                    <w:spacing w:line="240" w:lineRule="auto"/>
                    <w:ind w:left="0" w:firstLine="0"/>
                  </w:pPr>
                </w:p>
              </w:tc>
              <w:tc>
                <w:tcPr>
                  <w:tcW w:w="880" w:type="pct"/>
                  <w:vMerge w:val="continue"/>
                  <w:tcBorders>
                    <w:tl2br w:val="nil"/>
                    <w:tr2bl w:val="nil"/>
                  </w:tcBorders>
                  <w:vAlign w:val="center"/>
                </w:tcPr>
                <w:p w14:paraId="204B34AC">
                  <w:pPr>
                    <w:pStyle w:val="37"/>
                    <w:spacing w:line="240" w:lineRule="auto"/>
                    <w:ind w:left="0" w:firstLine="0"/>
                  </w:pPr>
                </w:p>
              </w:tc>
              <w:tc>
                <w:tcPr>
                  <w:tcW w:w="1386" w:type="pct"/>
                  <w:tcBorders>
                    <w:tl2br w:val="nil"/>
                    <w:tr2bl w:val="nil"/>
                  </w:tcBorders>
                  <w:vAlign w:val="center"/>
                </w:tcPr>
                <w:p w14:paraId="6BD5F1B2">
                  <w:pPr>
                    <w:pStyle w:val="37"/>
                    <w:spacing w:line="240" w:lineRule="auto"/>
                    <w:ind w:left="0" w:firstLine="0"/>
                    <w:rPr>
                      <w:rFonts w:hint="eastAsia"/>
                      <w:b w:val="0"/>
                      <w:bCs w:val="0"/>
                      <w:lang w:eastAsia="zh-CN"/>
                    </w:rPr>
                  </w:pPr>
                  <w:r>
                    <w:rPr>
                      <w:rStyle w:val="46"/>
                      <w:rFonts w:hint="default" w:ascii="Times New Roman" w:hAnsi="Times New Roman"/>
                      <w:b w:val="0"/>
                      <w:bCs w:val="0"/>
                      <w:color w:val="auto"/>
                      <w:sz w:val="21"/>
                      <w:szCs w:val="21"/>
                      <w:lang w:eastAsia="zh-CN" w:bidi="ar"/>
                    </w:rPr>
                    <w:t>《</w:t>
                  </w:r>
                  <w:r>
                    <w:rPr>
                      <w:rFonts w:hint="eastAsia"/>
                      <w:b w:val="0"/>
                      <w:bCs w:val="0"/>
                      <w:lang w:val="en-US" w:eastAsia="zh-CN"/>
                    </w:rPr>
                    <w:t>安徽省红跃环保科技有限公司宿州分公司道路建养材料生产项目</w:t>
                  </w:r>
                  <w:r>
                    <w:rPr>
                      <w:rStyle w:val="46"/>
                      <w:rFonts w:hint="default" w:ascii="Times New Roman" w:hAnsi="Times New Roman"/>
                      <w:b w:val="0"/>
                      <w:bCs w:val="0"/>
                      <w:color w:val="auto"/>
                      <w:sz w:val="21"/>
                      <w:szCs w:val="21"/>
                      <w:lang w:eastAsia="zh-CN" w:bidi="ar"/>
                    </w:rPr>
                    <w:t>》</w:t>
                  </w:r>
                  <w:r>
                    <w:rPr>
                      <w:rStyle w:val="46"/>
                      <w:rFonts w:hint="default" w:ascii="Times New Roman" w:hAnsi="Times New Roman" w:cs="Times New Roman"/>
                      <w:b w:val="0"/>
                      <w:bCs w:val="0"/>
                      <w:color w:val="auto"/>
                      <w:sz w:val="21"/>
                      <w:szCs w:val="21"/>
                      <w:lang w:eastAsia="zh-CN" w:bidi="ar"/>
                    </w:rPr>
                    <w:t>（阶段性）验收备案(202</w:t>
                  </w:r>
                  <w:r>
                    <w:rPr>
                      <w:rStyle w:val="46"/>
                      <w:rFonts w:hint="default" w:ascii="Times New Roman" w:hAnsi="Times New Roman" w:cs="Times New Roman"/>
                      <w:b w:val="0"/>
                      <w:bCs w:val="0"/>
                      <w:color w:val="auto"/>
                      <w:sz w:val="21"/>
                      <w:szCs w:val="21"/>
                      <w:lang w:val="en-US" w:eastAsia="zh-CN" w:bidi="ar"/>
                    </w:rPr>
                    <w:t>5</w:t>
                  </w:r>
                  <w:r>
                    <w:rPr>
                      <w:rStyle w:val="46"/>
                      <w:rFonts w:hint="default" w:ascii="Times New Roman" w:hAnsi="Times New Roman" w:cs="Times New Roman"/>
                      <w:b w:val="0"/>
                      <w:bCs w:val="0"/>
                      <w:color w:val="auto"/>
                      <w:sz w:val="21"/>
                      <w:szCs w:val="21"/>
                      <w:lang w:eastAsia="zh-CN" w:bidi="ar"/>
                    </w:rPr>
                    <w:t>年</w:t>
                  </w:r>
                  <w:r>
                    <w:rPr>
                      <w:rStyle w:val="46"/>
                      <w:rFonts w:hint="default" w:ascii="Times New Roman" w:hAnsi="Times New Roman" w:cs="Times New Roman"/>
                      <w:b w:val="0"/>
                      <w:bCs w:val="0"/>
                      <w:color w:val="auto"/>
                      <w:sz w:val="21"/>
                      <w:szCs w:val="21"/>
                      <w:lang w:val="en-US" w:eastAsia="zh-CN" w:bidi="ar"/>
                    </w:rPr>
                    <w:t>4</w:t>
                  </w:r>
                  <w:r>
                    <w:rPr>
                      <w:rStyle w:val="46"/>
                      <w:rFonts w:hint="default" w:ascii="Times New Roman" w:hAnsi="Times New Roman" w:cs="Times New Roman"/>
                      <w:b w:val="0"/>
                      <w:bCs w:val="0"/>
                      <w:color w:val="auto"/>
                      <w:sz w:val="21"/>
                      <w:szCs w:val="21"/>
                      <w:lang w:eastAsia="zh-CN" w:bidi="ar"/>
                    </w:rPr>
                    <w:t>月</w:t>
                  </w:r>
                  <w:r>
                    <w:rPr>
                      <w:rStyle w:val="46"/>
                      <w:rFonts w:hint="default" w:ascii="Times New Roman" w:hAnsi="Times New Roman" w:cs="Times New Roman"/>
                      <w:b w:val="0"/>
                      <w:bCs w:val="0"/>
                      <w:color w:val="auto"/>
                      <w:sz w:val="21"/>
                      <w:szCs w:val="21"/>
                      <w:lang w:val="en-US" w:eastAsia="zh-CN" w:bidi="ar"/>
                    </w:rPr>
                    <w:t>28</w:t>
                  </w:r>
                  <w:r>
                    <w:rPr>
                      <w:rStyle w:val="46"/>
                      <w:rFonts w:hint="default" w:ascii="Times New Roman" w:hAnsi="Times New Roman" w:cs="Times New Roman"/>
                      <w:b w:val="0"/>
                      <w:bCs w:val="0"/>
                      <w:color w:val="auto"/>
                      <w:sz w:val="21"/>
                      <w:szCs w:val="21"/>
                      <w:lang w:eastAsia="zh-CN" w:bidi="ar"/>
                    </w:rPr>
                    <w:t>日)</w:t>
                  </w:r>
                </w:p>
              </w:tc>
              <w:tc>
                <w:tcPr>
                  <w:tcW w:w="1491" w:type="pct"/>
                  <w:vMerge w:val="continue"/>
                  <w:tcBorders>
                    <w:tl2br w:val="nil"/>
                    <w:tr2bl w:val="nil"/>
                  </w:tcBorders>
                  <w:vAlign w:val="center"/>
                </w:tcPr>
                <w:p w14:paraId="0A25ED78">
                  <w:pPr>
                    <w:pStyle w:val="37"/>
                    <w:spacing w:line="240" w:lineRule="auto"/>
                    <w:ind w:left="0" w:firstLine="0"/>
                    <w:rPr>
                      <w:rFonts w:hint="eastAsia"/>
                      <w:b w:val="0"/>
                      <w:bCs w:val="0"/>
                      <w:lang w:eastAsia="zh-CN"/>
                    </w:rPr>
                  </w:pPr>
                </w:p>
              </w:tc>
            </w:tr>
          </w:tbl>
          <w:p w14:paraId="48948C43">
            <w:pPr>
              <w:adjustRightInd w:val="0"/>
              <w:snapToGrid w:val="0"/>
              <w:spacing w:before="120" w:beforeLines="50" w:line="360" w:lineRule="auto"/>
              <w:jc w:val="left"/>
              <w:rPr>
                <w:kern w:val="0"/>
              </w:rPr>
            </w:pPr>
            <w:r>
              <w:rPr>
                <w:rFonts w:hint="eastAsia"/>
                <w:b/>
                <w:bCs/>
                <w:kern w:val="0"/>
                <w:sz w:val="24"/>
              </w:rPr>
              <w:t>2、现有工程污染物实际排放总量</w:t>
            </w:r>
          </w:p>
          <w:p w14:paraId="6CF61C4F">
            <w:pPr>
              <w:pStyle w:val="2"/>
              <w:snapToGrid w:val="0"/>
              <w:spacing w:after="0" w:line="360" w:lineRule="auto"/>
              <w:ind w:left="0" w:leftChars="0" w:firstLine="480" w:firstLineChars="200"/>
              <w:jc w:val="left"/>
              <w:rPr>
                <w:szCs w:val="24"/>
              </w:rPr>
            </w:pPr>
            <w:r>
              <w:rPr>
                <w:rFonts w:hint="eastAsia"/>
                <w:szCs w:val="24"/>
              </w:rPr>
              <w:t>（1）</w:t>
            </w:r>
            <w:r>
              <w:rPr>
                <w:szCs w:val="24"/>
              </w:rPr>
              <w:t>废气</w:t>
            </w:r>
          </w:p>
          <w:p w14:paraId="56240913">
            <w:pPr>
              <w:pStyle w:val="2"/>
              <w:spacing w:after="0" w:line="360" w:lineRule="auto"/>
              <w:ind w:left="0" w:leftChars="0"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现有工程</w:t>
            </w:r>
            <w:r>
              <w:rPr>
                <w:rFonts w:hint="eastAsia"/>
                <w:color w:val="000000" w:themeColor="text1"/>
                <w:szCs w:val="24"/>
                <w14:textFill>
                  <w14:solidFill>
                    <w14:schemeClr w14:val="tx1"/>
                  </w14:solidFill>
                </w14:textFill>
              </w:rPr>
              <w:t>有组织废气实际排放总量根据企业</w:t>
            </w:r>
            <w:r>
              <w:rPr>
                <w:rFonts w:hint="eastAsia"/>
                <w:color w:val="000000" w:themeColor="text1"/>
                <w:szCs w:val="24"/>
                <w:lang w:eastAsia="zh-CN"/>
                <w14:textFill>
                  <w14:solidFill>
                    <w14:schemeClr w14:val="tx1"/>
                  </w14:solidFill>
                </w14:textFill>
              </w:rPr>
              <w:t>验收</w:t>
            </w:r>
            <w:r>
              <w:rPr>
                <w:rFonts w:hint="eastAsia"/>
                <w:color w:val="000000" w:themeColor="text1"/>
                <w:szCs w:val="24"/>
                <w14:textFill>
                  <w14:solidFill>
                    <w14:schemeClr w14:val="tx1"/>
                  </w14:solidFill>
                </w14:textFill>
              </w:rPr>
              <w:t>监测报告（报告编号：</w:t>
            </w:r>
            <w:r>
              <w:rPr>
                <w:rFonts w:hint="eastAsia"/>
                <w:color w:val="000000" w:themeColor="text1"/>
                <w:szCs w:val="24"/>
                <w:lang w:val="en-US" w:eastAsia="zh-CN"/>
                <w14:textFill>
                  <w14:solidFill>
                    <w14:schemeClr w14:val="tx1"/>
                  </w14:solidFill>
                </w14:textFill>
              </w:rPr>
              <w:t>JJYS2024081</w:t>
            </w:r>
            <w:r>
              <w:rPr>
                <w:rFonts w:hint="eastAsia"/>
                <w:color w:val="000000" w:themeColor="text1"/>
                <w:szCs w:val="24"/>
                <w14:textFill>
                  <w14:solidFill>
                    <w14:schemeClr w14:val="tx1"/>
                  </w14:solidFill>
                </w14:textFill>
              </w:rPr>
              <w:t>，签发日期：202</w:t>
            </w:r>
            <w:r>
              <w:rPr>
                <w:rFonts w:hint="eastAsia"/>
                <w:color w:val="000000" w:themeColor="text1"/>
                <w:szCs w:val="24"/>
                <w:lang w:val="en-US" w:eastAsia="zh-CN"/>
                <w14:textFill>
                  <w14:solidFill>
                    <w14:schemeClr w14:val="tx1"/>
                  </w14:solidFill>
                </w14:textFill>
              </w:rPr>
              <w:t>4</w:t>
            </w:r>
            <w:r>
              <w:rPr>
                <w:rFonts w:hint="eastAsia"/>
                <w:color w:val="000000" w:themeColor="text1"/>
                <w:szCs w:val="24"/>
                <w14:textFill>
                  <w14:solidFill>
                    <w14:schemeClr w14:val="tx1"/>
                  </w14:solidFill>
                </w14:textFill>
              </w:rPr>
              <w:t>年</w:t>
            </w:r>
            <w:r>
              <w:rPr>
                <w:rFonts w:hint="eastAsia"/>
                <w:color w:val="000000" w:themeColor="text1"/>
                <w:szCs w:val="24"/>
                <w:lang w:val="en-US" w:eastAsia="zh-CN"/>
                <w14:textFill>
                  <w14:solidFill>
                    <w14:schemeClr w14:val="tx1"/>
                  </w14:solidFill>
                </w14:textFill>
              </w:rPr>
              <w:t>12</w:t>
            </w:r>
            <w:r>
              <w:rPr>
                <w:rFonts w:hint="eastAsia"/>
                <w:color w:val="000000" w:themeColor="text1"/>
                <w:szCs w:val="24"/>
                <w14:textFill>
                  <w14:solidFill>
                    <w14:schemeClr w14:val="tx1"/>
                  </w14:solidFill>
                </w14:textFill>
              </w:rPr>
              <w:t>月</w:t>
            </w:r>
            <w:r>
              <w:rPr>
                <w:rFonts w:hint="eastAsia"/>
                <w:color w:val="000000" w:themeColor="text1"/>
                <w:szCs w:val="24"/>
                <w:lang w:val="en-US" w:eastAsia="zh-CN"/>
                <w14:textFill>
                  <w14:solidFill>
                    <w14:schemeClr w14:val="tx1"/>
                  </w14:solidFill>
                </w14:textFill>
              </w:rPr>
              <w:t>11</w:t>
            </w:r>
            <w:r>
              <w:rPr>
                <w:rFonts w:hint="eastAsia"/>
                <w:color w:val="000000" w:themeColor="text1"/>
                <w:szCs w:val="24"/>
                <w14:textFill>
                  <w14:solidFill>
                    <w14:schemeClr w14:val="tx1"/>
                  </w14:solidFill>
                </w14:textFill>
              </w:rPr>
              <w:t>日）中的检测结果进行核算。</w:t>
            </w:r>
          </w:p>
          <w:p w14:paraId="4B499FB0">
            <w:pPr>
              <w:snapToGrid w:val="0"/>
              <w:spacing w:line="360" w:lineRule="auto"/>
              <w:jc w:val="center"/>
              <w:rPr>
                <w:b/>
                <w:sz w:val="24"/>
              </w:rPr>
            </w:pPr>
            <w:r>
              <w:rPr>
                <w:b/>
                <w:sz w:val="24"/>
              </w:rPr>
              <w:t>表2</w:t>
            </w:r>
            <w:r>
              <w:rPr>
                <w:rFonts w:hint="eastAsia"/>
                <w:b/>
                <w:sz w:val="24"/>
                <w:lang w:val="en-US" w:eastAsia="zh-CN"/>
              </w:rPr>
              <w:t>-</w:t>
            </w:r>
            <w:r>
              <w:rPr>
                <w:rFonts w:hint="eastAsia"/>
                <w:b/>
                <w:sz w:val="24"/>
              </w:rPr>
              <w:t>1</w:t>
            </w:r>
            <w:r>
              <w:rPr>
                <w:rFonts w:hint="eastAsia"/>
                <w:b/>
                <w:sz w:val="24"/>
                <w:lang w:val="en-US" w:eastAsia="zh-CN"/>
              </w:rPr>
              <w:t>1</w:t>
            </w:r>
            <w:r>
              <w:rPr>
                <w:b/>
                <w:sz w:val="24"/>
              </w:rPr>
              <w:t xml:space="preserve">  </w:t>
            </w:r>
            <w:r>
              <w:rPr>
                <w:rFonts w:hint="eastAsia"/>
                <w:b/>
                <w:sz w:val="24"/>
              </w:rPr>
              <w:t>有组织</w:t>
            </w:r>
            <w:r>
              <w:rPr>
                <w:b/>
                <w:sz w:val="24"/>
              </w:rPr>
              <w:t>废气检测结果</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926"/>
              <w:gridCol w:w="928"/>
              <w:gridCol w:w="1253"/>
              <w:gridCol w:w="928"/>
              <w:gridCol w:w="799"/>
              <w:gridCol w:w="2073"/>
            </w:tblGrid>
            <w:tr w14:paraId="15C8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vAlign w:val="center"/>
                </w:tcPr>
                <w:p w14:paraId="2B7B9C61">
                  <w:pPr>
                    <w:pStyle w:val="33"/>
                    <w:snapToGrid w:val="0"/>
                    <w:jc w:val="center"/>
                    <w:rPr>
                      <w:color w:val="auto"/>
                      <w:sz w:val="21"/>
                      <w:szCs w:val="21"/>
                    </w:rPr>
                  </w:pPr>
                  <w:r>
                    <w:rPr>
                      <w:rFonts w:hint="eastAsia"/>
                      <w:color w:val="auto"/>
                      <w:sz w:val="21"/>
                      <w:szCs w:val="21"/>
                    </w:rPr>
                    <w:t>排气筒</w:t>
                  </w:r>
                </w:p>
              </w:tc>
              <w:tc>
                <w:tcPr>
                  <w:tcW w:w="591" w:type="pct"/>
                  <w:vAlign w:val="center"/>
                </w:tcPr>
                <w:p w14:paraId="79C9775F">
                  <w:pPr>
                    <w:pStyle w:val="33"/>
                    <w:snapToGrid w:val="0"/>
                    <w:jc w:val="center"/>
                    <w:rPr>
                      <w:color w:val="auto"/>
                      <w:sz w:val="21"/>
                      <w:szCs w:val="21"/>
                    </w:rPr>
                  </w:pPr>
                  <w:r>
                    <w:rPr>
                      <w:rFonts w:hint="eastAsia"/>
                      <w:color w:val="auto"/>
                      <w:sz w:val="21"/>
                      <w:szCs w:val="21"/>
                    </w:rPr>
                    <w:t>产品类别</w:t>
                  </w:r>
                </w:p>
              </w:tc>
              <w:tc>
                <w:tcPr>
                  <w:tcW w:w="592" w:type="pct"/>
                  <w:vAlign w:val="center"/>
                </w:tcPr>
                <w:p w14:paraId="3737D3F8">
                  <w:pPr>
                    <w:pStyle w:val="33"/>
                    <w:snapToGrid w:val="0"/>
                    <w:jc w:val="center"/>
                    <w:rPr>
                      <w:color w:val="auto"/>
                      <w:sz w:val="21"/>
                      <w:szCs w:val="21"/>
                    </w:rPr>
                  </w:pPr>
                  <w:r>
                    <w:rPr>
                      <w:rFonts w:hint="eastAsia"/>
                      <w:color w:val="auto"/>
                      <w:sz w:val="21"/>
                      <w:szCs w:val="21"/>
                    </w:rPr>
                    <w:t>废气种类</w:t>
                  </w:r>
                </w:p>
              </w:tc>
              <w:tc>
                <w:tcPr>
                  <w:tcW w:w="799" w:type="pct"/>
                  <w:vAlign w:val="center"/>
                </w:tcPr>
                <w:p w14:paraId="5BE1233B">
                  <w:pPr>
                    <w:pStyle w:val="33"/>
                    <w:snapToGrid w:val="0"/>
                    <w:jc w:val="center"/>
                    <w:rPr>
                      <w:color w:val="auto"/>
                      <w:sz w:val="21"/>
                      <w:szCs w:val="21"/>
                    </w:rPr>
                  </w:pPr>
                  <w:r>
                    <w:rPr>
                      <w:rFonts w:hint="eastAsia"/>
                      <w:color w:val="auto"/>
                      <w:sz w:val="21"/>
                      <w:szCs w:val="21"/>
                    </w:rPr>
                    <w:t>浓度范围</w:t>
                  </w:r>
                  <w:r>
                    <w:rPr>
                      <w:spacing w:val="15"/>
                      <w:sz w:val="21"/>
                      <w:szCs w:val="21"/>
                    </w:rPr>
                    <w:t>(</w:t>
                  </w:r>
                  <w:r>
                    <w:rPr>
                      <w:sz w:val="21"/>
                      <w:szCs w:val="21"/>
                    </w:rPr>
                    <w:t>mg</w:t>
                  </w:r>
                  <w:r>
                    <w:rPr>
                      <w:spacing w:val="15"/>
                      <w:sz w:val="21"/>
                      <w:szCs w:val="21"/>
                    </w:rPr>
                    <w:t>/m³)</w:t>
                  </w:r>
                </w:p>
              </w:tc>
              <w:tc>
                <w:tcPr>
                  <w:tcW w:w="592" w:type="pct"/>
                  <w:vAlign w:val="center"/>
                </w:tcPr>
                <w:p w14:paraId="10458F88">
                  <w:pPr>
                    <w:pStyle w:val="33"/>
                    <w:snapToGrid w:val="0"/>
                    <w:jc w:val="center"/>
                    <w:rPr>
                      <w:color w:val="auto"/>
                      <w:sz w:val="21"/>
                      <w:szCs w:val="21"/>
                    </w:rPr>
                  </w:pPr>
                  <w:r>
                    <w:rPr>
                      <w:rFonts w:hint="eastAsia"/>
                      <w:color w:val="auto"/>
                      <w:sz w:val="21"/>
                      <w:szCs w:val="21"/>
                    </w:rPr>
                    <w:t>排放量</w:t>
                  </w:r>
                </w:p>
              </w:tc>
              <w:tc>
                <w:tcPr>
                  <w:tcW w:w="510" w:type="pct"/>
                  <w:vAlign w:val="center"/>
                </w:tcPr>
                <w:p w14:paraId="0509FA1C">
                  <w:pPr>
                    <w:pStyle w:val="33"/>
                    <w:snapToGrid w:val="0"/>
                    <w:jc w:val="center"/>
                    <w:rPr>
                      <w:color w:val="auto"/>
                      <w:sz w:val="21"/>
                      <w:szCs w:val="21"/>
                    </w:rPr>
                  </w:pPr>
                  <w:r>
                    <w:rPr>
                      <w:rFonts w:hint="eastAsia"/>
                      <w:color w:val="auto"/>
                      <w:sz w:val="21"/>
                      <w:szCs w:val="21"/>
                    </w:rPr>
                    <w:t>工况</w:t>
                  </w:r>
                </w:p>
              </w:tc>
              <w:tc>
                <w:tcPr>
                  <w:tcW w:w="1323" w:type="pct"/>
                  <w:vAlign w:val="center"/>
                </w:tcPr>
                <w:p w14:paraId="1C5D3EBA">
                  <w:pPr>
                    <w:pStyle w:val="33"/>
                    <w:snapToGrid w:val="0"/>
                    <w:jc w:val="center"/>
                    <w:rPr>
                      <w:color w:val="auto"/>
                      <w:sz w:val="21"/>
                      <w:szCs w:val="21"/>
                    </w:rPr>
                  </w:pPr>
                  <w:r>
                    <w:rPr>
                      <w:rFonts w:hint="default"/>
                      <w:color w:val="auto"/>
                      <w:sz w:val="21"/>
                      <w:szCs w:val="21"/>
                      <w:lang w:val="en-US" w:eastAsia="zh-CN"/>
                    </w:rPr>
                    <w:t>《砖瓦工业大气污染物排放标准》（DB34/4362-2023）</w:t>
                  </w:r>
                </w:p>
              </w:tc>
            </w:tr>
            <w:tr w14:paraId="4BBC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vAlign w:val="center"/>
                </w:tcPr>
                <w:p w14:paraId="25ADCBA0">
                  <w:pPr>
                    <w:pStyle w:val="33"/>
                    <w:snapToGrid w:val="0"/>
                    <w:jc w:val="center"/>
                    <w:rPr>
                      <w:color w:val="auto"/>
                      <w:sz w:val="21"/>
                      <w:szCs w:val="21"/>
                    </w:rPr>
                  </w:pPr>
                  <w:r>
                    <w:rPr>
                      <w:rFonts w:hint="eastAsia"/>
                      <w:color w:val="auto"/>
                      <w:sz w:val="21"/>
                      <w:szCs w:val="21"/>
                    </w:rPr>
                    <w:t>DA001</w:t>
                  </w:r>
                </w:p>
              </w:tc>
              <w:tc>
                <w:tcPr>
                  <w:tcW w:w="591" w:type="pct"/>
                  <w:vAlign w:val="center"/>
                </w:tcPr>
                <w:p w14:paraId="6DCC2C4F">
                  <w:pPr>
                    <w:snapToGrid w:val="0"/>
                    <w:jc w:val="center"/>
                    <w:rPr>
                      <w:color w:val="auto"/>
                      <w:sz w:val="21"/>
                      <w:szCs w:val="21"/>
                    </w:rPr>
                  </w:pPr>
                  <w:r>
                    <w:rPr>
                      <w:rFonts w:hint="eastAsia"/>
                      <w:color w:val="auto"/>
                      <w:sz w:val="21"/>
                      <w:szCs w:val="21"/>
                      <w:lang w:eastAsia="zh-CN"/>
                    </w:rPr>
                    <w:t>免烧砖</w:t>
                  </w:r>
                </w:p>
              </w:tc>
              <w:tc>
                <w:tcPr>
                  <w:tcW w:w="592" w:type="pct"/>
                  <w:vAlign w:val="center"/>
                </w:tcPr>
                <w:p w14:paraId="4C1EC931">
                  <w:pPr>
                    <w:pStyle w:val="33"/>
                    <w:snapToGrid w:val="0"/>
                    <w:jc w:val="center"/>
                    <w:rPr>
                      <w:color w:val="auto"/>
                      <w:sz w:val="21"/>
                      <w:szCs w:val="21"/>
                    </w:rPr>
                  </w:pPr>
                  <w:r>
                    <w:rPr>
                      <w:rFonts w:hint="eastAsia"/>
                      <w:color w:val="auto"/>
                      <w:sz w:val="21"/>
                      <w:szCs w:val="21"/>
                      <w:lang w:eastAsia="zh-CN"/>
                    </w:rPr>
                    <w:t>水泥仓</w:t>
                  </w:r>
                  <w:r>
                    <w:rPr>
                      <w:rFonts w:hint="eastAsia"/>
                      <w:color w:val="auto"/>
                      <w:sz w:val="21"/>
                      <w:szCs w:val="21"/>
                    </w:rPr>
                    <w:t>废气</w:t>
                  </w:r>
                </w:p>
              </w:tc>
              <w:tc>
                <w:tcPr>
                  <w:tcW w:w="799" w:type="pct"/>
                  <w:vAlign w:val="center"/>
                </w:tcPr>
                <w:p w14:paraId="6C7F42A7">
                  <w:pPr>
                    <w:pStyle w:val="33"/>
                    <w:snapToGrid w:val="0"/>
                    <w:jc w:val="center"/>
                    <w:rPr>
                      <w:rFonts w:hint="eastAsia" w:eastAsia="宋体"/>
                      <w:color w:val="auto"/>
                      <w:sz w:val="21"/>
                      <w:szCs w:val="21"/>
                      <w:lang w:eastAsia="zh-CN"/>
                    </w:rPr>
                  </w:pPr>
                  <w:r>
                    <w:rPr>
                      <w:rFonts w:hint="eastAsia"/>
                      <w:spacing w:val="-2"/>
                      <w:sz w:val="21"/>
                      <w:szCs w:val="21"/>
                      <w:lang w:val="en-US" w:eastAsia="zh-CN"/>
                    </w:rPr>
                    <w:t>/</w:t>
                  </w:r>
                </w:p>
              </w:tc>
              <w:tc>
                <w:tcPr>
                  <w:tcW w:w="592" w:type="pct"/>
                  <w:vAlign w:val="center"/>
                </w:tcPr>
                <w:p w14:paraId="02B59CE8">
                  <w:pPr>
                    <w:pStyle w:val="33"/>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510" w:type="pct"/>
                  <w:vMerge w:val="restart"/>
                  <w:vAlign w:val="center"/>
                </w:tcPr>
                <w:p w14:paraId="0EFAEDF8">
                  <w:pPr>
                    <w:pStyle w:val="33"/>
                    <w:snapToGrid w:val="0"/>
                    <w:spacing w:before="120" w:beforeLines="50" w:line="360" w:lineRule="auto"/>
                    <w:jc w:val="center"/>
                    <w:rPr>
                      <w:color w:val="auto"/>
                      <w:sz w:val="21"/>
                      <w:szCs w:val="21"/>
                    </w:rPr>
                  </w:pPr>
                  <w:r>
                    <w:rPr>
                      <w:rFonts w:hint="eastAsia"/>
                      <w:color w:val="auto"/>
                      <w:sz w:val="21"/>
                      <w:szCs w:val="21"/>
                    </w:rPr>
                    <w:t>3</w:t>
                  </w:r>
                  <w:r>
                    <w:rPr>
                      <w:rFonts w:hint="eastAsia"/>
                      <w:color w:val="auto"/>
                      <w:sz w:val="21"/>
                      <w:szCs w:val="21"/>
                      <w:lang w:val="en-US" w:eastAsia="zh-CN"/>
                    </w:rPr>
                    <w:t>3</w:t>
                  </w:r>
                  <w:r>
                    <w:rPr>
                      <w:rFonts w:hint="eastAsia"/>
                      <w:color w:val="auto"/>
                      <w:sz w:val="21"/>
                      <w:szCs w:val="21"/>
                    </w:rPr>
                    <w:t>%</w:t>
                  </w:r>
                </w:p>
              </w:tc>
              <w:tc>
                <w:tcPr>
                  <w:tcW w:w="1323" w:type="pct"/>
                  <w:vMerge w:val="restart"/>
                  <w:vAlign w:val="center"/>
                </w:tcPr>
                <w:p w14:paraId="7DD1A069">
                  <w:pPr>
                    <w:pStyle w:val="33"/>
                    <w:snapToGrid w:val="0"/>
                    <w:spacing w:before="120" w:beforeLines="50" w:line="360" w:lineRule="auto"/>
                    <w:jc w:val="center"/>
                    <w:rPr>
                      <w:color w:val="auto"/>
                      <w:sz w:val="21"/>
                      <w:szCs w:val="21"/>
                    </w:rPr>
                  </w:pPr>
                  <w:r>
                    <w:rPr>
                      <w:rFonts w:hint="eastAsia"/>
                      <w:color w:val="auto"/>
                      <w:sz w:val="21"/>
                      <w:szCs w:val="21"/>
                      <w:lang w:val="en-US" w:eastAsia="zh-CN"/>
                    </w:rPr>
                    <w:t>10</w:t>
                  </w:r>
                  <w:r>
                    <w:rPr>
                      <w:sz w:val="21"/>
                      <w:szCs w:val="21"/>
                    </w:rPr>
                    <w:t>mg</w:t>
                  </w:r>
                  <w:r>
                    <w:rPr>
                      <w:spacing w:val="15"/>
                      <w:sz w:val="21"/>
                      <w:szCs w:val="21"/>
                    </w:rPr>
                    <w:t>/m³</w:t>
                  </w:r>
                </w:p>
              </w:tc>
            </w:tr>
            <w:tr w14:paraId="1B63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vAlign w:val="center"/>
                </w:tcPr>
                <w:p w14:paraId="185990FD">
                  <w:pPr>
                    <w:snapToGrid w:val="0"/>
                    <w:jc w:val="center"/>
                    <w:rPr>
                      <w:szCs w:val="21"/>
                    </w:rPr>
                  </w:pPr>
                  <w:r>
                    <w:rPr>
                      <w:rFonts w:hint="eastAsia"/>
                      <w:szCs w:val="21"/>
                    </w:rPr>
                    <w:t>DA002</w:t>
                  </w:r>
                </w:p>
              </w:tc>
              <w:tc>
                <w:tcPr>
                  <w:tcW w:w="591" w:type="pct"/>
                  <w:vAlign w:val="center"/>
                </w:tcPr>
                <w:p w14:paraId="187AD4DC">
                  <w:pPr>
                    <w:snapToGrid w:val="0"/>
                    <w:jc w:val="center"/>
                    <w:rPr>
                      <w:color w:val="auto"/>
                      <w:sz w:val="21"/>
                      <w:szCs w:val="21"/>
                    </w:rPr>
                  </w:pPr>
                  <w:r>
                    <w:rPr>
                      <w:rFonts w:hint="eastAsia"/>
                      <w:color w:val="auto"/>
                      <w:sz w:val="21"/>
                      <w:szCs w:val="21"/>
                      <w:lang w:eastAsia="zh-CN"/>
                    </w:rPr>
                    <w:t>免烧砖</w:t>
                  </w:r>
                </w:p>
              </w:tc>
              <w:tc>
                <w:tcPr>
                  <w:tcW w:w="592" w:type="pct"/>
                  <w:vAlign w:val="center"/>
                </w:tcPr>
                <w:p w14:paraId="5E7CCD20">
                  <w:pPr>
                    <w:pStyle w:val="33"/>
                    <w:snapToGrid w:val="0"/>
                    <w:jc w:val="center"/>
                    <w:rPr>
                      <w:color w:val="auto"/>
                      <w:sz w:val="21"/>
                      <w:szCs w:val="21"/>
                    </w:rPr>
                  </w:pPr>
                  <w:r>
                    <w:rPr>
                      <w:rFonts w:hint="eastAsia"/>
                      <w:color w:val="auto"/>
                      <w:sz w:val="21"/>
                      <w:szCs w:val="21"/>
                      <w:lang w:eastAsia="zh-CN"/>
                    </w:rPr>
                    <w:t>水泥仓</w:t>
                  </w:r>
                  <w:r>
                    <w:rPr>
                      <w:rFonts w:hint="eastAsia"/>
                      <w:color w:val="auto"/>
                      <w:sz w:val="21"/>
                      <w:szCs w:val="21"/>
                    </w:rPr>
                    <w:t>废气</w:t>
                  </w:r>
                </w:p>
              </w:tc>
              <w:tc>
                <w:tcPr>
                  <w:tcW w:w="799" w:type="pct"/>
                  <w:vAlign w:val="center"/>
                </w:tcPr>
                <w:p w14:paraId="1556CECF">
                  <w:pPr>
                    <w:pStyle w:val="33"/>
                    <w:snapToGrid w:val="0"/>
                    <w:jc w:val="center"/>
                    <w:rPr>
                      <w:rFonts w:hint="eastAsia" w:eastAsia="宋体"/>
                      <w:color w:val="auto"/>
                      <w:sz w:val="21"/>
                      <w:szCs w:val="21"/>
                      <w:lang w:eastAsia="zh-CN"/>
                    </w:rPr>
                  </w:pPr>
                  <w:r>
                    <w:rPr>
                      <w:rFonts w:hint="eastAsia"/>
                      <w:spacing w:val="-2"/>
                      <w:sz w:val="21"/>
                      <w:szCs w:val="21"/>
                      <w:lang w:val="en-US" w:eastAsia="zh-CN"/>
                    </w:rPr>
                    <w:t>/</w:t>
                  </w:r>
                </w:p>
              </w:tc>
              <w:tc>
                <w:tcPr>
                  <w:tcW w:w="592" w:type="pct"/>
                  <w:vAlign w:val="center"/>
                </w:tcPr>
                <w:p w14:paraId="77E3FA68">
                  <w:pPr>
                    <w:pStyle w:val="33"/>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510" w:type="pct"/>
                  <w:vMerge w:val="continue"/>
                  <w:vAlign w:val="center"/>
                </w:tcPr>
                <w:p w14:paraId="3AEA0E31">
                  <w:pPr>
                    <w:pStyle w:val="33"/>
                    <w:snapToGrid w:val="0"/>
                    <w:spacing w:before="120" w:beforeLines="50" w:line="360" w:lineRule="auto"/>
                    <w:jc w:val="left"/>
                    <w:rPr>
                      <w:color w:val="auto"/>
                      <w:sz w:val="21"/>
                      <w:szCs w:val="21"/>
                    </w:rPr>
                  </w:pPr>
                </w:p>
              </w:tc>
              <w:tc>
                <w:tcPr>
                  <w:tcW w:w="1323" w:type="pct"/>
                  <w:vMerge w:val="continue"/>
                  <w:vAlign w:val="center"/>
                </w:tcPr>
                <w:p w14:paraId="5576CB15">
                  <w:pPr>
                    <w:pStyle w:val="33"/>
                    <w:snapToGrid w:val="0"/>
                    <w:spacing w:before="120" w:beforeLines="50" w:line="360" w:lineRule="auto"/>
                    <w:jc w:val="left"/>
                    <w:rPr>
                      <w:color w:val="auto"/>
                      <w:sz w:val="21"/>
                      <w:szCs w:val="21"/>
                    </w:rPr>
                  </w:pPr>
                </w:p>
              </w:tc>
            </w:tr>
            <w:tr w14:paraId="085A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pct"/>
                  <w:vAlign w:val="center"/>
                </w:tcPr>
                <w:p w14:paraId="03A3F115">
                  <w:pPr>
                    <w:snapToGrid w:val="0"/>
                    <w:jc w:val="center"/>
                    <w:rPr>
                      <w:szCs w:val="21"/>
                    </w:rPr>
                  </w:pPr>
                  <w:r>
                    <w:rPr>
                      <w:rFonts w:hint="eastAsia"/>
                      <w:szCs w:val="21"/>
                    </w:rPr>
                    <w:t>DA003</w:t>
                  </w:r>
                </w:p>
              </w:tc>
              <w:tc>
                <w:tcPr>
                  <w:tcW w:w="591" w:type="pct"/>
                  <w:vAlign w:val="center"/>
                </w:tcPr>
                <w:p w14:paraId="362FBCC2">
                  <w:pPr>
                    <w:pStyle w:val="33"/>
                    <w:snapToGrid w:val="0"/>
                    <w:jc w:val="center"/>
                    <w:rPr>
                      <w:color w:val="auto"/>
                      <w:sz w:val="21"/>
                      <w:szCs w:val="21"/>
                    </w:rPr>
                  </w:pPr>
                  <w:r>
                    <w:rPr>
                      <w:rFonts w:hint="eastAsia"/>
                      <w:color w:val="auto"/>
                      <w:sz w:val="21"/>
                      <w:szCs w:val="21"/>
                      <w:lang w:eastAsia="zh-CN"/>
                    </w:rPr>
                    <w:t>免烧砖</w:t>
                  </w:r>
                </w:p>
              </w:tc>
              <w:tc>
                <w:tcPr>
                  <w:tcW w:w="592" w:type="pct"/>
                  <w:vAlign w:val="center"/>
                </w:tcPr>
                <w:p w14:paraId="218B5CF5">
                  <w:pPr>
                    <w:pStyle w:val="33"/>
                    <w:snapToGrid w:val="0"/>
                    <w:jc w:val="center"/>
                    <w:rPr>
                      <w:color w:val="auto"/>
                      <w:sz w:val="21"/>
                      <w:szCs w:val="21"/>
                    </w:rPr>
                  </w:pPr>
                  <w:r>
                    <w:rPr>
                      <w:rFonts w:hint="eastAsia"/>
                      <w:color w:val="auto"/>
                      <w:sz w:val="21"/>
                      <w:szCs w:val="21"/>
                      <w:lang w:val="en-US" w:eastAsia="zh-CN"/>
                    </w:rPr>
                    <w:t>物料混合搅拌废气、不合格品破碎、投料废气</w:t>
                  </w:r>
                </w:p>
              </w:tc>
              <w:tc>
                <w:tcPr>
                  <w:tcW w:w="799" w:type="pct"/>
                  <w:vAlign w:val="center"/>
                </w:tcPr>
                <w:p w14:paraId="5CDAB453">
                  <w:pPr>
                    <w:pStyle w:val="33"/>
                    <w:snapToGrid w:val="0"/>
                    <w:jc w:val="center"/>
                    <w:rPr>
                      <w:rFonts w:hint="default" w:eastAsia="宋体"/>
                      <w:color w:val="auto"/>
                      <w:sz w:val="21"/>
                      <w:szCs w:val="21"/>
                      <w:lang w:val="en-US" w:eastAsia="zh-CN"/>
                    </w:rPr>
                  </w:pPr>
                  <w:r>
                    <w:rPr>
                      <w:rFonts w:hint="eastAsia"/>
                      <w:color w:val="auto"/>
                      <w:sz w:val="21"/>
                      <w:szCs w:val="21"/>
                      <w:lang w:val="en-US" w:eastAsia="zh-CN"/>
                    </w:rPr>
                    <w:t>1.7-2.5</w:t>
                  </w:r>
                </w:p>
              </w:tc>
              <w:tc>
                <w:tcPr>
                  <w:tcW w:w="592" w:type="pct"/>
                  <w:vAlign w:val="center"/>
                </w:tcPr>
                <w:p w14:paraId="54B57941">
                  <w:pPr>
                    <w:pStyle w:val="33"/>
                    <w:snapToGrid w:val="0"/>
                    <w:jc w:val="center"/>
                    <w:rPr>
                      <w:rFonts w:hint="default" w:eastAsia="宋体"/>
                      <w:color w:val="auto"/>
                      <w:sz w:val="21"/>
                      <w:szCs w:val="21"/>
                      <w:lang w:val="en-US" w:eastAsia="zh-CN"/>
                    </w:rPr>
                  </w:pPr>
                  <w:r>
                    <w:rPr>
                      <w:rFonts w:hint="eastAsia"/>
                      <w:color w:val="auto"/>
                      <w:sz w:val="21"/>
                      <w:szCs w:val="21"/>
                      <w:lang w:val="en-US" w:eastAsia="zh-CN"/>
                    </w:rPr>
                    <w:t>0.06</w:t>
                  </w:r>
                </w:p>
              </w:tc>
              <w:tc>
                <w:tcPr>
                  <w:tcW w:w="510" w:type="pct"/>
                  <w:vMerge w:val="continue"/>
                  <w:vAlign w:val="center"/>
                </w:tcPr>
                <w:p w14:paraId="35331F88">
                  <w:pPr>
                    <w:pStyle w:val="33"/>
                    <w:snapToGrid w:val="0"/>
                    <w:spacing w:before="120" w:beforeLines="50" w:line="360" w:lineRule="auto"/>
                    <w:jc w:val="center"/>
                    <w:rPr>
                      <w:color w:val="auto"/>
                      <w:sz w:val="21"/>
                      <w:szCs w:val="21"/>
                    </w:rPr>
                  </w:pPr>
                </w:p>
              </w:tc>
              <w:tc>
                <w:tcPr>
                  <w:tcW w:w="1323" w:type="pct"/>
                  <w:vMerge w:val="continue"/>
                  <w:vAlign w:val="center"/>
                </w:tcPr>
                <w:p w14:paraId="5BA586CF">
                  <w:pPr>
                    <w:pStyle w:val="33"/>
                    <w:snapToGrid w:val="0"/>
                    <w:spacing w:before="120" w:beforeLines="50" w:line="360" w:lineRule="auto"/>
                    <w:jc w:val="left"/>
                    <w:rPr>
                      <w:color w:val="auto"/>
                      <w:sz w:val="21"/>
                      <w:szCs w:val="21"/>
                    </w:rPr>
                  </w:pPr>
                </w:p>
              </w:tc>
            </w:tr>
          </w:tbl>
          <w:p w14:paraId="208347A4">
            <w:pPr>
              <w:pStyle w:val="33"/>
              <w:snapToGrid w:val="0"/>
              <w:spacing w:before="120" w:beforeLines="50" w:line="360" w:lineRule="auto"/>
              <w:ind w:firstLine="480" w:firstLineChars="200"/>
              <w:jc w:val="left"/>
              <w:rPr>
                <w:color w:val="auto"/>
              </w:rPr>
            </w:pPr>
            <w:r>
              <w:rPr>
                <w:color w:val="auto"/>
              </w:rPr>
              <w:t>有组织废气监测结果分析：在</w:t>
            </w:r>
            <w:r>
              <w:rPr>
                <w:rFonts w:hint="eastAsia"/>
                <w:color w:val="auto"/>
              </w:rPr>
              <w:t>废气</w:t>
            </w:r>
            <w:r>
              <w:rPr>
                <w:color w:val="auto"/>
              </w:rPr>
              <w:t>监测期间，</w:t>
            </w:r>
            <w:r>
              <w:rPr>
                <w:rFonts w:hint="eastAsia"/>
                <w:color w:val="auto"/>
              </w:rPr>
              <w:t>企业正常生产，</w:t>
            </w:r>
            <w:r>
              <w:rPr>
                <w:rFonts w:hint="eastAsia"/>
                <w:color w:val="auto"/>
                <w:kern w:val="0"/>
              </w:rPr>
              <w:t>生产线负荷为表2</w:t>
            </w:r>
            <w:r>
              <w:rPr>
                <w:rFonts w:hint="eastAsia"/>
                <w:color w:val="auto"/>
                <w:kern w:val="0"/>
                <w:lang w:val="en-US" w:eastAsia="zh-CN"/>
              </w:rPr>
              <w:t>-</w:t>
            </w:r>
            <w:r>
              <w:rPr>
                <w:rFonts w:hint="eastAsia"/>
                <w:color w:val="auto"/>
                <w:kern w:val="0"/>
              </w:rPr>
              <w:t>1</w:t>
            </w:r>
            <w:r>
              <w:rPr>
                <w:rFonts w:hint="eastAsia"/>
                <w:color w:val="auto"/>
                <w:kern w:val="0"/>
                <w:lang w:val="en-US" w:eastAsia="zh-CN"/>
              </w:rPr>
              <w:t>0</w:t>
            </w:r>
            <w:r>
              <w:rPr>
                <w:rFonts w:hint="eastAsia"/>
                <w:color w:val="auto"/>
                <w:kern w:val="0"/>
              </w:rPr>
              <w:t>所示。</w:t>
            </w:r>
            <w:r>
              <w:rPr>
                <w:color w:val="auto"/>
                <w:kern w:val="0"/>
              </w:rPr>
              <w:t>根据监测结果可知，</w:t>
            </w:r>
            <w:r>
              <w:rPr>
                <w:rFonts w:hint="eastAsia"/>
                <w:color w:val="auto"/>
              </w:rPr>
              <w:t>DA001、DA002、DA003</w:t>
            </w:r>
            <w:r>
              <w:rPr>
                <w:rFonts w:hint="eastAsia"/>
                <w:color w:val="auto"/>
                <w:szCs w:val="21"/>
              </w:rPr>
              <w:t>废气排气筒</w:t>
            </w:r>
            <w:r>
              <w:rPr>
                <w:color w:val="auto"/>
              </w:rPr>
              <w:t>的</w:t>
            </w:r>
            <w:r>
              <w:rPr>
                <w:rFonts w:hint="eastAsia"/>
                <w:color w:val="auto"/>
              </w:rPr>
              <w:t>挥发性有机物</w:t>
            </w:r>
            <w:r>
              <w:rPr>
                <w:color w:val="auto"/>
                <w:kern w:val="0"/>
              </w:rPr>
              <w:t>有组织排放浓度</w:t>
            </w:r>
            <w:r>
              <w:rPr>
                <w:color w:val="auto"/>
              </w:rPr>
              <w:t>满足</w:t>
            </w:r>
            <w:r>
              <w:rPr>
                <w:rFonts w:hint="eastAsia"/>
                <w:color w:val="auto"/>
                <w:lang w:val="en-US" w:eastAsia="zh-CN"/>
              </w:rPr>
              <w:t>《砖瓦工业大气污染物排放标准》（DB34/4362-2023）</w:t>
            </w:r>
            <w:r>
              <w:rPr>
                <w:color w:val="auto"/>
                <w:kern w:val="0"/>
                <w:lang w:val="zh-TW" w:eastAsia="zh-TW"/>
              </w:rPr>
              <w:t>中</w:t>
            </w:r>
            <w:r>
              <w:rPr>
                <w:color w:val="auto"/>
                <w:kern w:val="0"/>
              </w:rPr>
              <w:t>大气污染物</w:t>
            </w:r>
            <w:r>
              <w:rPr>
                <w:rFonts w:hint="eastAsia"/>
                <w:color w:val="auto"/>
                <w:kern w:val="0"/>
              </w:rPr>
              <w:t>特</w:t>
            </w:r>
            <w:r>
              <w:rPr>
                <w:color w:val="auto"/>
                <w:kern w:val="0"/>
              </w:rPr>
              <w:t>别排</w:t>
            </w:r>
            <w:r>
              <w:rPr>
                <w:rFonts w:hint="eastAsia"/>
                <w:color w:val="auto"/>
                <w:kern w:val="0"/>
              </w:rPr>
              <w:t>放</w:t>
            </w:r>
            <w:r>
              <w:rPr>
                <w:color w:val="auto"/>
                <w:kern w:val="0"/>
              </w:rPr>
              <w:t>限值</w:t>
            </w:r>
            <w:r>
              <w:rPr>
                <w:rFonts w:hint="eastAsia"/>
                <w:color w:val="auto"/>
                <w:kern w:val="0"/>
              </w:rPr>
              <w:t>（</w:t>
            </w:r>
            <w:r>
              <w:rPr>
                <w:rFonts w:hint="eastAsia"/>
                <w:color w:val="auto"/>
                <w:kern w:val="0"/>
                <w:lang w:val="en-US" w:eastAsia="zh-CN"/>
              </w:rPr>
              <w:t>1</w:t>
            </w:r>
            <w:r>
              <w:rPr>
                <w:rFonts w:hint="eastAsia"/>
                <w:color w:val="auto"/>
                <w:kern w:val="0"/>
              </w:rPr>
              <w:t>0</w:t>
            </w:r>
            <w:r>
              <w:rPr>
                <w:color w:val="auto"/>
                <w:kern w:val="0"/>
              </w:rPr>
              <w:t>mg/m</w:t>
            </w:r>
            <w:r>
              <w:rPr>
                <w:color w:val="auto"/>
                <w:kern w:val="0"/>
                <w:vertAlign w:val="superscript"/>
              </w:rPr>
              <w:t>3</w:t>
            </w:r>
            <w:r>
              <w:rPr>
                <w:rFonts w:hint="eastAsia"/>
                <w:color w:val="auto"/>
                <w:kern w:val="0"/>
              </w:rPr>
              <w:t>）</w:t>
            </w:r>
            <w:r>
              <w:rPr>
                <w:color w:val="auto"/>
              </w:rPr>
              <w:t>。</w:t>
            </w:r>
            <w:r>
              <w:rPr>
                <w:rFonts w:hint="eastAsia"/>
                <w:color w:val="auto"/>
                <w:kern w:val="0"/>
              </w:rPr>
              <w:t>现有工程</w:t>
            </w:r>
            <w:r>
              <w:rPr>
                <w:color w:val="auto"/>
              </w:rPr>
              <w:t>按年生产</w:t>
            </w:r>
            <w:r>
              <w:rPr>
                <w:rFonts w:hint="eastAsia"/>
                <w:color w:val="auto"/>
                <w:lang w:val="en-US" w:eastAsia="zh-CN"/>
              </w:rPr>
              <w:t>300</w:t>
            </w:r>
            <w:r>
              <w:rPr>
                <w:color w:val="auto"/>
              </w:rPr>
              <w:t>天，每天</w:t>
            </w:r>
            <w:r>
              <w:rPr>
                <w:rFonts w:hint="eastAsia"/>
                <w:color w:val="auto"/>
                <w:lang w:val="en-US" w:eastAsia="zh-CN"/>
              </w:rPr>
              <w:t>8</w:t>
            </w:r>
            <w:r>
              <w:rPr>
                <w:color w:val="auto"/>
              </w:rPr>
              <w:t>个小时计，</w:t>
            </w:r>
            <w:r>
              <w:rPr>
                <w:rFonts w:hint="eastAsia"/>
                <w:color w:val="auto"/>
              </w:rPr>
              <w:t>则</w:t>
            </w:r>
            <w:r>
              <w:rPr>
                <w:rFonts w:hint="eastAsia"/>
                <w:color w:val="auto"/>
                <w:kern w:val="0"/>
              </w:rPr>
              <w:t>实际挥发有机物有组织排放量为0.</w:t>
            </w:r>
            <w:r>
              <w:rPr>
                <w:rFonts w:hint="eastAsia"/>
                <w:color w:val="auto"/>
                <w:kern w:val="0"/>
                <w:lang w:val="en-US" w:eastAsia="zh-CN"/>
              </w:rPr>
              <w:t>06</w:t>
            </w:r>
            <w:r>
              <w:rPr>
                <w:rFonts w:hint="eastAsia"/>
                <w:color w:val="auto"/>
                <w:kern w:val="0"/>
              </w:rPr>
              <w:t>t/a</w:t>
            </w:r>
            <w:r>
              <w:rPr>
                <w:color w:val="auto"/>
              </w:rPr>
              <w:t>。</w:t>
            </w:r>
          </w:p>
          <w:p w14:paraId="5A52624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left"/>
              <w:textAlignment w:val="auto"/>
              <w:rPr>
                <w:rFonts w:hint="eastAsia"/>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无组织废气</w:t>
            </w:r>
            <w:r>
              <w:rPr>
                <w:rFonts w:hint="eastAsia"/>
                <w:color w:val="000000" w:themeColor="text1"/>
                <w:szCs w:val="24"/>
                <w:highlight w:val="none"/>
                <w:lang w:eastAsia="zh-CN"/>
                <w14:textFill>
                  <w14:solidFill>
                    <w14:schemeClr w14:val="tx1"/>
                  </w14:solidFill>
                </w14:textFill>
              </w:rPr>
              <w:t>排放情况</w:t>
            </w:r>
            <w:r>
              <w:rPr>
                <w:rFonts w:hint="eastAsia"/>
                <w:color w:val="000000" w:themeColor="text1"/>
                <w:szCs w:val="24"/>
                <w:highlight w:val="none"/>
                <w14:textFill>
                  <w14:solidFill>
                    <w14:schemeClr w14:val="tx1"/>
                  </w14:solidFill>
                </w14:textFill>
              </w:rPr>
              <w:t>根据《</w:t>
            </w:r>
            <w:r>
              <w:rPr>
                <w:rFonts w:hint="eastAsia"/>
                <w:color w:val="000000" w:themeColor="text1"/>
                <w:szCs w:val="24"/>
                <w:highlight w:val="none"/>
                <w:lang w:val="en-US" w:eastAsia="zh-CN"/>
                <w14:textFill>
                  <w14:solidFill>
                    <w14:schemeClr w14:val="tx1"/>
                  </w14:solidFill>
                </w14:textFill>
              </w:rPr>
              <w:t>道路建养材料生产项目</w:t>
            </w:r>
            <w:r>
              <w:rPr>
                <w:rFonts w:hint="eastAsia"/>
                <w:color w:val="000000" w:themeColor="text1"/>
                <w:szCs w:val="24"/>
                <w:highlight w:val="none"/>
                <w14:textFill>
                  <w14:solidFill>
                    <w14:schemeClr w14:val="tx1"/>
                  </w14:solidFill>
                </w14:textFill>
              </w:rPr>
              <w:t>》（报告编号：</w:t>
            </w:r>
            <w:r>
              <w:rPr>
                <w:rFonts w:hint="eastAsia"/>
                <w:color w:val="000000" w:themeColor="text1"/>
                <w:szCs w:val="24"/>
                <w:highlight w:val="none"/>
                <w:lang w:val="en-US" w:eastAsia="zh-CN"/>
                <w14:textFill>
                  <w14:solidFill>
                    <w14:schemeClr w14:val="tx1"/>
                  </w14:solidFill>
                </w14:textFill>
              </w:rPr>
              <w:t>JJYS2024081</w:t>
            </w:r>
            <w:r>
              <w:rPr>
                <w:rFonts w:hint="eastAsia"/>
                <w:color w:val="000000" w:themeColor="text1"/>
                <w:szCs w:val="24"/>
                <w:highlight w:val="none"/>
                <w14:textFill>
                  <w14:solidFill>
                    <w14:schemeClr w14:val="tx1"/>
                  </w14:solidFill>
                </w14:textFill>
              </w:rPr>
              <w:t>，签发日期：202</w:t>
            </w:r>
            <w:r>
              <w:rPr>
                <w:rFonts w:hint="eastAsia"/>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14:textFill>
                  <w14:solidFill>
                    <w14:schemeClr w14:val="tx1"/>
                  </w14:solidFill>
                </w14:textFill>
              </w:rPr>
              <w:t>年</w:t>
            </w:r>
            <w:r>
              <w:rPr>
                <w:rFonts w:hint="eastAsia"/>
                <w:color w:val="000000" w:themeColor="text1"/>
                <w:szCs w:val="24"/>
                <w:highlight w:val="none"/>
                <w:lang w:val="en-US" w:eastAsia="zh-CN"/>
                <w14:textFill>
                  <w14:solidFill>
                    <w14:schemeClr w14:val="tx1"/>
                  </w14:solidFill>
                </w14:textFill>
              </w:rPr>
              <w:t>12</w:t>
            </w:r>
            <w:r>
              <w:rPr>
                <w:rFonts w:hint="eastAsia"/>
                <w:color w:val="000000" w:themeColor="text1"/>
                <w:szCs w:val="24"/>
                <w:highlight w:val="none"/>
                <w14:textFill>
                  <w14:solidFill>
                    <w14:schemeClr w14:val="tx1"/>
                  </w14:solidFill>
                </w14:textFill>
              </w:rPr>
              <w:t>月</w:t>
            </w:r>
            <w:r>
              <w:rPr>
                <w:rFonts w:hint="eastAsia"/>
                <w:color w:val="000000" w:themeColor="text1"/>
                <w:szCs w:val="24"/>
                <w:highlight w:val="none"/>
                <w:lang w:val="en-US" w:eastAsia="zh-CN"/>
                <w14:textFill>
                  <w14:solidFill>
                    <w14:schemeClr w14:val="tx1"/>
                  </w14:solidFill>
                </w14:textFill>
              </w:rPr>
              <w:t>11</w:t>
            </w:r>
            <w:r>
              <w:rPr>
                <w:rFonts w:hint="eastAsia"/>
                <w:color w:val="000000" w:themeColor="text1"/>
                <w:szCs w:val="24"/>
                <w:highlight w:val="none"/>
                <w14:textFill>
                  <w14:solidFill>
                    <w14:schemeClr w14:val="tx1"/>
                  </w14:solidFill>
                </w14:textFill>
              </w:rPr>
              <w:t>日）进行判断。</w:t>
            </w:r>
          </w:p>
          <w:p w14:paraId="5ACDDCE6">
            <w:pPr>
              <w:snapToGrid w:val="0"/>
              <w:spacing w:line="360" w:lineRule="auto"/>
              <w:jc w:val="center"/>
              <w:rPr>
                <w:b/>
                <w:sz w:val="24"/>
                <w:highlight w:val="none"/>
              </w:rPr>
            </w:pPr>
            <w:r>
              <w:rPr>
                <w:b/>
                <w:sz w:val="24"/>
                <w:highlight w:val="none"/>
              </w:rPr>
              <w:t>表2</w:t>
            </w:r>
            <w:r>
              <w:rPr>
                <w:rFonts w:hint="eastAsia"/>
                <w:b/>
                <w:sz w:val="24"/>
                <w:highlight w:val="none"/>
                <w:lang w:val="en-US" w:eastAsia="zh-CN"/>
              </w:rPr>
              <w:t>-</w:t>
            </w:r>
            <w:r>
              <w:rPr>
                <w:rFonts w:hint="eastAsia"/>
                <w:b/>
                <w:sz w:val="24"/>
                <w:highlight w:val="none"/>
              </w:rPr>
              <w:t>1</w:t>
            </w:r>
            <w:r>
              <w:rPr>
                <w:rFonts w:hint="eastAsia"/>
                <w:b/>
                <w:sz w:val="24"/>
                <w:highlight w:val="none"/>
                <w:lang w:val="en-US" w:eastAsia="zh-CN"/>
              </w:rPr>
              <w:t>1</w:t>
            </w:r>
            <w:r>
              <w:rPr>
                <w:b/>
                <w:sz w:val="24"/>
                <w:highlight w:val="none"/>
              </w:rPr>
              <w:t xml:space="preserve">  </w:t>
            </w:r>
            <w:r>
              <w:rPr>
                <w:rFonts w:hint="eastAsia"/>
                <w:b/>
                <w:sz w:val="24"/>
                <w:highlight w:val="none"/>
                <w:lang w:eastAsia="zh-CN"/>
              </w:rPr>
              <w:t>无</w:t>
            </w:r>
            <w:r>
              <w:rPr>
                <w:rFonts w:hint="eastAsia"/>
                <w:b/>
                <w:sz w:val="24"/>
                <w:highlight w:val="none"/>
              </w:rPr>
              <w:t>组织</w:t>
            </w:r>
            <w:r>
              <w:rPr>
                <w:b/>
                <w:sz w:val="24"/>
                <w:highlight w:val="none"/>
              </w:rPr>
              <w:t>废气检测结果</w:t>
            </w:r>
          </w:p>
          <w:tbl>
            <w:tblPr>
              <w:tblStyle w:val="27"/>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99"/>
              <w:gridCol w:w="923"/>
              <w:gridCol w:w="1297"/>
              <w:gridCol w:w="1297"/>
              <w:gridCol w:w="1297"/>
            </w:tblGrid>
            <w:tr w14:paraId="47A7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974" w:type="pct"/>
                  <w:noWrap w:val="0"/>
                  <w:vAlign w:val="center"/>
                </w:tcPr>
                <w:p w14:paraId="4FD0B76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测点位置</w:t>
                  </w:r>
                </w:p>
              </w:tc>
              <w:tc>
                <w:tcPr>
                  <w:tcW w:w="906" w:type="pct"/>
                  <w:noWrap w:val="0"/>
                  <w:vAlign w:val="center"/>
                </w:tcPr>
                <w:p w14:paraId="77AA62E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项目名称</w:t>
                  </w:r>
                </w:p>
              </w:tc>
              <w:tc>
                <w:tcPr>
                  <w:tcW w:w="598" w:type="pct"/>
                  <w:noWrap w:val="0"/>
                  <w:vAlign w:val="center"/>
                </w:tcPr>
                <w:p w14:paraId="1934127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pacing w:val="-20"/>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单位</w:t>
                  </w:r>
                </w:p>
              </w:tc>
              <w:tc>
                <w:tcPr>
                  <w:tcW w:w="2520" w:type="pct"/>
                  <w:gridSpan w:val="3"/>
                  <w:noWrap w:val="0"/>
                  <w:vAlign w:val="center"/>
                </w:tcPr>
                <w:p w14:paraId="2316886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pacing w:val="-20"/>
                      <w:kern w:val="0"/>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 xml:space="preserve">2024-11-21 </w:t>
                  </w:r>
                  <w:r>
                    <w:rPr>
                      <w:rFonts w:hint="default" w:ascii="Times New Roman" w:hAnsi="Times New Roman" w:eastAsia="宋体" w:cs="Times New Roman"/>
                      <w:b w:val="0"/>
                      <w:bCs w:val="0"/>
                      <w:color w:val="auto"/>
                      <w:sz w:val="21"/>
                      <w:szCs w:val="21"/>
                      <w:highlight w:val="none"/>
                      <w:lang w:val="en-US" w:eastAsia="zh-CN"/>
                    </w:rPr>
                    <w:t>检测结果</w:t>
                  </w:r>
                </w:p>
              </w:tc>
            </w:tr>
            <w:tr w14:paraId="757D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restart"/>
                  <w:noWrap w:val="0"/>
                  <w:vAlign w:val="center"/>
                </w:tcPr>
                <w:p w14:paraId="429A8D9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厂界上风向G1</w:t>
                  </w:r>
                </w:p>
              </w:tc>
              <w:tc>
                <w:tcPr>
                  <w:tcW w:w="906" w:type="pct"/>
                  <w:shd w:val="clear" w:color="auto" w:fill="auto"/>
                  <w:noWrap w:val="0"/>
                  <w:vAlign w:val="center"/>
                </w:tcPr>
                <w:p w14:paraId="709581C3">
                  <w:pPr>
                    <w:pStyle w:val="12"/>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臭气浓度</w:t>
                  </w:r>
                </w:p>
              </w:tc>
              <w:tc>
                <w:tcPr>
                  <w:tcW w:w="1259" w:type="dxa"/>
                  <w:shd w:val="clear" w:color="auto" w:fill="auto"/>
                  <w:noWrap w:val="0"/>
                  <w:vAlign w:val="center"/>
                </w:tcPr>
                <w:p w14:paraId="77D8C0A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无量纲</w:t>
                  </w:r>
                </w:p>
              </w:tc>
              <w:tc>
                <w:tcPr>
                  <w:tcW w:w="840" w:type="pct"/>
                  <w:noWrap w:val="0"/>
                  <w:vAlign w:val="center"/>
                </w:tcPr>
                <w:p w14:paraId="77DB0A1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4927331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2505C9D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r>
            <w:tr w14:paraId="3C8F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6E30457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906" w:type="pct"/>
                  <w:shd w:val="clear" w:color="auto" w:fill="auto"/>
                  <w:noWrap w:val="0"/>
                  <w:vAlign w:val="center"/>
                </w:tcPr>
                <w:p w14:paraId="46972D61">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总悬浮颗粒物</w:t>
                  </w:r>
                </w:p>
              </w:tc>
              <w:tc>
                <w:tcPr>
                  <w:tcW w:w="1259" w:type="dxa"/>
                  <w:shd w:val="clear" w:color="auto" w:fill="auto"/>
                  <w:noWrap w:val="0"/>
                  <w:vAlign w:val="center"/>
                </w:tcPr>
                <w:p w14:paraId="41C1A23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40" w:type="pct"/>
                  <w:noWrap w:val="0"/>
                  <w:vAlign w:val="center"/>
                </w:tcPr>
                <w:p w14:paraId="6098F81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192</w:t>
                  </w:r>
                </w:p>
              </w:tc>
              <w:tc>
                <w:tcPr>
                  <w:tcW w:w="840" w:type="pct"/>
                  <w:noWrap w:val="0"/>
                  <w:vAlign w:val="center"/>
                </w:tcPr>
                <w:p w14:paraId="2F20E22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187</w:t>
                  </w:r>
                </w:p>
              </w:tc>
              <w:tc>
                <w:tcPr>
                  <w:tcW w:w="840" w:type="pct"/>
                  <w:noWrap w:val="0"/>
                  <w:vAlign w:val="center"/>
                </w:tcPr>
                <w:p w14:paraId="54F3247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177</w:t>
                  </w:r>
                </w:p>
              </w:tc>
            </w:tr>
            <w:tr w14:paraId="778B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3667C9A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906" w:type="pct"/>
                  <w:shd w:val="clear" w:color="auto" w:fill="auto"/>
                  <w:noWrap w:val="0"/>
                  <w:vAlign w:val="center"/>
                </w:tcPr>
                <w:p w14:paraId="6F75935F">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氨</w:t>
                  </w:r>
                </w:p>
              </w:tc>
              <w:tc>
                <w:tcPr>
                  <w:tcW w:w="1259" w:type="dxa"/>
                  <w:shd w:val="clear" w:color="auto" w:fill="auto"/>
                  <w:noWrap w:val="0"/>
                  <w:vAlign w:val="center"/>
                </w:tcPr>
                <w:p w14:paraId="3B5F04B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40" w:type="pct"/>
                  <w:noWrap w:val="0"/>
                  <w:vAlign w:val="center"/>
                </w:tcPr>
                <w:p w14:paraId="0F318C2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0.05</w:t>
                  </w:r>
                </w:p>
              </w:tc>
              <w:tc>
                <w:tcPr>
                  <w:tcW w:w="840" w:type="pct"/>
                  <w:noWrap w:val="0"/>
                  <w:vAlign w:val="center"/>
                </w:tcPr>
                <w:p w14:paraId="7294C87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0.06</w:t>
                  </w:r>
                </w:p>
              </w:tc>
              <w:tc>
                <w:tcPr>
                  <w:tcW w:w="840" w:type="pct"/>
                  <w:noWrap w:val="0"/>
                  <w:vAlign w:val="center"/>
                </w:tcPr>
                <w:p w14:paraId="6F4B1B9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0.06</w:t>
                  </w:r>
                </w:p>
              </w:tc>
            </w:tr>
            <w:tr w14:paraId="358D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60E149C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906" w:type="pct"/>
                  <w:shd w:val="clear" w:color="auto" w:fill="auto"/>
                  <w:noWrap w:val="0"/>
                  <w:vAlign w:val="center"/>
                </w:tcPr>
                <w:p w14:paraId="30BBA3E3">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硫化氢</w:t>
                  </w:r>
                </w:p>
              </w:tc>
              <w:tc>
                <w:tcPr>
                  <w:tcW w:w="1259" w:type="dxa"/>
                  <w:shd w:val="clear" w:color="auto" w:fill="auto"/>
                  <w:noWrap w:val="0"/>
                  <w:vAlign w:val="center"/>
                </w:tcPr>
                <w:p w14:paraId="01A40EA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40" w:type="pct"/>
                  <w:noWrap w:val="0"/>
                  <w:vAlign w:val="center"/>
                </w:tcPr>
                <w:p w14:paraId="6258C0B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0.001</w:t>
                  </w:r>
                </w:p>
              </w:tc>
              <w:tc>
                <w:tcPr>
                  <w:tcW w:w="840" w:type="pct"/>
                  <w:noWrap w:val="0"/>
                  <w:vAlign w:val="center"/>
                </w:tcPr>
                <w:p w14:paraId="71C896D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0.002</w:t>
                  </w:r>
                </w:p>
              </w:tc>
              <w:tc>
                <w:tcPr>
                  <w:tcW w:w="840" w:type="pct"/>
                  <w:noWrap w:val="0"/>
                  <w:vAlign w:val="center"/>
                </w:tcPr>
                <w:p w14:paraId="51BAE74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0.001</w:t>
                  </w:r>
                </w:p>
              </w:tc>
            </w:tr>
            <w:tr w14:paraId="4AF8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restart"/>
                  <w:noWrap w:val="0"/>
                  <w:vAlign w:val="center"/>
                </w:tcPr>
                <w:p w14:paraId="5C23E3B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厂界下风向G2</w:t>
                  </w:r>
                </w:p>
              </w:tc>
              <w:tc>
                <w:tcPr>
                  <w:tcW w:w="906" w:type="pct"/>
                  <w:shd w:val="clear" w:color="auto" w:fill="auto"/>
                  <w:noWrap w:val="0"/>
                  <w:vAlign w:val="center"/>
                </w:tcPr>
                <w:p w14:paraId="05FAB2DD">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臭气浓度</w:t>
                  </w:r>
                </w:p>
              </w:tc>
              <w:tc>
                <w:tcPr>
                  <w:tcW w:w="1259" w:type="dxa"/>
                  <w:shd w:val="clear" w:color="auto" w:fill="auto"/>
                  <w:noWrap w:val="0"/>
                  <w:vAlign w:val="center"/>
                </w:tcPr>
                <w:p w14:paraId="58480BB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无量纲</w:t>
                  </w:r>
                </w:p>
              </w:tc>
              <w:tc>
                <w:tcPr>
                  <w:tcW w:w="840" w:type="pct"/>
                  <w:noWrap w:val="0"/>
                  <w:vAlign w:val="center"/>
                </w:tcPr>
                <w:p w14:paraId="13FAA3A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7AE5372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3E9BD52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r>
            <w:tr w14:paraId="4621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215D527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0000FF"/>
                      <w:sz w:val="21"/>
                      <w:szCs w:val="21"/>
                      <w:highlight w:val="none"/>
                      <w:lang w:val="en-US" w:eastAsia="zh-CN"/>
                    </w:rPr>
                  </w:pPr>
                </w:p>
              </w:tc>
              <w:tc>
                <w:tcPr>
                  <w:tcW w:w="906" w:type="pct"/>
                  <w:shd w:val="clear" w:color="auto" w:fill="auto"/>
                  <w:noWrap w:val="0"/>
                  <w:vAlign w:val="center"/>
                </w:tcPr>
                <w:p w14:paraId="6C2FE00F">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总悬浮颗粒物</w:t>
                  </w:r>
                </w:p>
              </w:tc>
              <w:tc>
                <w:tcPr>
                  <w:tcW w:w="1259" w:type="dxa"/>
                  <w:shd w:val="clear" w:color="auto" w:fill="auto"/>
                  <w:noWrap w:val="0"/>
                  <w:vAlign w:val="center"/>
                </w:tcPr>
                <w:p w14:paraId="108AF1F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40" w:type="pct"/>
                  <w:noWrap w:val="0"/>
                  <w:vAlign w:val="center"/>
                </w:tcPr>
                <w:p w14:paraId="6C682DD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295</w:t>
                  </w:r>
                </w:p>
              </w:tc>
              <w:tc>
                <w:tcPr>
                  <w:tcW w:w="840" w:type="pct"/>
                  <w:noWrap w:val="0"/>
                  <w:vAlign w:val="center"/>
                </w:tcPr>
                <w:p w14:paraId="2A180B1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325</w:t>
                  </w:r>
                </w:p>
              </w:tc>
              <w:tc>
                <w:tcPr>
                  <w:tcW w:w="840" w:type="pct"/>
                  <w:noWrap w:val="0"/>
                  <w:vAlign w:val="center"/>
                </w:tcPr>
                <w:p w14:paraId="346A4B0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309</w:t>
                  </w:r>
                </w:p>
              </w:tc>
            </w:tr>
            <w:tr w14:paraId="0233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6FD6FF0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0000FF"/>
                      <w:sz w:val="21"/>
                      <w:szCs w:val="21"/>
                      <w:highlight w:val="none"/>
                      <w:lang w:val="en-US" w:eastAsia="zh-CN"/>
                    </w:rPr>
                  </w:pPr>
                </w:p>
              </w:tc>
              <w:tc>
                <w:tcPr>
                  <w:tcW w:w="906" w:type="pct"/>
                  <w:shd w:val="clear" w:color="auto" w:fill="auto"/>
                  <w:noWrap w:val="0"/>
                  <w:vAlign w:val="center"/>
                </w:tcPr>
                <w:p w14:paraId="1A10E1E7">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氨</w:t>
                  </w:r>
                </w:p>
              </w:tc>
              <w:tc>
                <w:tcPr>
                  <w:tcW w:w="1259" w:type="dxa"/>
                  <w:shd w:val="clear" w:color="auto" w:fill="auto"/>
                  <w:noWrap w:val="0"/>
                  <w:vAlign w:val="center"/>
                </w:tcPr>
                <w:p w14:paraId="49547F8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40" w:type="pct"/>
                  <w:noWrap w:val="0"/>
                  <w:vAlign w:val="center"/>
                </w:tcPr>
                <w:p w14:paraId="1EA0D0A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0.09</w:t>
                  </w:r>
                </w:p>
              </w:tc>
              <w:tc>
                <w:tcPr>
                  <w:tcW w:w="840" w:type="pct"/>
                  <w:noWrap w:val="0"/>
                  <w:vAlign w:val="center"/>
                </w:tcPr>
                <w:p w14:paraId="767DF64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0.09</w:t>
                  </w:r>
                </w:p>
              </w:tc>
              <w:tc>
                <w:tcPr>
                  <w:tcW w:w="840" w:type="pct"/>
                  <w:noWrap w:val="0"/>
                  <w:vAlign w:val="center"/>
                </w:tcPr>
                <w:p w14:paraId="7410E84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0.10</w:t>
                  </w:r>
                </w:p>
              </w:tc>
            </w:tr>
            <w:tr w14:paraId="74F7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722760C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0000FF"/>
                      <w:sz w:val="21"/>
                      <w:szCs w:val="21"/>
                      <w:highlight w:val="none"/>
                      <w:lang w:val="en-US" w:eastAsia="zh-CN"/>
                    </w:rPr>
                  </w:pPr>
                </w:p>
              </w:tc>
              <w:tc>
                <w:tcPr>
                  <w:tcW w:w="906" w:type="pct"/>
                  <w:shd w:val="clear" w:color="auto" w:fill="auto"/>
                  <w:noWrap w:val="0"/>
                  <w:vAlign w:val="center"/>
                </w:tcPr>
                <w:p w14:paraId="742DC838">
                  <w:pPr>
                    <w:pStyle w:val="12"/>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硫化氢</w:t>
                  </w:r>
                </w:p>
              </w:tc>
              <w:tc>
                <w:tcPr>
                  <w:tcW w:w="1259" w:type="dxa"/>
                  <w:shd w:val="clear" w:color="auto" w:fill="auto"/>
                  <w:noWrap w:val="0"/>
                  <w:vAlign w:val="center"/>
                </w:tcPr>
                <w:p w14:paraId="1C3A6E5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768" w:type="dxa"/>
                  <w:noWrap w:val="0"/>
                  <w:vAlign w:val="center"/>
                </w:tcPr>
                <w:p w14:paraId="1C03F90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0.002</w:t>
                  </w:r>
                </w:p>
              </w:tc>
              <w:tc>
                <w:tcPr>
                  <w:tcW w:w="1768" w:type="dxa"/>
                  <w:noWrap w:val="0"/>
                  <w:vAlign w:val="center"/>
                </w:tcPr>
                <w:p w14:paraId="1DF7608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0.003</w:t>
                  </w:r>
                </w:p>
              </w:tc>
              <w:tc>
                <w:tcPr>
                  <w:tcW w:w="1768" w:type="dxa"/>
                  <w:noWrap w:val="0"/>
                  <w:vAlign w:val="center"/>
                </w:tcPr>
                <w:p w14:paraId="2A99237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0.002</w:t>
                  </w:r>
                </w:p>
              </w:tc>
            </w:tr>
            <w:tr w14:paraId="29F6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restart"/>
                  <w:noWrap w:val="0"/>
                  <w:vAlign w:val="center"/>
                </w:tcPr>
                <w:p w14:paraId="1659088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厂界下风向G3</w:t>
                  </w:r>
                </w:p>
              </w:tc>
              <w:tc>
                <w:tcPr>
                  <w:tcW w:w="906" w:type="pct"/>
                  <w:shd w:val="clear" w:color="auto" w:fill="auto"/>
                  <w:noWrap w:val="0"/>
                  <w:vAlign w:val="center"/>
                </w:tcPr>
                <w:p w14:paraId="6034EAE6">
                  <w:pPr>
                    <w:pStyle w:val="12"/>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臭气浓度</w:t>
                  </w:r>
                </w:p>
              </w:tc>
              <w:tc>
                <w:tcPr>
                  <w:tcW w:w="1259" w:type="dxa"/>
                  <w:shd w:val="clear" w:color="auto" w:fill="auto"/>
                  <w:noWrap w:val="0"/>
                  <w:vAlign w:val="center"/>
                </w:tcPr>
                <w:p w14:paraId="2641982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无量纲</w:t>
                  </w:r>
                </w:p>
              </w:tc>
              <w:tc>
                <w:tcPr>
                  <w:tcW w:w="840" w:type="pct"/>
                  <w:noWrap w:val="0"/>
                  <w:vAlign w:val="center"/>
                </w:tcPr>
                <w:p w14:paraId="3527C3D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2821629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06C8A99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r>
            <w:tr w14:paraId="7151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62CBE02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906" w:type="pct"/>
                  <w:shd w:val="clear" w:color="auto" w:fill="auto"/>
                  <w:noWrap w:val="0"/>
                  <w:vAlign w:val="center"/>
                </w:tcPr>
                <w:p w14:paraId="2DDAA819">
                  <w:pPr>
                    <w:pStyle w:val="12"/>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总悬浮颗粒物</w:t>
                  </w:r>
                </w:p>
              </w:tc>
              <w:tc>
                <w:tcPr>
                  <w:tcW w:w="1259" w:type="dxa"/>
                  <w:shd w:val="clear" w:color="auto" w:fill="auto"/>
                  <w:noWrap w:val="0"/>
                  <w:vAlign w:val="center"/>
                </w:tcPr>
                <w:p w14:paraId="2E210FC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μg/m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840" w:type="pct"/>
                  <w:noWrap w:val="0"/>
                  <w:vAlign w:val="center"/>
                </w:tcPr>
                <w:p w14:paraId="4B6FF77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377</w:t>
                  </w:r>
                </w:p>
              </w:tc>
              <w:tc>
                <w:tcPr>
                  <w:tcW w:w="840" w:type="pct"/>
                  <w:noWrap w:val="0"/>
                  <w:vAlign w:val="center"/>
                </w:tcPr>
                <w:p w14:paraId="2264F62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392</w:t>
                  </w:r>
                </w:p>
              </w:tc>
              <w:tc>
                <w:tcPr>
                  <w:tcW w:w="840" w:type="pct"/>
                  <w:noWrap w:val="0"/>
                  <w:vAlign w:val="center"/>
                </w:tcPr>
                <w:p w14:paraId="5A787F6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415</w:t>
                  </w:r>
                </w:p>
              </w:tc>
            </w:tr>
            <w:tr w14:paraId="3343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5C01E72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906" w:type="pct"/>
                  <w:shd w:val="clear" w:color="auto" w:fill="auto"/>
                  <w:noWrap w:val="0"/>
                  <w:vAlign w:val="center"/>
                </w:tcPr>
                <w:p w14:paraId="02A7BC69">
                  <w:pPr>
                    <w:pStyle w:val="12"/>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氨</w:t>
                  </w:r>
                </w:p>
              </w:tc>
              <w:tc>
                <w:tcPr>
                  <w:tcW w:w="1259" w:type="dxa"/>
                  <w:shd w:val="clear" w:color="auto" w:fill="auto"/>
                  <w:noWrap w:val="0"/>
                  <w:vAlign w:val="center"/>
                </w:tcPr>
                <w:p w14:paraId="4EDA7AE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40" w:type="pct"/>
                  <w:noWrap w:val="0"/>
                  <w:vAlign w:val="center"/>
                </w:tcPr>
                <w:p w14:paraId="5EC11D5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0.13</w:t>
                  </w:r>
                </w:p>
              </w:tc>
              <w:tc>
                <w:tcPr>
                  <w:tcW w:w="840" w:type="pct"/>
                  <w:noWrap w:val="0"/>
                  <w:vAlign w:val="center"/>
                </w:tcPr>
                <w:p w14:paraId="56EE75E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0.14</w:t>
                  </w:r>
                </w:p>
              </w:tc>
              <w:tc>
                <w:tcPr>
                  <w:tcW w:w="840" w:type="pct"/>
                  <w:noWrap w:val="0"/>
                  <w:vAlign w:val="center"/>
                </w:tcPr>
                <w:p w14:paraId="317CA5A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0.13</w:t>
                  </w:r>
                </w:p>
              </w:tc>
            </w:tr>
            <w:tr w14:paraId="1CE7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2B0BFC7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p>
              </w:tc>
              <w:tc>
                <w:tcPr>
                  <w:tcW w:w="906" w:type="pct"/>
                  <w:shd w:val="clear" w:color="auto" w:fill="auto"/>
                  <w:noWrap w:val="0"/>
                  <w:vAlign w:val="center"/>
                </w:tcPr>
                <w:p w14:paraId="1E1E068B">
                  <w:pPr>
                    <w:pStyle w:val="12"/>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硫化氢</w:t>
                  </w:r>
                </w:p>
              </w:tc>
              <w:tc>
                <w:tcPr>
                  <w:tcW w:w="1259" w:type="dxa"/>
                  <w:shd w:val="clear" w:color="auto" w:fill="auto"/>
                  <w:noWrap w:val="0"/>
                  <w:vAlign w:val="center"/>
                </w:tcPr>
                <w:p w14:paraId="36330E8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40" w:type="pct"/>
                  <w:noWrap w:val="0"/>
                  <w:vAlign w:val="center"/>
                </w:tcPr>
                <w:p w14:paraId="6740F29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0.006</w:t>
                  </w:r>
                </w:p>
              </w:tc>
              <w:tc>
                <w:tcPr>
                  <w:tcW w:w="840" w:type="pct"/>
                  <w:noWrap w:val="0"/>
                  <w:vAlign w:val="center"/>
                </w:tcPr>
                <w:p w14:paraId="69BA67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0.005</w:t>
                  </w:r>
                </w:p>
              </w:tc>
              <w:tc>
                <w:tcPr>
                  <w:tcW w:w="840" w:type="pct"/>
                  <w:noWrap w:val="0"/>
                  <w:vAlign w:val="center"/>
                </w:tcPr>
                <w:p w14:paraId="7418D73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2"/>
                      <w:sz w:val="21"/>
                      <w:szCs w:val="21"/>
                      <w:highlight w:val="none"/>
                      <w:u w:val="none"/>
                      <w:lang w:val="en-US" w:eastAsia="zh-CN" w:bidi="ar-SA"/>
                    </w:rPr>
                    <w:t>0.005</w:t>
                  </w:r>
                </w:p>
              </w:tc>
            </w:tr>
            <w:tr w14:paraId="3EC8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restart"/>
                  <w:noWrap w:val="0"/>
                  <w:vAlign w:val="center"/>
                </w:tcPr>
                <w:p w14:paraId="66F7B6E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厂界下风向G4</w:t>
                  </w:r>
                </w:p>
              </w:tc>
              <w:tc>
                <w:tcPr>
                  <w:tcW w:w="906" w:type="pct"/>
                  <w:shd w:val="clear" w:color="auto" w:fill="auto"/>
                  <w:noWrap w:val="0"/>
                  <w:vAlign w:val="center"/>
                </w:tcPr>
                <w:p w14:paraId="20F93F04">
                  <w:pPr>
                    <w:pStyle w:val="12"/>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臭气浓度</w:t>
                  </w:r>
                </w:p>
              </w:tc>
              <w:tc>
                <w:tcPr>
                  <w:tcW w:w="1259" w:type="dxa"/>
                  <w:shd w:val="clear" w:color="auto" w:fill="auto"/>
                  <w:noWrap w:val="0"/>
                  <w:vAlign w:val="center"/>
                </w:tcPr>
                <w:p w14:paraId="32AB183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无量纲</w:t>
                  </w:r>
                </w:p>
              </w:tc>
              <w:tc>
                <w:tcPr>
                  <w:tcW w:w="840" w:type="pct"/>
                  <w:noWrap w:val="0"/>
                  <w:vAlign w:val="center"/>
                </w:tcPr>
                <w:p w14:paraId="295D697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12C3558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c>
                <w:tcPr>
                  <w:tcW w:w="840" w:type="pct"/>
                  <w:noWrap w:val="0"/>
                  <w:vAlign w:val="center"/>
                </w:tcPr>
                <w:p w14:paraId="177E9EE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eastAsia" w:ascii="Times New Roman" w:hAnsi="Times New Roman" w:cs="Times New Roman"/>
                      <w:i w:val="0"/>
                      <w:iCs w:val="0"/>
                      <w:color w:val="auto"/>
                      <w:kern w:val="2"/>
                      <w:sz w:val="21"/>
                      <w:szCs w:val="21"/>
                      <w:highlight w:val="none"/>
                      <w:u w:val="none"/>
                      <w:lang w:val="en-US" w:eastAsia="zh-CN" w:bidi="ar-SA"/>
                    </w:rPr>
                  </w:pPr>
                  <w:r>
                    <w:rPr>
                      <w:rFonts w:hint="eastAsia" w:ascii="Times New Roman" w:hAnsi="Times New Roman" w:cs="Times New Roman" w:eastAsiaTheme="minorEastAsia"/>
                      <w:b w:val="0"/>
                      <w:bCs w:val="0"/>
                      <w:color w:val="auto"/>
                      <w:sz w:val="21"/>
                      <w:szCs w:val="21"/>
                      <w:highlight w:val="none"/>
                      <w:lang w:val="en-US" w:eastAsia="zh-CN"/>
                    </w:rPr>
                    <w:t>&lt; 10</w:t>
                  </w:r>
                </w:p>
              </w:tc>
            </w:tr>
            <w:tr w14:paraId="30D4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16B056B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0000FF"/>
                      <w:sz w:val="21"/>
                      <w:szCs w:val="21"/>
                      <w:lang w:val="en-US" w:eastAsia="zh-CN"/>
                    </w:rPr>
                  </w:pPr>
                </w:p>
              </w:tc>
              <w:tc>
                <w:tcPr>
                  <w:tcW w:w="906" w:type="pct"/>
                  <w:shd w:val="clear" w:color="auto" w:fill="auto"/>
                  <w:noWrap w:val="0"/>
                  <w:vAlign w:val="center"/>
                </w:tcPr>
                <w:p w14:paraId="499F0640">
                  <w:pPr>
                    <w:pStyle w:val="12"/>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总悬浮颗粒物</w:t>
                  </w:r>
                </w:p>
              </w:tc>
              <w:tc>
                <w:tcPr>
                  <w:tcW w:w="1259" w:type="dxa"/>
                  <w:shd w:val="clear" w:color="auto" w:fill="auto"/>
                  <w:noWrap w:val="0"/>
                  <w:vAlign w:val="center"/>
                </w:tcPr>
                <w:p w14:paraId="0630B6C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840" w:type="pct"/>
                  <w:noWrap w:val="0"/>
                  <w:vAlign w:val="center"/>
                </w:tcPr>
                <w:p w14:paraId="5785ABF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315</w:t>
                  </w:r>
                </w:p>
              </w:tc>
              <w:tc>
                <w:tcPr>
                  <w:tcW w:w="840" w:type="pct"/>
                  <w:noWrap w:val="0"/>
                  <w:vAlign w:val="center"/>
                </w:tcPr>
                <w:p w14:paraId="211BD36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293</w:t>
                  </w:r>
                </w:p>
              </w:tc>
              <w:tc>
                <w:tcPr>
                  <w:tcW w:w="840" w:type="pct"/>
                  <w:noWrap w:val="0"/>
                  <w:vAlign w:val="center"/>
                </w:tcPr>
                <w:p w14:paraId="13895A8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295</w:t>
                  </w:r>
                </w:p>
              </w:tc>
            </w:tr>
            <w:tr w14:paraId="2756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1433C2A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0000FF"/>
                      <w:sz w:val="21"/>
                      <w:szCs w:val="21"/>
                      <w:lang w:val="en-US" w:eastAsia="zh-CN"/>
                    </w:rPr>
                  </w:pPr>
                </w:p>
              </w:tc>
              <w:tc>
                <w:tcPr>
                  <w:tcW w:w="906" w:type="pct"/>
                  <w:shd w:val="clear" w:color="auto" w:fill="auto"/>
                  <w:noWrap w:val="0"/>
                  <w:vAlign w:val="center"/>
                </w:tcPr>
                <w:p w14:paraId="34FDA786">
                  <w:pPr>
                    <w:pStyle w:val="12"/>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氨</w:t>
                  </w:r>
                </w:p>
              </w:tc>
              <w:tc>
                <w:tcPr>
                  <w:tcW w:w="1259" w:type="dxa"/>
                  <w:shd w:val="clear" w:color="auto" w:fill="auto"/>
                  <w:noWrap w:val="0"/>
                  <w:vAlign w:val="center"/>
                </w:tcPr>
                <w:p w14:paraId="1033A0D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40" w:type="pct"/>
                  <w:noWrap w:val="0"/>
                  <w:vAlign w:val="center"/>
                </w:tcPr>
                <w:p w14:paraId="485A21D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0.10</w:t>
                  </w:r>
                </w:p>
              </w:tc>
              <w:tc>
                <w:tcPr>
                  <w:tcW w:w="840" w:type="pct"/>
                  <w:noWrap w:val="0"/>
                  <w:vAlign w:val="center"/>
                </w:tcPr>
                <w:p w14:paraId="366E5F0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0.10</w:t>
                  </w:r>
                </w:p>
              </w:tc>
              <w:tc>
                <w:tcPr>
                  <w:tcW w:w="840" w:type="pct"/>
                  <w:noWrap w:val="0"/>
                  <w:vAlign w:val="center"/>
                </w:tcPr>
                <w:p w14:paraId="40623AA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0.10</w:t>
                  </w:r>
                </w:p>
              </w:tc>
            </w:tr>
            <w:tr w14:paraId="56AF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4" w:type="pct"/>
                  <w:vMerge w:val="continue"/>
                  <w:noWrap w:val="0"/>
                  <w:vAlign w:val="center"/>
                </w:tcPr>
                <w:p w14:paraId="08E325A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0000FF"/>
                      <w:sz w:val="21"/>
                      <w:szCs w:val="21"/>
                      <w:lang w:val="en-US" w:eastAsia="zh-CN"/>
                    </w:rPr>
                  </w:pPr>
                </w:p>
              </w:tc>
              <w:tc>
                <w:tcPr>
                  <w:tcW w:w="906" w:type="pct"/>
                  <w:shd w:val="clear" w:color="auto" w:fill="auto"/>
                  <w:noWrap w:val="0"/>
                  <w:vAlign w:val="center"/>
                </w:tcPr>
                <w:p w14:paraId="38214D6F">
                  <w:pPr>
                    <w:pStyle w:val="12"/>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硫化氢</w:t>
                  </w:r>
                </w:p>
              </w:tc>
              <w:tc>
                <w:tcPr>
                  <w:tcW w:w="1259" w:type="dxa"/>
                  <w:shd w:val="clear" w:color="auto" w:fill="auto"/>
                  <w:noWrap w:val="0"/>
                  <w:vAlign w:val="center"/>
                </w:tcPr>
                <w:p w14:paraId="5FCAB6E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40" w:type="pct"/>
                  <w:noWrap w:val="0"/>
                  <w:vAlign w:val="center"/>
                </w:tcPr>
                <w:p w14:paraId="2DD4E09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0.004</w:t>
                  </w:r>
                </w:p>
              </w:tc>
              <w:tc>
                <w:tcPr>
                  <w:tcW w:w="840" w:type="pct"/>
                  <w:noWrap w:val="0"/>
                  <w:vAlign w:val="center"/>
                </w:tcPr>
                <w:p w14:paraId="0902BA4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0.003</w:t>
                  </w:r>
                </w:p>
              </w:tc>
              <w:tc>
                <w:tcPr>
                  <w:tcW w:w="840" w:type="pct"/>
                  <w:noWrap w:val="0"/>
                  <w:vAlign w:val="center"/>
                </w:tcPr>
                <w:p w14:paraId="491E8AC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0.004</w:t>
                  </w:r>
                </w:p>
              </w:tc>
            </w:tr>
          </w:tbl>
          <w:p w14:paraId="3ADAC8EB">
            <w:pPr>
              <w:pStyle w:val="33"/>
              <w:keepNext w:val="0"/>
              <w:keepLines w:val="0"/>
              <w:pageBreakBefore w:val="0"/>
              <w:widowControl w:val="0"/>
              <w:kinsoku/>
              <w:wordWrap w:val="0"/>
              <w:overflowPunct/>
              <w:topLinePunct/>
              <w:autoSpaceDE/>
              <w:autoSpaceDN/>
              <w:bidi w:val="0"/>
              <w:adjustRightInd w:val="0"/>
              <w:snapToGrid w:val="0"/>
              <w:spacing w:before="157" w:beforeLines="50" w:line="360" w:lineRule="auto"/>
              <w:ind w:firstLine="480" w:firstLineChars="200"/>
              <w:jc w:val="left"/>
              <w:textAlignment w:val="auto"/>
              <w:rPr>
                <w:color w:val="auto"/>
                <w:highlight w:val="none"/>
              </w:rPr>
            </w:pPr>
            <w:r>
              <w:rPr>
                <w:rFonts w:hint="eastAsia"/>
                <w:color w:val="auto"/>
                <w:highlight w:val="none"/>
              </w:rPr>
              <w:t>无</w:t>
            </w:r>
            <w:r>
              <w:rPr>
                <w:color w:val="auto"/>
                <w:highlight w:val="none"/>
              </w:rPr>
              <w:t>组织废气监测结果分析：在</w:t>
            </w:r>
            <w:r>
              <w:rPr>
                <w:rFonts w:hint="eastAsia"/>
                <w:color w:val="auto"/>
                <w:highlight w:val="none"/>
              </w:rPr>
              <w:t>废气</w:t>
            </w:r>
            <w:r>
              <w:rPr>
                <w:color w:val="auto"/>
                <w:highlight w:val="none"/>
              </w:rPr>
              <w:t>监测期间，</w:t>
            </w:r>
            <w:r>
              <w:rPr>
                <w:rFonts w:hint="eastAsia"/>
                <w:color w:val="auto"/>
                <w:highlight w:val="none"/>
              </w:rPr>
              <w:t>企业正常生产，</w:t>
            </w:r>
            <w:r>
              <w:rPr>
                <w:rFonts w:hint="eastAsia"/>
                <w:color w:val="auto"/>
                <w:kern w:val="0"/>
                <w:highlight w:val="none"/>
              </w:rPr>
              <w:t>生产负荷为</w:t>
            </w:r>
            <w:r>
              <w:rPr>
                <w:rFonts w:hint="eastAsia"/>
                <w:color w:val="auto"/>
                <w:kern w:val="0"/>
                <w:highlight w:val="none"/>
                <w:lang w:val="en-US" w:eastAsia="zh-CN"/>
              </w:rPr>
              <w:t>33</w:t>
            </w:r>
            <w:r>
              <w:rPr>
                <w:rFonts w:hint="eastAsia"/>
                <w:color w:val="auto"/>
                <w:kern w:val="0"/>
                <w:highlight w:val="none"/>
              </w:rPr>
              <w:t>%。</w:t>
            </w:r>
            <w:r>
              <w:rPr>
                <w:color w:val="auto"/>
                <w:kern w:val="0"/>
                <w:highlight w:val="none"/>
              </w:rPr>
              <w:t>根据监测结果可知，</w:t>
            </w:r>
            <w:r>
              <w:rPr>
                <w:rFonts w:hint="eastAsia"/>
                <w:color w:val="auto"/>
                <w:kern w:val="0"/>
                <w:highlight w:val="none"/>
              </w:rPr>
              <w:t>厂界</w:t>
            </w:r>
            <w:r>
              <w:rPr>
                <w:rFonts w:hint="eastAsia"/>
                <w:color w:val="auto"/>
                <w:kern w:val="0"/>
                <w:highlight w:val="none"/>
                <w:lang w:eastAsia="zh-CN"/>
              </w:rPr>
              <w:t>颗粒物</w:t>
            </w:r>
            <w:r>
              <w:rPr>
                <w:rFonts w:hint="eastAsia"/>
                <w:color w:val="auto"/>
                <w:kern w:val="0"/>
                <w:highlight w:val="none"/>
              </w:rPr>
              <w:t>最大浓度为</w:t>
            </w:r>
            <w:r>
              <w:rPr>
                <w:rFonts w:hint="eastAsia"/>
                <w:color w:val="auto"/>
                <w:kern w:val="0"/>
                <w:highlight w:val="none"/>
                <w:lang w:val="en-US" w:eastAsia="zh-CN"/>
              </w:rPr>
              <w:t>0.415</w:t>
            </w:r>
            <w:r>
              <w:rPr>
                <w:color w:val="auto"/>
                <w:kern w:val="0"/>
                <w:highlight w:val="none"/>
              </w:rPr>
              <w:t>mg/m</w:t>
            </w:r>
            <w:r>
              <w:rPr>
                <w:color w:val="auto"/>
                <w:kern w:val="0"/>
                <w:highlight w:val="none"/>
                <w:vertAlign w:val="superscript"/>
              </w:rPr>
              <w:t>3</w:t>
            </w:r>
            <w:r>
              <w:rPr>
                <w:rFonts w:hint="eastAsia"/>
                <w:color w:val="auto"/>
                <w:kern w:val="0"/>
                <w:highlight w:val="none"/>
                <w:vertAlign w:val="baseline"/>
                <w:lang w:eastAsia="zh-CN"/>
              </w:rPr>
              <w:t>，</w:t>
            </w:r>
            <w:r>
              <w:rPr>
                <w:rFonts w:hint="eastAsia"/>
                <w:color w:val="auto"/>
                <w:highlight w:val="none"/>
              </w:rPr>
              <w:t>满足</w:t>
            </w:r>
            <w:r>
              <w:rPr>
                <w:rFonts w:hint="eastAsia"/>
                <w:color w:val="auto"/>
                <w:highlight w:val="none"/>
                <w:lang w:val="en-US" w:eastAsia="zh-CN"/>
              </w:rPr>
              <w:t>《砖瓦工业大气污染物排放标准》（DB34/4362-2023）</w:t>
            </w:r>
            <w:r>
              <w:rPr>
                <w:rFonts w:hint="eastAsia"/>
                <w:color w:val="auto"/>
                <w:highlight w:val="none"/>
              </w:rPr>
              <w:t>标准中排放限值</w:t>
            </w:r>
            <w:r>
              <w:rPr>
                <w:rFonts w:hint="eastAsia"/>
                <w:color w:val="auto"/>
                <w:kern w:val="0"/>
                <w:highlight w:val="none"/>
              </w:rPr>
              <w:t>（</w:t>
            </w:r>
            <w:r>
              <w:rPr>
                <w:rFonts w:hint="eastAsia"/>
                <w:color w:val="auto"/>
                <w:kern w:val="0"/>
                <w:highlight w:val="none"/>
                <w:lang w:val="en-US" w:eastAsia="zh-CN"/>
              </w:rPr>
              <w:t>1.0</w:t>
            </w:r>
            <w:r>
              <w:rPr>
                <w:color w:val="auto"/>
                <w:kern w:val="0"/>
                <w:highlight w:val="none"/>
              </w:rPr>
              <w:t>mg/m</w:t>
            </w:r>
            <w:r>
              <w:rPr>
                <w:color w:val="auto"/>
                <w:kern w:val="0"/>
                <w:highlight w:val="none"/>
                <w:vertAlign w:val="superscript"/>
              </w:rPr>
              <w:t>3</w:t>
            </w:r>
            <w:r>
              <w:rPr>
                <w:rFonts w:hint="eastAsia"/>
                <w:color w:val="auto"/>
                <w:kern w:val="0"/>
                <w:highlight w:val="none"/>
              </w:rPr>
              <w:t>）</w:t>
            </w:r>
            <w:r>
              <w:rPr>
                <w:color w:val="auto"/>
                <w:highlight w:val="none"/>
              </w:rPr>
              <w:t>。</w:t>
            </w:r>
            <w:r>
              <w:rPr>
                <w:rFonts w:hint="default"/>
                <w:color w:val="auto"/>
                <w:sz w:val="24"/>
                <w:szCs w:val="28"/>
                <w:highlight w:val="none"/>
                <w:lang w:val="en-US" w:eastAsia="zh-CN"/>
              </w:rPr>
              <w:t>臭气浓度、氨、硫化氢最大浓度值均小于标准限值满足《恶臭污染物排放标准GB14554-93》中的表1和表2新改扩二级标准；</w:t>
            </w:r>
          </w:p>
          <w:p w14:paraId="3171E5D3">
            <w:pPr>
              <w:pStyle w:val="9"/>
              <w:spacing w:before="120" w:beforeLines="50" w:line="360" w:lineRule="auto"/>
              <w:ind w:left="0" w:firstLine="480" w:firstLineChars="200"/>
              <w:rPr>
                <w:color w:val="auto"/>
              </w:rPr>
            </w:pPr>
            <w:r>
              <w:rPr>
                <w:rFonts w:hint="eastAsia"/>
                <w:color w:val="auto"/>
                <w:kern w:val="2"/>
                <w:szCs w:val="24"/>
              </w:rPr>
              <w:t>（</w:t>
            </w:r>
            <w:r>
              <w:rPr>
                <w:rFonts w:hint="eastAsia"/>
                <w:color w:val="auto"/>
                <w:kern w:val="2"/>
                <w:szCs w:val="24"/>
                <w:lang w:val="en-US" w:eastAsia="zh-CN"/>
              </w:rPr>
              <w:t>2</w:t>
            </w:r>
            <w:r>
              <w:rPr>
                <w:rFonts w:hint="eastAsia"/>
                <w:color w:val="auto"/>
                <w:kern w:val="2"/>
                <w:szCs w:val="24"/>
              </w:rPr>
              <w:t>）废水</w:t>
            </w:r>
          </w:p>
          <w:p w14:paraId="09790C6C">
            <w:pPr>
              <w:pStyle w:val="33"/>
              <w:snapToGrid w:val="0"/>
              <w:spacing w:line="360" w:lineRule="auto"/>
              <w:ind w:firstLine="480" w:firstLineChars="200"/>
              <w:jc w:val="left"/>
              <w:rPr>
                <w:color w:val="auto"/>
              </w:rPr>
            </w:pPr>
            <w:r>
              <w:rPr>
                <w:rFonts w:hint="eastAsia"/>
                <w:color w:val="auto"/>
                <w:kern w:val="0"/>
              </w:rPr>
              <w:t>根据建设单位实际建设情况，</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排水实行雨污分流制，雨水经厂区雨水管网排入市政雨水管网，</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生活污水经化粪池处理后定期清掏用作周边农田施肥，搅拌用水全部进入物料，固化剂配比用水全部用于生产工序，免烧砖自然养护用水全部自然蒸发不外排，设备清洗废水沉淀后回用。车辆清洗废水沉淀后回用，降尘用水</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全部蒸发，</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初期雨水进入初期雨水池后回用于生产。</w:t>
            </w:r>
          </w:p>
          <w:p w14:paraId="68DB1E9A">
            <w:pPr>
              <w:pStyle w:val="9"/>
              <w:ind w:left="0" w:firstLine="0"/>
            </w:pPr>
            <w:r>
              <w:drawing>
                <wp:inline distT="0" distB="0" distL="114300" distR="114300">
                  <wp:extent cx="5391150" cy="3778250"/>
                  <wp:effectExtent l="0" t="0" r="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391150" cy="3778250"/>
                          </a:xfrm>
                          <a:prstGeom prst="rect">
                            <a:avLst/>
                          </a:prstGeom>
                          <a:noFill/>
                          <a:ln>
                            <a:noFill/>
                          </a:ln>
                        </pic:spPr>
                      </pic:pic>
                    </a:graphicData>
                  </a:graphic>
                </wp:inline>
              </w:drawing>
            </w:r>
          </w:p>
          <w:p w14:paraId="47740A00">
            <w:pPr>
              <w:adjustRightInd w:val="0"/>
              <w:snapToGrid w:val="0"/>
              <w:spacing w:line="360" w:lineRule="auto"/>
              <w:jc w:val="center"/>
              <w:rPr>
                <w:b/>
                <w:bCs/>
                <w:kern w:val="0"/>
                <w:sz w:val="24"/>
                <w:szCs w:val="28"/>
              </w:rPr>
            </w:pPr>
            <w:r>
              <w:rPr>
                <w:b/>
                <w:bCs/>
                <w:kern w:val="0"/>
                <w:sz w:val="24"/>
              </w:rPr>
              <w:t>图</w:t>
            </w:r>
            <w:r>
              <w:rPr>
                <w:rFonts w:hint="eastAsia"/>
                <w:b/>
                <w:bCs/>
                <w:kern w:val="0"/>
                <w:sz w:val="24"/>
              </w:rPr>
              <w:t>2</w:t>
            </w:r>
            <w:r>
              <w:rPr>
                <w:rFonts w:hint="eastAsia"/>
                <w:b/>
                <w:bCs/>
                <w:kern w:val="0"/>
                <w:sz w:val="24"/>
                <w:lang w:val="en-US" w:eastAsia="zh-CN"/>
              </w:rPr>
              <w:t>-8</w:t>
            </w:r>
            <w:r>
              <w:rPr>
                <w:rFonts w:hint="eastAsia"/>
                <w:b/>
                <w:bCs/>
                <w:kern w:val="0"/>
                <w:sz w:val="24"/>
              </w:rPr>
              <w:t xml:space="preserve"> </w:t>
            </w:r>
            <w:r>
              <w:rPr>
                <w:b/>
                <w:bCs/>
                <w:kern w:val="0"/>
                <w:sz w:val="24"/>
              </w:rPr>
              <w:t xml:space="preserve"> </w:t>
            </w:r>
            <w:r>
              <w:rPr>
                <w:rFonts w:hint="eastAsia"/>
                <w:b/>
                <w:bCs/>
                <w:kern w:val="0"/>
                <w:sz w:val="24"/>
                <w:lang w:eastAsia="zh-CN"/>
              </w:rPr>
              <w:t>现有</w:t>
            </w:r>
            <w:r>
              <w:rPr>
                <w:rFonts w:hint="eastAsia"/>
                <w:b/>
                <w:bCs/>
                <w:kern w:val="0"/>
                <w:sz w:val="24"/>
              </w:rPr>
              <w:t>项目水平衡</w:t>
            </w:r>
            <w:r>
              <w:rPr>
                <w:rFonts w:hint="eastAsia"/>
                <w:b/>
                <w:bCs/>
                <w:kern w:val="0"/>
                <w:sz w:val="24"/>
                <w:szCs w:val="28"/>
              </w:rPr>
              <w:t xml:space="preserve">图 </w:t>
            </w:r>
            <w:r>
              <w:rPr>
                <w:b/>
                <w:bCs/>
              </w:rPr>
              <w:t>单位：t/d</w:t>
            </w:r>
          </w:p>
          <w:p w14:paraId="10E707BE">
            <w:pPr>
              <w:pStyle w:val="33"/>
              <w:snapToGrid w:val="0"/>
              <w:spacing w:line="360" w:lineRule="auto"/>
              <w:ind w:firstLine="480" w:firstLineChars="200"/>
              <w:rPr>
                <w:color w:val="auto"/>
                <w:kern w:val="0"/>
              </w:rPr>
            </w:pPr>
            <w:r>
              <w:rPr>
                <w:rFonts w:hint="eastAsia"/>
                <w:color w:val="auto"/>
                <w:kern w:val="0"/>
              </w:rPr>
              <w:t>（</w:t>
            </w:r>
            <w:r>
              <w:rPr>
                <w:rFonts w:hint="eastAsia"/>
                <w:color w:val="auto"/>
                <w:kern w:val="0"/>
                <w:lang w:val="en-US" w:eastAsia="zh-CN"/>
              </w:rPr>
              <w:t>3</w:t>
            </w:r>
            <w:r>
              <w:rPr>
                <w:rFonts w:hint="eastAsia"/>
                <w:color w:val="auto"/>
                <w:kern w:val="0"/>
              </w:rPr>
              <w:t>）噪声</w:t>
            </w:r>
          </w:p>
          <w:p w14:paraId="0050B983">
            <w:pPr>
              <w:pStyle w:val="33"/>
              <w:snapToGrid w:val="0"/>
              <w:spacing w:line="360" w:lineRule="auto"/>
              <w:ind w:firstLine="480" w:firstLineChars="200"/>
              <w:rPr>
                <w:rFonts w:hint="eastAsia"/>
                <w:color w:val="auto"/>
                <w:kern w:val="0"/>
              </w:rPr>
            </w:pPr>
            <w:r>
              <w:rPr>
                <w:rFonts w:hint="eastAsia"/>
                <w:color w:val="auto"/>
                <w:kern w:val="0"/>
              </w:rPr>
              <w:t>现有工程噪声检测结果引用</w:t>
            </w:r>
            <w:r>
              <w:rPr>
                <w:rFonts w:hint="eastAsia"/>
                <w:color w:val="auto"/>
                <w:kern w:val="0"/>
                <w:lang w:val="en-US" w:eastAsia="zh-CN"/>
              </w:rPr>
              <w:t>安徽省红跃环保科技有限公司宿州分公司</w:t>
            </w:r>
            <w:r>
              <w:rPr>
                <w:rFonts w:hint="eastAsia"/>
                <w:color w:val="auto"/>
                <w:kern w:val="0"/>
              </w:rPr>
              <w:t>验收监测报告</w:t>
            </w:r>
            <w:r>
              <w:rPr>
                <w:rFonts w:hint="eastAsia"/>
                <w:color w:val="auto"/>
              </w:rPr>
              <w:t>《</w:t>
            </w:r>
            <w:r>
              <w:rPr>
                <w:rFonts w:hint="eastAsia"/>
                <w:color w:val="auto"/>
                <w:lang w:val="en-US" w:eastAsia="zh-CN"/>
              </w:rPr>
              <w:t>道路建养材料生产项目</w:t>
            </w:r>
            <w:r>
              <w:rPr>
                <w:rFonts w:hint="eastAsia"/>
                <w:color w:val="auto"/>
              </w:rPr>
              <w:t>》（报告编号：</w:t>
            </w:r>
            <w:r>
              <w:rPr>
                <w:rFonts w:hint="eastAsia"/>
                <w:color w:val="000000" w:themeColor="text1"/>
                <w:szCs w:val="24"/>
                <w:lang w:val="en-US" w:eastAsia="zh-CN"/>
                <w14:textFill>
                  <w14:solidFill>
                    <w14:schemeClr w14:val="tx1"/>
                  </w14:solidFill>
                </w14:textFill>
              </w:rPr>
              <w:t>JJYS2024081</w:t>
            </w:r>
            <w:r>
              <w:rPr>
                <w:rFonts w:hint="eastAsia"/>
                <w:color w:val="000000" w:themeColor="text1"/>
                <w:szCs w:val="24"/>
                <w14:textFill>
                  <w14:solidFill>
                    <w14:schemeClr w14:val="tx1"/>
                  </w14:solidFill>
                </w14:textFill>
              </w:rPr>
              <w:t>，签发日期：202</w:t>
            </w:r>
            <w:r>
              <w:rPr>
                <w:rFonts w:hint="eastAsia"/>
                <w:color w:val="000000" w:themeColor="text1"/>
                <w:szCs w:val="24"/>
                <w:lang w:val="en-US" w:eastAsia="zh-CN"/>
                <w14:textFill>
                  <w14:solidFill>
                    <w14:schemeClr w14:val="tx1"/>
                  </w14:solidFill>
                </w14:textFill>
              </w:rPr>
              <w:t>4</w:t>
            </w:r>
            <w:r>
              <w:rPr>
                <w:rFonts w:hint="eastAsia"/>
                <w:color w:val="000000" w:themeColor="text1"/>
                <w:szCs w:val="24"/>
                <w14:textFill>
                  <w14:solidFill>
                    <w14:schemeClr w14:val="tx1"/>
                  </w14:solidFill>
                </w14:textFill>
              </w:rPr>
              <w:t>年</w:t>
            </w:r>
            <w:r>
              <w:rPr>
                <w:rFonts w:hint="eastAsia"/>
                <w:color w:val="000000" w:themeColor="text1"/>
                <w:szCs w:val="24"/>
                <w:lang w:val="en-US" w:eastAsia="zh-CN"/>
                <w14:textFill>
                  <w14:solidFill>
                    <w14:schemeClr w14:val="tx1"/>
                  </w14:solidFill>
                </w14:textFill>
              </w:rPr>
              <w:t>12</w:t>
            </w:r>
            <w:r>
              <w:rPr>
                <w:rFonts w:hint="eastAsia"/>
                <w:color w:val="000000" w:themeColor="text1"/>
                <w:szCs w:val="24"/>
                <w14:textFill>
                  <w14:solidFill>
                    <w14:schemeClr w14:val="tx1"/>
                  </w14:solidFill>
                </w14:textFill>
              </w:rPr>
              <w:t>月</w:t>
            </w:r>
            <w:r>
              <w:rPr>
                <w:rFonts w:hint="eastAsia"/>
                <w:color w:val="000000" w:themeColor="text1"/>
                <w:szCs w:val="24"/>
                <w:lang w:val="en-US" w:eastAsia="zh-CN"/>
                <w14:textFill>
                  <w14:solidFill>
                    <w14:schemeClr w14:val="tx1"/>
                  </w14:solidFill>
                </w14:textFill>
              </w:rPr>
              <w:t>11</w:t>
            </w:r>
            <w:r>
              <w:rPr>
                <w:rFonts w:hint="eastAsia"/>
                <w:color w:val="000000" w:themeColor="text1"/>
                <w:szCs w:val="24"/>
                <w14:textFill>
                  <w14:solidFill>
                    <w14:schemeClr w14:val="tx1"/>
                  </w14:solidFill>
                </w14:textFill>
              </w:rPr>
              <w:t>日</w:t>
            </w:r>
            <w:r>
              <w:rPr>
                <w:rFonts w:hint="eastAsia"/>
                <w:color w:val="auto"/>
              </w:rPr>
              <w:t>）</w:t>
            </w:r>
            <w:r>
              <w:rPr>
                <w:rFonts w:hint="eastAsia"/>
                <w:color w:val="auto"/>
                <w:kern w:val="0"/>
              </w:rPr>
              <w:t>中的监测结果进行判断。</w:t>
            </w:r>
          </w:p>
          <w:p w14:paraId="5F389525">
            <w:pPr>
              <w:snapToGrid w:val="0"/>
              <w:spacing w:line="360" w:lineRule="auto"/>
              <w:jc w:val="center"/>
              <w:rPr>
                <w:b/>
                <w:sz w:val="24"/>
              </w:rPr>
            </w:pPr>
            <w:r>
              <w:rPr>
                <w:b/>
                <w:sz w:val="24"/>
              </w:rPr>
              <w:t>表2</w:t>
            </w:r>
            <w:r>
              <w:rPr>
                <w:rFonts w:hint="eastAsia"/>
                <w:b/>
                <w:sz w:val="24"/>
                <w:lang w:val="en-US" w:eastAsia="zh-CN"/>
              </w:rPr>
              <w:t>-</w:t>
            </w:r>
            <w:r>
              <w:rPr>
                <w:rFonts w:hint="eastAsia"/>
                <w:b/>
                <w:sz w:val="24"/>
              </w:rPr>
              <w:t>1</w:t>
            </w:r>
            <w:r>
              <w:rPr>
                <w:rFonts w:hint="eastAsia"/>
                <w:b/>
                <w:sz w:val="24"/>
                <w:lang w:val="en-US" w:eastAsia="zh-CN"/>
              </w:rPr>
              <w:t>3</w:t>
            </w:r>
            <w:r>
              <w:rPr>
                <w:b/>
                <w:sz w:val="24"/>
              </w:rPr>
              <w:t xml:space="preserve">  </w:t>
            </w:r>
            <w:r>
              <w:rPr>
                <w:rFonts w:hint="eastAsia"/>
                <w:b/>
                <w:sz w:val="24"/>
                <w:lang w:eastAsia="zh-CN"/>
              </w:rPr>
              <w:t>噪声</w:t>
            </w:r>
            <w:r>
              <w:rPr>
                <w:b/>
                <w:sz w:val="24"/>
              </w:rPr>
              <w:t>检测结果</w:t>
            </w:r>
          </w:p>
          <w:tbl>
            <w:tblPr>
              <w:tblStyle w:val="27"/>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6"/>
              <w:gridCol w:w="2759"/>
              <w:gridCol w:w="12"/>
              <w:gridCol w:w="1929"/>
              <w:gridCol w:w="12"/>
              <w:gridCol w:w="1992"/>
              <w:gridCol w:w="19"/>
            </w:tblGrid>
            <w:tr w14:paraId="31B7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4987" w:type="pct"/>
                  <w:gridSpan w:val="7"/>
                  <w:tcBorders>
                    <w:tl2br w:val="nil"/>
                    <w:tr2bl w:val="nil"/>
                  </w:tcBorders>
                  <w:noWrap w:val="0"/>
                  <w:vAlign w:val="center"/>
                </w:tcPr>
                <w:p w14:paraId="49DD478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vertAlign w:val="baseline"/>
                      <w:lang w:val="en-US" w:eastAsia="zh-CN"/>
                    </w:rPr>
                    <w:t>2024-11-21</w:t>
                  </w:r>
                  <w:r>
                    <w:rPr>
                      <w:rFonts w:hint="default" w:ascii="Times New Roman" w:hAnsi="Times New Roman" w:eastAsia="宋体" w:cs="Times New Roman"/>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lang w:val="en-US" w:eastAsia="zh-CN"/>
                    </w:rPr>
                    <w:t>噪声检测概况</w:t>
                  </w:r>
                </w:p>
              </w:tc>
            </w:tr>
            <w:tr w14:paraId="43C4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2F3F315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气象条件</w:t>
                  </w:r>
                </w:p>
              </w:tc>
              <w:tc>
                <w:tcPr>
                  <w:tcW w:w="1784" w:type="pct"/>
                  <w:gridSpan w:val="2"/>
                  <w:tcBorders>
                    <w:tl2br w:val="nil"/>
                    <w:tr2bl w:val="nil"/>
                  </w:tcBorders>
                  <w:noWrap w:val="0"/>
                  <w:vAlign w:val="center"/>
                </w:tcPr>
                <w:p w14:paraId="138C46A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晴</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 xml:space="preserve">   </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 xml:space="preserve"> 风速</w:t>
                  </w:r>
                  <w:r>
                    <w:rPr>
                      <w:rFonts w:hint="eastAsia" w:ascii="Times New Roman" w:hAnsi="Times New Roman" w:cs="Times New Roman"/>
                      <w:b w:val="0"/>
                      <w:bCs w:val="0"/>
                      <w:color w:val="auto"/>
                      <w:sz w:val="21"/>
                      <w:szCs w:val="21"/>
                      <w:vertAlign w:val="baseline"/>
                      <w:lang w:val="en-US" w:eastAsia="zh-CN"/>
                    </w:rPr>
                    <w:t>1.8</w:t>
                  </w:r>
                  <w:r>
                    <w:rPr>
                      <w:rFonts w:hint="default" w:ascii="Times New Roman" w:hAnsi="Times New Roman" w:eastAsia="宋体" w:cs="Times New Roman"/>
                      <w:b w:val="0"/>
                      <w:bCs w:val="0"/>
                      <w:color w:val="auto"/>
                      <w:sz w:val="21"/>
                      <w:szCs w:val="21"/>
                      <w:vertAlign w:val="baseline"/>
                      <w:lang w:val="en-US" w:eastAsia="zh-CN"/>
                    </w:rPr>
                    <w:t>m/s</w:t>
                  </w:r>
                </w:p>
              </w:tc>
              <w:tc>
                <w:tcPr>
                  <w:tcW w:w="1247" w:type="pct"/>
                  <w:gridSpan w:val="2"/>
                  <w:tcBorders>
                    <w:tl2br w:val="nil"/>
                    <w:tr2bl w:val="nil"/>
                  </w:tcBorders>
                  <w:noWrap w:val="0"/>
                  <w:vAlign w:val="center"/>
                </w:tcPr>
                <w:p w14:paraId="74149D4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
                    </w:rPr>
                    <w:t>检测频次</w:t>
                  </w:r>
                </w:p>
              </w:tc>
              <w:tc>
                <w:tcPr>
                  <w:tcW w:w="1288" w:type="pct"/>
                  <w:gridSpan w:val="2"/>
                  <w:tcBorders>
                    <w:tl2br w:val="nil"/>
                    <w:tr2bl w:val="nil"/>
                  </w:tcBorders>
                  <w:noWrap w:val="0"/>
                  <w:vAlign w:val="center"/>
                </w:tcPr>
                <w:p w14:paraId="03CB403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1</w:t>
                  </w:r>
                  <w:r>
                    <w:rPr>
                      <w:rFonts w:hint="default" w:ascii="Times New Roman" w:hAnsi="Times New Roman" w:eastAsia="宋体" w:cs="Times New Roman"/>
                      <w:b w:val="0"/>
                      <w:bCs w:val="0"/>
                      <w:color w:val="auto"/>
                      <w:sz w:val="21"/>
                      <w:szCs w:val="21"/>
                      <w:lang w:bidi="ar"/>
                    </w:rPr>
                    <w:t>次/天，共</w:t>
                  </w:r>
                  <w:r>
                    <w:rPr>
                      <w:rFonts w:hint="default" w:ascii="Times New Roman" w:hAnsi="Times New Roman" w:eastAsia="宋体" w:cs="Times New Roman"/>
                      <w:b w:val="0"/>
                      <w:bCs w:val="0"/>
                      <w:color w:val="auto"/>
                      <w:sz w:val="21"/>
                      <w:szCs w:val="21"/>
                      <w:lang w:val="en-US" w:eastAsia="zh-CN" w:bidi="ar"/>
                    </w:rPr>
                    <w:t>2</w:t>
                  </w:r>
                  <w:r>
                    <w:rPr>
                      <w:rFonts w:hint="default" w:ascii="Times New Roman" w:hAnsi="Times New Roman" w:eastAsia="宋体" w:cs="Times New Roman"/>
                      <w:b w:val="0"/>
                      <w:bCs w:val="0"/>
                      <w:color w:val="auto"/>
                      <w:sz w:val="21"/>
                      <w:szCs w:val="21"/>
                      <w:lang w:bidi="ar"/>
                    </w:rPr>
                    <w:t>天</w:t>
                  </w:r>
                </w:p>
              </w:tc>
            </w:tr>
            <w:tr w14:paraId="095C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113FE4E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sz w:val="21"/>
                      <w:szCs w:val="21"/>
                      <w:lang w:val="en-US" w:eastAsia="zh-CN" w:bidi="ar"/>
                    </w:rPr>
                    <w:t>仪器校正</w:t>
                  </w:r>
                </w:p>
              </w:tc>
              <w:tc>
                <w:tcPr>
                  <w:tcW w:w="1784" w:type="pct"/>
                  <w:gridSpan w:val="2"/>
                  <w:tcBorders>
                    <w:tl2br w:val="nil"/>
                    <w:tr2bl w:val="nil"/>
                  </w:tcBorders>
                  <w:noWrap w:val="0"/>
                  <w:vAlign w:val="center"/>
                </w:tcPr>
                <w:p w14:paraId="38C8244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bidi="ar"/>
                    </w:rPr>
                  </w:pPr>
                  <w:r>
                    <w:rPr>
                      <w:rFonts w:hint="default" w:ascii="Times New Roman" w:hAnsi="Times New Roman" w:eastAsia="宋体" w:cs="Times New Roman"/>
                      <w:b w:val="0"/>
                      <w:bCs w:val="0"/>
                      <w:color w:val="auto"/>
                      <w:sz w:val="21"/>
                      <w:szCs w:val="21"/>
                      <w:lang w:bidi="ar"/>
                    </w:rPr>
                    <w:t>测前校</w:t>
                  </w:r>
                  <w:r>
                    <w:rPr>
                      <w:rFonts w:hint="eastAsia" w:ascii="Times New Roman" w:hAnsi="Times New Roman" w:cs="Times New Roman"/>
                      <w:b w:val="0"/>
                      <w:bCs w:val="0"/>
                      <w:color w:val="auto"/>
                      <w:sz w:val="21"/>
                      <w:szCs w:val="21"/>
                      <w:lang w:eastAsia="zh-CN" w:bidi="ar"/>
                    </w:rPr>
                    <w:t>准</w:t>
                  </w:r>
                  <w:r>
                    <w:rPr>
                      <w:rFonts w:hint="default" w:ascii="Times New Roman" w:hAnsi="Times New Roman" w:eastAsia="宋体" w:cs="Times New Roman"/>
                      <w:b w:val="0"/>
                      <w:bCs w:val="0"/>
                      <w:color w:val="auto"/>
                      <w:sz w:val="21"/>
                      <w:szCs w:val="21"/>
                      <w:lang w:bidi="ar"/>
                    </w:rPr>
                    <w:t>值9</w:t>
                  </w:r>
                  <w:r>
                    <w:rPr>
                      <w:rFonts w:hint="eastAsia" w:ascii="Times New Roman" w:hAnsi="Times New Roman" w:cs="Times New Roman"/>
                      <w:b w:val="0"/>
                      <w:bCs w:val="0"/>
                      <w:color w:val="auto"/>
                      <w:sz w:val="21"/>
                      <w:szCs w:val="21"/>
                      <w:lang w:val="en-US" w:eastAsia="zh-CN" w:bidi="ar"/>
                    </w:rPr>
                    <w:t>3.6</w:t>
                  </w:r>
                  <w:r>
                    <w:rPr>
                      <w:rFonts w:hint="default" w:ascii="Times New Roman" w:hAnsi="Times New Roman" w:eastAsia="宋体" w:cs="Times New Roman"/>
                      <w:b w:val="0"/>
                      <w:bCs w:val="0"/>
                      <w:color w:val="auto"/>
                      <w:sz w:val="21"/>
                      <w:szCs w:val="21"/>
                      <w:lang w:bidi="ar"/>
                    </w:rPr>
                    <w:t>dB</w:t>
                  </w:r>
                  <w:r>
                    <w:rPr>
                      <w:rFonts w:hint="default" w:ascii="Times New Roman" w:hAnsi="Times New Roman" w:eastAsia="宋体" w:cs="Times New Roman"/>
                      <w:b w:val="0"/>
                      <w:bCs w:val="0"/>
                      <w:color w:val="auto"/>
                      <w:sz w:val="21"/>
                      <w:szCs w:val="21"/>
                      <w:lang w:val="en-US" w:eastAsia="zh-CN" w:bidi="ar"/>
                    </w:rPr>
                    <w:t xml:space="preserve"> </w:t>
                  </w:r>
                  <w:r>
                    <w:rPr>
                      <w:rFonts w:hint="default" w:ascii="Times New Roman" w:hAnsi="Times New Roman" w:eastAsia="宋体" w:cs="Times New Roman"/>
                      <w:b w:val="0"/>
                      <w:bCs w:val="0"/>
                      <w:color w:val="auto"/>
                      <w:sz w:val="21"/>
                      <w:szCs w:val="21"/>
                      <w:lang w:bidi="ar"/>
                    </w:rPr>
                    <w:t>测后校</w:t>
                  </w:r>
                  <w:r>
                    <w:rPr>
                      <w:rFonts w:hint="eastAsia" w:ascii="Times New Roman" w:hAnsi="Times New Roman" w:cs="Times New Roman"/>
                      <w:b w:val="0"/>
                      <w:bCs w:val="0"/>
                      <w:color w:val="auto"/>
                      <w:sz w:val="21"/>
                      <w:szCs w:val="21"/>
                      <w:lang w:eastAsia="zh-CN" w:bidi="ar"/>
                    </w:rPr>
                    <w:t>准值</w:t>
                  </w:r>
                  <w:r>
                    <w:rPr>
                      <w:rFonts w:hint="default" w:ascii="Times New Roman" w:hAnsi="Times New Roman" w:eastAsia="宋体" w:cs="Times New Roman"/>
                      <w:b w:val="0"/>
                      <w:bCs w:val="0"/>
                      <w:color w:val="auto"/>
                      <w:sz w:val="21"/>
                      <w:szCs w:val="21"/>
                      <w:lang w:bidi="ar"/>
                    </w:rPr>
                    <w:t>9</w:t>
                  </w:r>
                  <w:r>
                    <w:rPr>
                      <w:rFonts w:hint="eastAsia" w:ascii="Times New Roman" w:hAnsi="Times New Roman" w:cs="Times New Roman"/>
                      <w:b w:val="0"/>
                      <w:bCs w:val="0"/>
                      <w:color w:val="auto"/>
                      <w:sz w:val="21"/>
                      <w:szCs w:val="21"/>
                      <w:lang w:val="en-US" w:eastAsia="zh-CN" w:bidi="ar"/>
                    </w:rPr>
                    <w:t>3.8</w:t>
                  </w:r>
                  <w:r>
                    <w:rPr>
                      <w:rFonts w:hint="default" w:ascii="Times New Roman" w:hAnsi="Times New Roman" w:eastAsia="宋体" w:cs="Times New Roman"/>
                      <w:b w:val="0"/>
                      <w:bCs w:val="0"/>
                      <w:color w:val="auto"/>
                      <w:sz w:val="21"/>
                      <w:szCs w:val="21"/>
                      <w:lang w:bidi="ar"/>
                    </w:rPr>
                    <w:t>dB</w:t>
                  </w:r>
                </w:p>
              </w:tc>
              <w:tc>
                <w:tcPr>
                  <w:tcW w:w="1247" w:type="pct"/>
                  <w:gridSpan w:val="2"/>
                  <w:tcBorders>
                    <w:tl2br w:val="nil"/>
                    <w:tr2bl w:val="nil"/>
                  </w:tcBorders>
                  <w:noWrap w:val="0"/>
                  <w:vAlign w:val="center"/>
                </w:tcPr>
                <w:p w14:paraId="0A8622E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
                    </w:rPr>
                    <w:t>仪器</w:t>
                  </w:r>
                  <w:r>
                    <w:rPr>
                      <w:rFonts w:hint="default" w:ascii="Times New Roman" w:hAnsi="Times New Roman" w:eastAsia="宋体" w:cs="Times New Roman"/>
                      <w:b w:val="0"/>
                      <w:bCs w:val="0"/>
                      <w:color w:val="auto"/>
                      <w:sz w:val="21"/>
                      <w:szCs w:val="21"/>
                      <w:lang w:bidi="ar"/>
                    </w:rPr>
                    <w:t>校准</w:t>
                  </w:r>
                </w:p>
              </w:tc>
              <w:tc>
                <w:tcPr>
                  <w:tcW w:w="1288" w:type="pct"/>
                  <w:gridSpan w:val="2"/>
                  <w:tcBorders>
                    <w:tl2br w:val="nil"/>
                    <w:tr2bl w:val="nil"/>
                  </w:tcBorders>
                  <w:noWrap w:val="0"/>
                  <w:vAlign w:val="center"/>
                </w:tcPr>
                <w:p w14:paraId="5BA3955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bidi="ar"/>
                    </w:rPr>
                  </w:pPr>
                  <w:r>
                    <w:rPr>
                      <w:rFonts w:hint="default" w:ascii="Times New Roman" w:hAnsi="Times New Roman" w:eastAsia="宋体" w:cs="Times New Roman"/>
                      <w:b w:val="0"/>
                      <w:bCs w:val="0"/>
                      <w:color w:val="auto"/>
                      <w:sz w:val="21"/>
                      <w:szCs w:val="21"/>
                      <w:lang w:bidi="ar"/>
                    </w:rPr>
                    <w:t>合格</w:t>
                  </w:r>
                </w:p>
              </w:tc>
            </w:tr>
            <w:tr w14:paraId="42F0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4987" w:type="pct"/>
                  <w:gridSpan w:val="7"/>
                  <w:tcBorders>
                    <w:tl2br w:val="nil"/>
                    <w:tr2bl w:val="nil"/>
                  </w:tcBorders>
                  <w:noWrap w:val="0"/>
                  <w:vAlign w:val="center"/>
                </w:tcPr>
                <w:p w14:paraId="197F611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检测结果</w:t>
                  </w:r>
                </w:p>
              </w:tc>
            </w:tr>
            <w:tr w14:paraId="5C9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75D644C8">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编号</w:t>
                  </w:r>
                </w:p>
              </w:tc>
              <w:tc>
                <w:tcPr>
                  <w:tcW w:w="1784" w:type="pct"/>
                  <w:gridSpan w:val="2"/>
                  <w:tcBorders>
                    <w:tl2br w:val="nil"/>
                    <w:tr2bl w:val="nil"/>
                  </w:tcBorders>
                  <w:noWrap w:val="0"/>
                  <w:vAlign w:val="center"/>
                </w:tcPr>
                <w:p w14:paraId="1FFDBB3B">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测点位置</w:t>
                  </w:r>
                </w:p>
              </w:tc>
              <w:tc>
                <w:tcPr>
                  <w:tcW w:w="1247" w:type="pct"/>
                  <w:gridSpan w:val="2"/>
                  <w:tcBorders>
                    <w:tl2br w:val="nil"/>
                    <w:tr2bl w:val="nil"/>
                  </w:tcBorders>
                  <w:noWrap w:val="0"/>
                  <w:vAlign w:val="center"/>
                </w:tcPr>
                <w:p w14:paraId="4CFED50C">
                  <w:pPr>
                    <w:spacing w:line="240" w:lineRule="auto"/>
                    <w:jc w:val="center"/>
                    <w:rPr>
                      <w:rFonts w:hint="default" w:ascii="Times New Roman" w:hAnsi="Times New Roman" w:eastAsia="宋体" w:cs="Times New Roman"/>
                      <w:b w:val="0"/>
                      <w:bCs w:val="0"/>
                      <w:color w:val="auto"/>
                      <w:spacing w:val="-20"/>
                      <w:kern w:val="0"/>
                      <w:sz w:val="21"/>
                      <w:szCs w:val="21"/>
                      <w:lang w:val="en-US" w:eastAsia="zh-CN" w:bidi="ar-SA"/>
                    </w:rPr>
                  </w:pPr>
                  <w:r>
                    <w:rPr>
                      <w:rFonts w:hint="default" w:ascii="Times New Roman" w:hAnsi="Times New Roman" w:eastAsia="宋体" w:cs="Times New Roman"/>
                      <w:b w:val="0"/>
                      <w:bCs w:val="0"/>
                      <w:color w:val="auto"/>
                      <w:spacing w:val="-20"/>
                      <w:kern w:val="0"/>
                      <w:sz w:val="21"/>
                      <w:szCs w:val="21"/>
                      <w:lang w:eastAsia="zh-CN"/>
                    </w:rPr>
                    <w:t>昼</w:t>
                  </w:r>
                  <w:r>
                    <w:rPr>
                      <w:rFonts w:hint="default" w:ascii="Times New Roman" w:hAnsi="Times New Roman" w:eastAsia="宋体"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pacing w:val="-20"/>
                      <w:kern w:val="0"/>
                      <w:sz w:val="21"/>
                      <w:szCs w:val="21"/>
                      <w:lang w:eastAsia="zh-CN"/>
                    </w:rPr>
                    <w:t>间</w:t>
                  </w:r>
                  <w:r>
                    <w:rPr>
                      <w:rFonts w:hint="eastAsia" w:ascii="Times New Roman" w:hAnsi="Times New Roman"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Leq</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dB(A)</w:t>
                  </w:r>
                </w:p>
              </w:tc>
              <w:tc>
                <w:tcPr>
                  <w:tcW w:w="1288" w:type="pct"/>
                  <w:gridSpan w:val="2"/>
                  <w:tcBorders>
                    <w:tl2br w:val="nil"/>
                    <w:tr2bl w:val="nil"/>
                  </w:tcBorders>
                  <w:noWrap w:val="0"/>
                  <w:vAlign w:val="center"/>
                </w:tcPr>
                <w:p w14:paraId="53155DC5">
                  <w:pPr>
                    <w:spacing w:line="240" w:lineRule="auto"/>
                    <w:jc w:val="center"/>
                    <w:rPr>
                      <w:rFonts w:hint="default" w:ascii="Times New Roman" w:hAnsi="Times New Roman" w:eastAsia="宋体" w:cs="Times New Roman"/>
                      <w:b w:val="0"/>
                      <w:bCs w:val="0"/>
                      <w:color w:val="auto"/>
                      <w:spacing w:val="-20"/>
                      <w:kern w:val="0"/>
                      <w:sz w:val="21"/>
                      <w:szCs w:val="21"/>
                      <w:lang w:val="en-US" w:eastAsia="zh-CN"/>
                    </w:rPr>
                  </w:pPr>
                  <w:r>
                    <w:rPr>
                      <w:rFonts w:hint="default" w:ascii="Times New Roman" w:hAnsi="Times New Roman" w:eastAsia="宋体" w:cs="Times New Roman"/>
                      <w:b w:val="0"/>
                      <w:bCs w:val="0"/>
                      <w:color w:val="auto"/>
                      <w:spacing w:val="-20"/>
                      <w:kern w:val="0"/>
                      <w:sz w:val="21"/>
                      <w:szCs w:val="21"/>
                      <w:lang w:eastAsia="zh-CN"/>
                    </w:rPr>
                    <w:t>夜</w:t>
                  </w:r>
                  <w:r>
                    <w:rPr>
                      <w:rFonts w:hint="default" w:ascii="Times New Roman" w:hAnsi="Times New Roman" w:eastAsia="宋体"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pacing w:val="-20"/>
                      <w:kern w:val="0"/>
                      <w:sz w:val="21"/>
                      <w:szCs w:val="21"/>
                      <w:lang w:eastAsia="zh-CN"/>
                    </w:rPr>
                    <w:t>间</w:t>
                  </w:r>
                  <w:r>
                    <w:rPr>
                      <w:rFonts w:hint="eastAsia" w:ascii="Times New Roman" w:hAnsi="Times New Roman"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Leq</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dB(A)</w:t>
                  </w:r>
                </w:p>
              </w:tc>
            </w:tr>
            <w:tr w14:paraId="1105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149409C2">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N1</w:t>
                  </w:r>
                </w:p>
              </w:tc>
              <w:tc>
                <w:tcPr>
                  <w:tcW w:w="1784" w:type="pct"/>
                  <w:gridSpan w:val="2"/>
                  <w:tcBorders>
                    <w:tl2br w:val="nil"/>
                    <w:tr2bl w:val="nil"/>
                  </w:tcBorders>
                  <w:noWrap w:val="0"/>
                  <w:vAlign w:val="center"/>
                </w:tcPr>
                <w:p w14:paraId="11F83087">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东</w:t>
                  </w:r>
                  <w:r>
                    <w:rPr>
                      <w:rFonts w:hint="default" w:ascii="Times New Roman" w:hAnsi="Times New Roman" w:eastAsia="宋体" w:cs="Times New Roman"/>
                      <w:b w:val="0"/>
                      <w:bCs w:val="0"/>
                      <w:color w:val="auto"/>
                      <w:kern w:val="2"/>
                      <w:sz w:val="21"/>
                      <w:szCs w:val="21"/>
                      <w:lang w:val="en-US" w:eastAsia="zh-CN" w:bidi="ar-SA"/>
                    </w:rPr>
                    <w:t>厂界</w:t>
                  </w:r>
                  <w:r>
                    <w:rPr>
                      <w:rFonts w:hint="eastAsia" w:ascii="Times New Roman" w:hAnsi="Times New Roman" w:cs="Times New Roman"/>
                      <w:b w:val="0"/>
                      <w:bCs w:val="0"/>
                      <w:color w:val="auto"/>
                      <w:kern w:val="2"/>
                      <w:sz w:val="21"/>
                      <w:szCs w:val="21"/>
                      <w:lang w:val="en-US" w:eastAsia="zh-CN" w:bidi="ar-SA"/>
                    </w:rPr>
                    <w:t>外1米</w:t>
                  </w:r>
                </w:p>
              </w:tc>
              <w:tc>
                <w:tcPr>
                  <w:tcW w:w="1247" w:type="pct"/>
                  <w:gridSpan w:val="2"/>
                  <w:tcBorders>
                    <w:tl2br w:val="nil"/>
                    <w:tr2bl w:val="nil"/>
                  </w:tcBorders>
                  <w:noWrap w:val="0"/>
                  <w:vAlign w:val="center"/>
                </w:tcPr>
                <w:p w14:paraId="6E706D3C">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54</w:t>
                  </w:r>
                </w:p>
              </w:tc>
              <w:tc>
                <w:tcPr>
                  <w:tcW w:w="1288" w:type="pct"/>
                  <w:gridSpan w:val="2"/>
                  <w:tcBorders>
                    <w:tl2br w:val="nil"/>
                    <w:tr2bl w:val="nil"/>
                  </w:tcBorders>
                  <w:noWrap w:val="0"/>
                  <w:vAlign w:val="center"/>
                </w:tcPr>
                <w:p w14:paraId="2B75EB68">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22A5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112DAD12">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N</w:t>
                  </w:r>
                  <w:r>
                    <w:rPr>
                      <w:rFonts w:hint="eastAsia" w:ascii="Times New Roman" w:hAnsi="Times New Roman" w:cs="Times New Roman"/>
                      <w:b w:val="0"/>
                      <w:bCs w:val="0"/>
                      <w:color w:val="auto"/>
                      <w:sz w:val="21"/>
                      <w:szCs w:val="21"/>
                      <w:lang w:val="en-US" w:eastAsia="zh-CN"/>
                    </w:rPr>
                    <w:t>2</w:t>
                  </w:r>
                </w:p>
              </w:tc>
              <w:tc>
                <w:tcPr>
                  <w:tcW w:w="1784" w:type="pct"/>
                  <w:gridSpan w:val="2"/>
                  <w:tcBorders>
                    <w:tl2br w:val="nil"/>
                    <w:tr2bl w:val="nil"/>
                  </w:tcBorders>
                  <w:noWrap w:val="0"/>
                  <w:vAlign w:val="center"/>
                </w:tcPr>
                <w:p w14:paraId="1A80E6CB">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南</w:t>
                  </w:r>
                  <w:r>
                    <w:rPr>
                      <w:rFonts w:hint="default" w:ascii="Times New Roman" w:hAnsi="Times New Roman" w:eastAsia="宋体" w:cs="Times New Roman"/>
                      <w:b w:val="0"/>
                      <w:bCs w:val="0"/>
                      <w:color w:val="auto"/>
                      <w:kern w:val="2"/>
                      <w:sz w:val="21"/>
                      <w:szCs w:val="21"/>
                      <w:lang w:val="en-US" w:eastAsia="zh-CN" w:bidi="ar-SA"/>
                    </w:rPr>
                    <w:t>厂界</w:t>
                  </w:r>
                  <w:r>
                    <w:rPr>
                      <w:rFonts w:hint="eastAsia" w:ascii="Times New Roman" w:hAnsi="Times New Roman" w:cs="Times New Roman"/>
                      <w:b w:val="0"/>
                      <w:bCs w:val="0"/>
                      <w:color w:val="auto"/>
                      <w:kern w:val="2"/>
                      <w:sz w:val="21"/>
                      <w:szCs w:val="21"/>
                      <w:lang w:val="en-US" w:eastAsia="zh-CN" w:bidi="ar-SA"/>
                    </w:rPr>
                    <w:t>外1米</w:t>
                  </w:r>
                </w:p>
              </w:tc>
              <w:tc>
                <w:tcPr>
                  <w:tcW w:w="1247" w:type="pct"/>
                  <w:gridSpan w:val="2"/>
                  <w:tcBorders>
                    <w:tl2br w:val="nil"/>
                    <w:tr2bl w:val="nil"/>
                  </w:tcBorders>
                  <w:noWrap w:val="0"/>
                  <w:vAlign w:val="center"/>
                </w:tcPr>
                <w:p w14:paraId="44D5FF32">
                  <w:pPr>
                    <w:widowControl/>
                    <w:spacing w:line="240" w:lineRule="auto"/>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46</w:t>
                  </w:r>
                </w:p>
              </w:tc>
              <w:tc>
                <w:tcPr>
                  <w:tcW w:w="1288" w:type="pct"/>
                  <w:gridSpan w:val="2"/>
                  <w:tcBorders>
                    <w:tl2br w:val="nil"/>
                    <w:tr2bl w:val="nil"/>
                  </w:tcBorders>
                  <w:noWrap w:val="0"/>
                  <w:vAlign w:val="center"/>
                </w:tcPr>
                <w:p w14:paraId="7966E259">
                  <w:pPr>
                    <w:widowControl/>
                    <w:spacing w:line="240" w:lineRule="auto"/>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34C9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596AFE29">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N3</w:t>
                  </w:r>
                </w:p>
              </w:tc>
              <w:tc>
                <w:tcPr>
                  <w:tcW w:w="1784" w:type="pct"/>
                  <w:gridSpan w:val="2"/>
                  <w:tcBorders>
                    <w:tl2br w:val="nil"/>
                    <w:tr2bl w:val="nil"/>
                  </w:tcBorders>
                  <w:noWrap w:val="0"/>
                  <w:vAlign w:val="center"/>
                </w:tcPr>
                <w:p w14:paraId="63D9BACE">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西厂界</w:t>
                  </w:r>
                  <w:r>
                    <w:rPr>
                      <w:rFonts w:hint="eastAsia" w:ascii="Times New Roman" w:hAnsi="Times New Roman" w:cs="Times New Roman"/>
                      <w:b w:val="0"/>
                      <w:bCs w:val="0"/>
                      <w:color w:val="auto"/>
                      <w:kern w:val="2"/>
                      <w:sz w:val="21"/>
                      <w:szCs w:val="21"/>
                      <w:lang w:val="en-US" w:eastAsia="zh-CN" w:bidi="ar-SA"/>
                    </w:rPr>
                    <w:t>高于围墙0.5米</w:t>
                  </w:r>
                </w:p>
              </w:tc>
              <w:tc>
                <w:tcPr>
                  <w:tcW w:w="1247" w:type="pct"/>
                  <w:gridSpan w:val="2"/>
                  <w:tcBorders>
                    <w:tl2br w:val="nil"/>
                    <w:tr2bl w:val="nil"/>
                  </w:tcBorders>
                  <w:noWrap w:val="0"/>
                  <w:vAlign w:val="center"/>
                </w:tcPr>
                <w:p w14:paraId="3288C40F">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55</w:t>
                  </w:r>
                </w:p>
              </w:tc>
              <w:tc>
                <w:tcPr>
                  <w:tcW w:w="1288" w:type="pct"/>
                  <w:gridSpan w:val="2"/>
                  <w:tcBorders>
                    <w:tl2br w:val="nil"/>
                    <w:tr2bl w:val="nil"/>
                  </w:tcBorders>
                  <w:noWrap w:val="0"/>
                  <w:vAlign w:val="center"/>
                </w:tcPr>
                <w:p w14:paraId="388A5392">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7C4C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pct"/>
                <w:trHeight w:val="425" w:hRule="atLeast"/>
                <w:jc w:val="center"/>
              </w:trPr>
              <w:tc>
                <w:tcPr>
                  <w:tcW w:w="666" w:type="pct"/>
                  <w:tcBorders>
                    <w:tl2br w:val="nil"/>
                    <w:tr2bl w:val="nil"/>
                  </w:tcBorders>
                  <w:noWrap w:val="0"/>
                  <w:vAlign w:val="center"/>
                </w:tcPr>
                <w:p w14:paraId="61E9A793">
                  <w:p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N4</w:t>
                  </w:r>
                </w:p>
              </w:tc>
              <w:tc>
                <w:tcPr>
                  <w:tcW w:w="1784" w:type="pct"/>
                  <w:gridSpan w:val="2"/>
                  <w:tcBorders>
                    <w:tl2br w:val="nil"/>
                    <w:tr2bl w:val="nil"/>
                  </w:tcBorders>
                  <w:noWrap w:val="0"/>
                  <w:vAlign w:val="center"/>
                </w:tcPr>
                <w:p w14:paraId="586D6A1A">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北</w:t>
                  </w:r>
                  <w:r>
                    <w:rPr>
                      <w:rFonts w:hint="default" w:ascii="Times New Roman" w:hAnsi="Times New Roman" w:eastAsia="宋体" w:cs="Times New Roman"/>
                      <w:b w:val="0"/>
                      <w:bCs w:val="0"/>
                      <w:color w:val="auto"/>
                      <w:kern w:val="2"/>
                      <w:sz w:val="21"/>
                      <w:szCs w:val="21"/>
                      <w:lang w:val="en-US" w:eastAsia="zh-CN" w:bidi="ar-SA"/>
                    </w:rPr>
                    <w:t>厂界</w:t>
                  </w:r>
                  <w:r>
                    <w:rPr>
                      <w:rFonts w:hint="eastAsia" w:ascii="Times New Roman" w:hAnsi="Times New Roman" w:cs="Times New Roman"/>
                      <w:b w:val="0"/>
                      <w:bCs w:val="0"/>
                      <w:color w:val="auto"/>
                      <w:kern w:val="2"/>
                      <w:sz w:val="21"/>
                      <w:szCs w:val="21"/>
                      <w:lang w:val="en-US" w:eastAsia="zh-CN" w:bidi="ar-SA"/>
                    </w:rPr>
                    <w:t>高于围墙0.5米</w:t>
                  </w:r>
                </w:p>
              </w:tc>
              <w:tc>
                <w:tcPr>
                  <w:tcW w:w="1247" w:type="pct"/>
                  <w:gridSpan w:val="2"/>
                  <w:tcBorders>
                    <w:tl2br w:val="nil"/>
                    <w:tr2bl w:val="nil"/>
                  </w:tcBorders>
                  <w:noWrap w:val="0"/>
                  <w:vAlign w:val="center"/>
                </w:tcPr>
                <w:p w14:paraId="21F7CBCF">
                  <w:pPr>
                    <w:widowControl/>
                    <w:spacing w:line="240" w:lineRule="auto"/>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59</w:t>
                  </w:r>
                </w:p>
              </w:tc>
              <w:tc>
                <w:tcPr>
                  <w:tcW w:w="1288" w:type="pct"/>
                  <w:gridSpan w:val="2"/>
                  <w:tcBorders>
                    <w:tl2br w:val="nil"/>
                    <w:tr2bl w:val="nil"/>
                  </w:tcBorders>
                  <w:noWrap w:val="0"/>
                  <w:vAlign w:val="center"/>
                </w:tcPr>
                <w:p w14:paraId="541A2E8F">
                  <w:pPr>
                    <w:widowControl/>
                    <w:spacing w:line="240" w:lineRule="auto"/>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5784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8"/>
                  <w:tcBorders>
                    <w:tl2br w:val="nil"/>
                    <w:tr2bl w:val="nil"/>
                  </w:tcBorders>
                  <w:noWrap w:val="0"/>
                  <w:vAlign w:val="center"/>
                </w:tcPr>
                <w:p w14:paraId="55EF16A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2024-11-22</w:t>
                  </w:r>
                  <w:r>
                    <w:rPr>
                      <w:rFonts w:hint="default" w:ascii="Times New Roman" w:hAnsi="Times New Roman" w:eastAsia="宋体" w:cs="Times New Roman"/>
                      <w:b w:val="0"/>
                      <w:bCs w:val="0"/>
                      <w:color w:val="auto"/>
                      <w:sz w:val="21"/>
                      <w:szCs w:val="21"/>
                      <w:lang w:val="en-US" w:eastAsia="zh-CN"/>
                    </w:rPr>
                    <w:t xml:space="preserve"> 噪声检测概况</w:t>
                  </w:r>
                </w:p>
              </w:tc>
            </w:tr>
            <w:tr w14:paraId="08F5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3A44520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气象条件</w:t>
                  </w:r>
                </w:p>
              </w:tc>
              <w:tc>
                <w:tcPr>
                  <w:tcW w:w="1781" w:type="pct"/>
                  <w:gridSpan w:val="2"/>
                  <w:tcBorders>
                    <w:tl2br w:val="nil"/>
                    <w:tr2bl w:val="nil"/>
                  </w:tcBorders>
                  <w:shd w:val="clear" w:color="auto" w:fill="auto"/>
                  <w:noWrap w:val="0"/>
                  <w:vAlign w:val="center"/>
                </w:tcPr>
                <w:p w14:paraId="35EA88E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晴</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 xml:space="preserve">   </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 xml:space="preserve"> 风速</w:t>
                  </w:r>
                  <w:r>
                    <w:rPr>
                      <w:rFonts w:hint="eastAsia" w:ascii="Times New Roman" w:hAnsi="Times New Roman" w:eastAsia="宋体" w:cs="Times New Roman"/>
                      <w:b w:val="0"/>
                      <w:bCs w:val="0"/>
                      <w:color w:val="auto"/>
                      <w:sz w:val="21"/>
                      <w:szCs w:val="21"/>
                      <w:vertAlign w:val="baseline"/>
                      <w:lang w:val="en-US" w:eastAsia="zh-CN"/>
                    </w:rPr>
                    <w:t xml:space="preserve"> </w:t>
                  </w:r>
                  <w:r>
                    <w:rPr>
                      <w:rFonts w:hint="eastAsia" w:ascii="Times New Roman" w:hAnsi="Times New Roman" w:cs="Times New Roman"/>
                      <w:b w:val="0"/>
                      <w:bCs w:val="0"/>
                      <w:color w:val="auto"/>
                      <w:sz w:val="21"/>
                      <w:szCs w:val="21"/>
                      <w:vertAlign w:val="baseline"/>
                      <w:lang w:val="en-US" w:eastAsia="zh-CN"/>
                    </w:rPr>
                    <w:t>1.9</w:t>
                  </w:r>
                  <w:r>
                    <w:rPr>
                      <w:rFonts w:hint="default" w:ascii="Times New Roman" w:hAnsi="Times New Roman" w:eastAsia="宋体" w:cs="Times New Roman"/>
                      <w:b w:val="0"/>
                      <w:bCs w:val="0"/>
                      <w:color w:val="auto"/>
                      <w:sz w:val="21"/>
                      <w:szCs w:val="21"/>
                      <w:vertAlign w:val="baseline"/>
                      <w:lang w:val="en-US" w:eastAsia="zh-CN"/>
                    </w:rPr>
                    <w:t>m/s</w:t>
                  </w:r>
                </w:p>
              </w:tc>
              <w:tc>
                <w:tcPr>
                  <w:tcW w:w="1247" w:type="pct"/>
                  <w:gridSpan w:val="2"/>
                  <w:tcBorders>
                    <w:tl2br w:val="nil"/>
                    <w:tr2bl w:val="nil"/>
                  </w:tcBorders>
                  <w:noWrap w:val="0"/>
                  <w:vAlign w:val="center"/>
                </w:tcPr>
                <w:p w14:paraId="7514FCD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
                    </w:rPr>
                    <w:t>检测频次</w:t>
                  </w:r>
                </w:p>
              </w:tc>
              <w:tc>
                <w:tcPr>
                  <w:tcW w:w="1293" w:type="pct"/>
                  <w:gridSpan w:val="2"/>
                  <w:tcBorders>
                    <w:tl2br w:val="nil"/>
                    <w:tr2bl w:val="nil"/>
                  </w:tcBorders>
                  <w:noWrap w:val="0"/>
                  <w:vAlign w:val="center"/>
                </w:tcPr>
                <w:p w14:paraId="638BE84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1</w:t>
                  </w:r>
                  <w:r>
                    <w:rPr>
                      <w:rFonts w:hint="default" w:ascii="Times New Roman" w:hAnsi="Times New Roman" w:eastAsia="宋体" w:cs="Times New Roman"/>
                      <w:b w:val="0"/>
                      <w:bCs w:val="0"/>
                      <w:color w:val="auto"/>
                      <w:sz w:val="21"/>
                      <w:szCs w:val="21"/>
                      <w:lang w:bidi="ar"/>
                    </w:rPr>
                    <w:t>次/天，共</w:t>
                  </w:r>
                  <w:r>
                    <w:rPr>
                      <w:rFonts w:hint="default" w:ascii="Times New Roman" w:hAnsi="Times New Roman" w:eastAsia="宋体" w:cs="Times New Roman"/>
                      <w:b w:val="0"/>
                      <w:bCs w:val="0"/>
                      <w:color w:val="auto"/>
                      <w:sz w:val="21"/>
                      <w:szCs w:val="21"/>
                      <w:lang w:val="en-US" w:eastAsia="zh-CN" w:bidi="ar"/>
                    </w:rPr>
                    <w:t>2</w:t>
                  </w:r>
                  <w:r>
                    <w:rPr>
                      <w:rFonts w:hint="default" w:ascii="Times New Roman" w:hAnsi="Times New Roman" w:eastAsia="宋体" w:cs="Times New Roman"/>
                      <w:b w:val="0"/>
                      <w:bCs w:val="0"/>
                      <w:color w:val="auto"/>
                      <w:sz w:val="21"/>
                      <w:szCs w:val="21"/>
                      <w:lang w:bidi="ar"/>
                    </w:rPr>
                    <w:t>天</w:t>
                  </w:r>
                </w:p>
              </w:tc>
            </w:tr>
            <w:tr w14:paraId="4810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41BB20E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sz w:val="21"/>
                      <w:szCs w:val="21"/>
                      <w:lang w:val="en-US" w:eastAsia="zh-CN" w:bidi="ar"/>
                    </w:rPr>
                    <w:t>仪器校正</w:t>
                  </w:r>
                </w:p>
              </w:tc>
              <w:tc>
                <w:tcPr>
                  <w:tcW w:w="1781" w:type="pct"/>
                  <w:gridSpan w:val="2"/>
                  <w:tcBorders>
                    <w:tl2br w:val="nil"/>
                    <w:tr2bl w:val="nil"/>
                  </w:tcBorders>
                  <w:shd w:val="clear" w:color="auto" w:fill="auto"/>
                  <w:noWrap w:val="0"/>
                  <w:vAlign w:val="center"/>
                </w:tcPr>
                <w:p w14:paraId="45ABF13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sz w:val="21"/>
                      <w:szCs w:val="21"/>
                      <w:lang w:bidi="ar"/>
                    </w:rPr>
                    <w:t>测前校</w:t>
                  </w:r>
                  <w:r>
                    <w:rPr>
                      <w:rFonts w:hint="eastAsia" w:ascii="Times New Roman" w:hAnsi="Times New Roman" w:cs="Times New Roman"/>
                      <w:b w:val="0"/>
                      <w:bCs w:val="0"/>
                      <w:color w:val="auto"/>
                      <w:sz w:val="21"/>
                      <w:szCs w:val="21"/>
                      <w:lang w:eastAsia="zh-CN" w:bidi="ar"/>
                    </w:rPr>
                    <w:t>准</w:t>
                  </w:r>
                  <w:r>
                    <w:rPr>
                      <w:rFonts w:hint="default" w:ascii="Times New Roman" w:hAnsi="Times New Roman" w:eastAsia="宋体" w:cs="Times New Roman"/>
                      <w:b w:val="0"/>
                      <w:bCs w:val="0"/>
                      <w:color w:val="auto"/>
                      <w:sz w:val="21"/>
                      <w:szCs w:val="21"/>
                      <w:lang w:bidi="ar"/>
                    </w:rPr>
                    <w:t>值</w:t>
                  </w:r>
                  <w:r>
                    <w:rPr>
                      <w:rFonts w:hint="eastAsia" w:ascii="Times New Roman" w:hAnsi="Times New Roman" w:cs="Times New Roman"/>
                      <w:b w:val="0"/>
                      <w:bCs w:val="0"/>
                      <w:color w:val="auto"/>
                      <w:sz w:val="21"/>
                      <w:szCs w:val="21"/>
                      <w:lang w:val="en-US" w:eastAsia="zh-CN" w:bidi="ar"/>
                    </w:rPr>
                    <w:t>93.7</w:t>
                  </w:r>
                  <w:r>
                    <w:rPr>
                      <w:rFonts w:hint="default" w:ascii="Times New Roman" w:hAnsi="Times New Roman" w:eastAsia="宋体" w:cs="Times New Roman"/>
                      <w:b w:val="0"/>
                      <w:bCs w:val="0"/>
                      <w:color w:val="auto"/>
                      <w:sz w:val="21"/>
                      <w:szCs w:val="21"/>
                      <w:lang w:bidi="ar"/>
                    </w:rPr>
                    <w:t>dB</w:t>
                  </w:r>
                  <w:r>
                    <w:rPr>
                      <w:rFonts w:hint="default" w:ascii="Times New Roman" w:hAnsi="Times New Roman" w:eastAsia="宋体" w:cs="Times New Roman"/>
                      <w:b w:val="0"/>
                      <w:bCs w:val="0"/>
                      <w:color w:val="auto"/>
                      <w:sz w:val="21"/>
                      <w:szCs w:val="21"/>
                      <w:lang w:val="en-US" w:eastAsia="zh-CN" w:bidi="ar"/>
                    </w:rPr>
                    <w:t xml:space="preserve"> </w:t>
                  </w:r>
                  <w:r>
                    <w:rPr>
                      <w:rFonts w:hint="default" w:ascii="Times New Roman" w:hAnsi="Times New Roman" w:eastAsia="宋体" w:cs="Times New Roman"/>
                      <w:b w:val="0"/>
                      <w:bCs w:val="0"/>
                      <w:color w:val="auto"/>
                      <w:sz w:val="21"/>
                      <w:szCs w:val="21"/>
                      <w:lang w:bidi="ar"/>
                    </w:rPr>
                    <w:t>测后校</w:t>
                  </w:r>
                  <w:r>
                    <w:rPr>
                      <w:rFonts w:hint="eastAsia" w:ascii="Times New Roman" w:hAnsi="Times New Roman" w:cs="Times New Roman"/>
                      <w:b w:val="0"/>
                      <w:bCs w:val="0"/>
                      <w:color w:val="auto"/>
                      <w:sz w:val="21"/>
                      <w:szCs w:val="21"/>
                      <w:lang w:eastAsia="zh-CN" w:bidi="ar"/>
                    </w:rPr>
                    <w:t>准值</w:t>
                  </w:r>
                  <w:r>
                    <w:rPr>
                      <w:rFonts w:hint="default" w:ascii="Times New Roman" w:hAnsi="Times New Roman" w:eastAsia="宋体" w:cs="Times New Roman"/>
                      <w:b w:val="0"/>
                      <w:bCs w:val="0"/>
                      <w:color w:val="auto"/>
                      <w:sz w:val="21"/>
                      <w:szCs w:val="21"/>
                      <w:lang w:bidi="ar"/>
                    </w:rPr>
                    <w:t>9</w:t>
                  </w:r>
                  <w:r>
                    <w:rPr>
                      <w:rFonts w:hint="eastAsia" w:ascii="Times New Roman" w:hAnsi="Times New Roman" w:cs="Times New Roman"/>
                      <w:b w:val="0"/>
                      <w:bCs w:val="0"/>
                      <w:color w:val="auto"/>
                      <w:sz w:val="21"/>
                      <w:szCs w:val="21"/>
                      <w:lang w:val="en-US" w:eastAsia="zh-CN" w:bidi="ar"/>
                    </w:rPr>
                    <w:t>3.8</w:t>
                  </w:r>
                  <w:r>
                    <w:rPr>
                      <w:rFonts w:hint="default" w:ascii="Times New Roman" w:hAnsi="Times New Roman" w:eastAsia="宋体" w:cs="Times New Roman"/>
                      <w:b w:val="0"/>
                      <w:bCs w:val="0"/>
                      <w:color w:val="auto"/>
                      <w:sz w:val="21"/>
                      <w:szCs w:val="21"/>
                      <w:lang w:bidi="ar"/>
                    </w:rPr>
                    <w:t>dB</w:t>
                  </w:r>
                </w:p>
              </w:tc>
              <w:tc>
                <w:tcPr>
                  <w:tcW w:w="1247" w:type="pct"/>
                  <w:gridSpan w:val="2"/>
                  <w:tcBorders>
                    <w:tl2br w:val="nil"/>
                    <w:tr2bl w:val="nil"/>
                  </w:tcBorders>
                  <w:noWrap w:val="0"/>
                  <w:vAlign w:val="center"/>
                </w:tcPr>
                <w:p w14:paraId="1983084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
                    </w:rPr>
                    <w:t>仪器</w:t>
                  </w:r>
                  <w:r>
                    <w:rPr>
                      <w:rFonts w:hint="default" w:ascii="Times New Roman" w:hAnsi="Times New Roman" w:eastAsia="宋体" w:cs="Times New Roman"/>
                      <w:b w:val="0"/>
                      <w:bCs w:val="0"/>
                      <w:color w:val="auto"/>
                      <w:sz w:val="21"/>
                      <w:szCs w:val="21"/>
                      <w:lang w:bidi="ar"/>
                    </w:rPr>
                    <w:t>校准</w:t>
                  </w:r>
                </w:p>
              </w:tc>
              <w:tc>
                <w:tcPr>
                  <w:tcW w:w="1293" w:type="pct"/>
                  <w:gridSpan w:val="2"/>
                  <w:tcBorders>
                    <w:tl2br w:val="nil"/>
                    <w:tr2bl w:val="nil"/>
                  </w:tcBorders>
                  <w:noWrap w:val="0"/>
                  <w:vAlign w:val="center"/>
                </w:tcPr>
                <w:p w14:paraId="6D6D41A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bidi="ar"/>
                    </w:rPr>
                  </w:pPr>
                  <w:r>
                    <w:rPr>
                      <w:rFonts w:hint="default" w:ascii="Times New Roman" w:hAnsi="Times New Roman" w:eastAsia="宋体" w:cs="Times New Roman"/>
                      <w:b w:val="0"/>
                      <w:bCs w:val="0"/>
                      <w:color w:val="auto"/>
                      <w:sz w:val="21"/>
                      <w:szCs w:val="21"/>
                      <w:lang w:bidi="ar"/>
                    </w:rPr>
                    <w:t>合格</w:t>
                  </w:r>
                </w:p>
              </w:tc>
            </w:tr>
            <w:tr w14:paraId="7D23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8"/>
                  <w:tcBorders>
                    <w:tl2br w:val="nil"/>
                    <w:tr2bl w:val="nil"/>
                  </w:tcBorders>
                  <w:noWrap w:val="0"/>
                  <w:vAlign w:val="center"/>
                </w:tcPr>
                <w:p w14:paraId="1E84D1C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检测结果</w:t>
                  </w:r>
                </w:p>
              </w:tc>
            </w:tr>
            <w:tr w14:paraId="69FF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28C7B675">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编号</w:t>
                  </w:r>
                </w:p>
              </w:tc>
              <w:tc>
                <w:tcPr>
                  <w:tcW w:w="1781" w:type="pct"/>
                  <w:gridSpan w:val="2"/>
                  <w:tcBorders>
                    <w:tl2br w:val="nil"/>
                    <w:tr2bl w:val="nil"/>
                  </w:tcBorders>
                  <w:noWrap w:val="0"/>
                  <w:vAlign w:val="center"/>
                </w:tcPr>
                <w:p w14:paraId="3E4DB03A">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测点位置</w:t>
                  </w:r>
                </w:p>
              </w:tc>
              <w:tc>
                <w:tcPr>
                  <w:tcW w:w="1247" w:type="pct"/>
                  <w:gridSpan w:val="2"/>
                  <w:tcBorders>
                    <w:tl2br w:val="nil"/>
                    <w:tr2bl w:val="nil"/>
                  </w:tcBorders>
                  <w:noWrap w:val="0"/>
                  <w:vAlign w:val="center"/>
                </w:tcPr>
                <w:p w14:paraId="1EACCFEA">
                  <w:pPr>
                    <w:spacing w:line="240" w:lineRule="auto"/>
                    <w:jc w:val="center"/>
                    <w:rPr>
                      <w:rFonts w:hint="default" w:ascii="Times New Roman" w:hAnsi="Times New Roman" w:eastAsia="宋体" w:cs="Times New Roman"/>
                      <w:b w:val="0"/>
                      <w:bCs w:val="0"/>
                      <w:color w:val="auto"/>
                      <w:spacing w:val="-20"/>
                      <w:kern w:val="0"/>
                      <w:sz w:val="21"/>
                      <w:szCs w:val="21"/>
                      <w:lang w:val="en-US" w:eastAsia="zh-CN" w:bidi="ar-SA"/>
                    </w:rPr>
                  </w:pPr>
                  <w:r>
                    <w:rPr>
                      <w:rFonts w:hint="default" w:ascii="Times New Roman" w:hAnsi="Times New Roman" w:eastAsia="宋体" w:cs="Times New Roman"/>
                      <w:b w:val="0"/>
                      <w:bCs w:val="0"/>
                      <w:color w:val="auto"/>
                      <w:spacing w:val="-20"/>
                      <w:kern w:val="0"/>
                      <w:sz w:val="21"/>
                      <w:szCs w:val="21"/>
                      <w:lang w:eastAsia="zh-CN"/>
                    </w:rPr>
                    <w:t>昼</w:t>
                  </w:r>
                  <w:r>
                    <w:rPr>
                      <w:rFonts w:hint="default" w:ascii="Times New Roman" w:hAnsi="Times New Roman" w:eastAsia="宋体"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pacing w:val="-20"/>
                      <w:kern w:val="0"/>
                      <w:sz w:val="21"/>
                      <w:szCs w:val="21"/>
                      <w:lang w:eastAsia="zh-CN"/>
                    </w:rPr>
                    <w:t>间</w:t>
                  </w:r>
                  <w:r>
                    <w:rPr>
                      <w:rFonts w:hint="eastAsia" w:ascii="Times New Roman" w:hAnsi="Times New Roman"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Leq</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dB(A)</w:t>
                  </w:r>
                </w:p>
              </w:tc>
              <w:tc>
                <w:tcPr>
                  <w:tcW w:w="1293" w:type="pct"/>
                  <w:gridSpan w:val="2"/>
                  <w:tcBorders>
                    <w:tl2br w:val="nil"/>
                    <w:tr2bl w:val="nil"/>
                  </w:tcBorders>
                  <w:noWrap w:val="0"/>
                  <w:vAlign w:val="center"/>
                </w:tcPr>
                <w:p w14:paraId="5A17701E">
                  <w:pPr>
                    <w:spacing w:line="240" w:lineRule="auto"/>
                    <w:jc w:val="center"/>
                    <w:rPr>
                      <w:rFonts w:hint="default" w:ascii="Times New Roman" w:hAnsi="Times New Roman" w:eastAsia="宋体" w:cs="Times New Roman"/>
                      <w:b w:val="0"/>
                      <w:bCs w:val="0"/>
                      <w:color w:val="auto"/>
                      <w:spacing w:val="-20"/>
                      <w:kern w:val="0"/>
                      <w:sz w:val="21"/>
                      <w:szCs w:val="21"/>
                      <w:lang w:eastAsia="zh-CN"/>
                    </w:rPr>
                  </w:pPr>
                  <w:r>
                    <w:rPr>
                      <w:rFonts w:hint="default" w:ascii="Times New Roman" w:hAnsi="Times New Roman" w:eastAsia="宋体" w:cs="Times New Roman"/>
                      <w:b w:val="0"/>
                      <w:bCs w:val="0"/>
                      <w:color w:val="auto"/>
                      <w:spacing w:val="-20"/>
                      <w:kern w:val="0"/>
                      <w:sz w:val="21"/>
                      <w:szCs w:val="21"/>
                      <w:lang w:eastAsia="zh-CN"/>
                    </w:rPr>
                    <w:t>夜</w:t>
                  </w:r>
                  <w:r>
                    <w:rPr>
                      <w:rFonts w:hint="default" w:ascii="Times New Roman" w:hAnsi="Times New Roman" w:eastAsia="宋体"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pacing w:val="-20"/>
                      <w:kern w:val="0"/>
                      <w:sz w:val="21"/>
                      <w:szCs w:val="21"/>
                      <w:lang w:eastAsia="zh-CN"/>
                    </w:rPr>
                    <w:t>间</w:t>
                  </w:r>
                  <w:r>
                    <w:rPr>
                      <w:rFonts w:hint="eastAsia" w:ascii="Times New Roman" w:hAnsi="Times New Roman" w:cs="Times New Roman"/>
                      <w:b w:val="0"/>
                      <w:bCs w:val="0"/>
                      <w:color w:val="auto"/>
                      <w:spacing w:val="-20"/>
                      <w:kern w:val="0"/>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Leq</w:t>
                  </w:r>
                  <w:r>
                    <w:rPr>
                      <w:rFonts w:hint="eastAsia" w:ascii="Times New Roman" w:hAnsi="Times New Roman"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dB(A)</w:t>
                  </w:r>
                </w:p>
              </w:tc>
            </w:tr>
            <w:tr w14:paraId="1227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337E5DFC">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N1</w:t>
                  </w:r>
                </w:p>
              </w:tc>
              <w:tc>
                <w:tcPr>
                  <w:tcW w:w="1781" w:type="pct"/>
                  <w:gridSpan w:val="2"/>
                  <w:tcBorders>
                    <w:tl2br w:val="nil"/>
                    <w:tr2bl w:val="nil"/>
                  </w:tcBorders>
                  <w:shd w:val="clear" w:color="auto" w:fill="auto"/>
                  <w:noWrap w:val="0"/>
                  <w:vAlign w:val="center"/>
                </w:tcPr>
                <w:p w14:paraId="3D468CC6">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东</w:t>
                  </w:r>
                  <w:r>
                    <w:rPr>
                      <w:rFonts w:hint="default" w:ascii="Times New Roman" w:hAnsi="Times New Roman" w:eastAsia="宋体" w:cs="Times New Roman"/>
                      <w:b w:val="0"/>
                      <w:bCs w:val="0"/>
                      <w:color w:val="auto"/>
                      <w:kern w:val="2"/>
                      <w:sz w:val="21"/>
                      <w:szCs w:val="21"/>
                      <w:lang w:val="en-US" w:eastAsia="zh-CN" w:bidi="ar-SA"/>
                    </w:rPr>
                    <w:t>厂界</w:t>
                  </w:r>
                  <w:r>
                    <w:rPr>
                      <w:rFonts w:hint="eastAsia" w:ascii="Times New Roman" w:hAnsi="Times New Roman" w:cs="Times New Roman"/>
                      <w:b w:val="0"/>
                      <w:bCs w:val="0"/>
                      <w:color w:val="auto"/>
                      <w:kern w:val="2"/>
                      <w:sz w:val="21"/>
                      <w:szCs w:val="21"/>
                      <w:lang w:val="en-US" w:eastAsia="zh-CN" w:bidi="ar-SA"/>
                    </w:rPr>
                    <w:t>外1米</w:t>
                  </w:r>
                </w:p>
              </w:tc>
              <w:tc>
                <w:tcPr>
                  <w:tcW w:w="1247" w:type="pct"/>
                  <w:gridSpan w:val="2"/>
                  <w:tcBorders>
                    <w:tl2br w:val="nil"/>
                    <w:tr2bl w:val="nil"/>
                  </w:tcBorders>
                  <w:noWrap w:val="0"/>
                  <w:vAlign w:val="center"/>
                </w:tcPr>
                <w:p w14:paraId="795FB0B5">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52</w:t>
                  </w:r>
                </w:p>
              </w:tc>
              <w:tc>
                <w:tcPr>
                  <w:tcW w:w="1293" w:type="pct"/>
                  <w:gridSpan w:val="2"/>
                  <w:tcBorders>
                    <w:tl2br w:val="nil"/>
                    <w:tr2bl w:val="nil"/>
                  </w:tcBorders>
                  <w:shd w:val="clear" w:color="auto" w:fill="auto"/>
                  <w:noWrap w:val="0"/>
                  <w:vAlign w:val="center"/>
                </w:tcPr>
                <w:p w14:paraId="03BD7F23">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77F6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7E6CD7BE">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w:t>
                  </w:r>
                  <w:r>
                    <w:rPr>
                      <w:rFonts w:hint="eastAsia" w:ascii="Times New Roman" w:hAnsi="Times New Roman" w:cs="Times New Roman"/>
                      <w:b w:val="0"/>
                      <w:bCs w:val="0"/>
                      <w:color w:val="auto"/>
                      <w:sz w:val="21"/>
                      <w:szCs w:val="21"/>
                      <w:lang w:val="en-US" w:eastAsia="zh-CN"/>
                    </w:rPr>
                    <w:t>2</w:t>
                  </w:r>
                </w:p>
              </w:tc>
              <w:tc>
                <w:tcPr>
                  <w:tcW w:w="1781" w:type="pct"/>
                  <w:gridSpan w:val="2"/>
                  <w:tcBorders>
                    <w:tl2br w:val="nil"/>
                    <w:tr2bl w:val="nil"/>
                  </w:tcBorders>
                  <w:shd w:val="clear" w:color="auto" w:fill="auto"/>
                  <w:noWrap w:val="0"/>
                  <w:vAlign w:val="center"/>
                </w:tcPr>
                <w:p w14:paraId="38D9E952">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南</w:t>
                  </w:r>
                  <w:r>
                    <w:rPr>
                      <w:rFonts w:hint="default" w:ascii="Times New Roman" w:hAnsi="Times New Roman" w:eastAsia="宋体" w:cs="Times New Roman"/>
                      <w:b w:val="0"/>
                      <w:bCs w:val="0"/>
                      <w:color w:val="auto"/>
                      <w:kern w:val="2"/>
                      <w:sz w:val="21"/>
                      <w:szCs w:val="21"/>
                      <w:lang w:val="en-US" w:eastAsia="zh-CN" w:bidi="ar-SA"/>
                    </w:rPr>
                    <w:t>厂界</w:t>
                  </w:r>
                  <w:r>
                    <w:rPr>
                      <w:rFonts w:hint="eastAsia" w:ascii="Times New Roman" w:hAnsi="Times New Roman" w:cs="Times New Roman"/>
                      <w:b w:val="0"/>
                      <w:bCs w:val="0"/>
                      <w:color w:val="auto"/>
                      <w:kern w:val="2"/>
                      <w:sz w:val="21"/>
                      <w:szCs w:val="21"/>
                      <w:lang w:val="en-US" w:eastAsia="zh-CN" w:bidi="ar-SA"/>
                    </w:rPr>
                    <w:t>外1米</w:t>
                  </w:r>
                </w:p>
              </w:tc>
              <w:tc>
                <w:tcPr>
                  <w:tcW w:w="1247" w:type="pct"/>
                  <w:gridSpan w:val="2"/>
                  <w:tcBorders>
                    <w:tl2br w:val="nil"/>
                    <w:tr2bl w:val="nil"/>
                  </w:tcBorders>
                  <w:noWrap w:val="0"/>
                  <w:vAlign w:val="center"/>
                </w:tcPr>
                <w:p w14:paraId="53E670D6">
                  <w:pPr>
                    <w:widowControl/>
                    <w:spacing w:line="240" w:lineRule="auto"/>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58</w:t>
                  </w:r>
                </w:p>
              </w:tc>
              <w:tc>
                <w:tcPr>
                  <w:tcW w:w="1293" w:type="pct"/>
                  <w:gridSpan w:val="2"/>
                  <w:tcBorders>
                    <w:tl2br w:val="nil"/>
                    <w:tr2bl w:val="nil"/>
                  </w:tcBorders>
                  <w:shd w:val="clear" w:color="auto" w:fill="auto"/>
                  <w:noWrap w:val="0"/>
                  <w:vAlign w:val="center"/>
                </w:tcPr>
                <w:p w14:paraId="42477BB9">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5806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54729C65">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N3</w:t>
                  </w:r>
                </w:p>
              </w:tc>
              <w:tc>
                <w:tcPr>
                  <w:tcW w:w="1781" w:type="pct"/>
                  <w:gridSpan w:val="2"/>
                  <w:tcBorders>
                    <w:tl2br w:val="nil"/>
                    <w:tr2bl w:val="nil"/>
                  </w:tcBorders>
                  <w:shd w:val="clear" w:color="auto" w:fill="auto"/>
                  <w:noWrap w:val="0"/>
                  <w:vAlign w:val="center"/>
                </w:tcPr>
                <w:p w14:paraId="0F777A8F">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西厂界</w:t>
                  </w:r>
                  <w:r>
                    <w:rPr>
                      <w:rFonts w:hint="eastAsia" w:ascii="Times New Roman" w:hAnsi="Times New Roman" w:cs="Times New Roman"/>
                      <w:b w:val="0"/>
                      <w:bCs w:val="0"/>
                      <w:color w:val="auto"/>
                      <w:kern w:val="2"/>
                      <w:sz w:val="21"/>
                      <w:szCs w:val="21"/>
                      <w:lang w:val="en-US" w:eastAsia="zh-CN" w:bidi="ar-SA"/>
                    </w:rPr>
                    <w:t>高于围墙0.5米</w:t>
                  </w:r>
                </w:p>
              </w:tc>
              <w:tc>
                <w:tcPr>
                  <w:tcW w:w="1247" w:type="pct"/>
                  <w:gridSpan w:val="2"/>
                  <w:tcBorders>
                    <w:tl2br w:val="nil"/>
                    <w:tr2bl w:val="nil"/>
                  </w:tcBorders>
                  <w:noWrap w:val="0"/>
                  <w:vAlign w:val="center"/>
                </w:tcPr>
                <w:p w14:paraId="5186B66C">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55</w:t>
                  </w:r>
                </w:p>
              </w:tc>
              <w:tc>
                <w:tcPr>
                  <w:tcW w:w="1293" w:type="pct"/>
                  <w:gridSpan w:val="2"/>
                  <w:tcBorders>
                    <w:tl2br w:val="nil"/>
                    <w:tr2bl w:val="nil"/>
                  </w:tcBorders>
                  <w:shd w:val="clear" w:color="auto" w:fill="auto"/>
                  <w:noWrap w:val="0"/>
                  <w:vAlign w:val="center"/>
                </w:tcPr>
                <w:p w14:paraId="57F1B100">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r w14:paraId="5D4C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6" w:type="pct"/>
                  <w:gridSpan w:val="2"/>
                  <w:tcBorders>
                    <w:tl2br w:val="nil"/>
                    <w:tr2bl w:val="nil"/>
                  </w:tcBorders>
                  <w:noWrap w:val="0"/>
                  <w:vAlign w:val="center"/>
                </w:tcPr>
                <w:p w14:paraId="506D1973">
                  <w:pPr>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N4</w:t>
                  </w:r>
                </w:p>
              </w:tc>
              <w:tc>
                <w:tcPr>
                  <w:tcW w:w="1781" w:type="pct"/>
                  <w:gridSpan w:val="2"/>
                  <w:tcBorders>
                    <w:tl2br w:val="nil"/>
                    <w:tr2bl w:val="nil"/>
                  </w:tcBorders>
                  <w:shd w:val="clear" w:color="auto" w:fill="auto"/>
                  <w:noWrap w:val="0"/>
                  <w:vAlign w:val="center"/>
                </w:tcPr>
                <w:p w14:paraId="3A0E2684">
                  <w:pPr>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北</w:t>
                  </w:r>
                  <w:r>
                    <w:rPr>
                      <w:rFonts w:hint="default" w:ascii="Times New Roman" w:hAnsi="Times New Roman" w:eastAsia="宋体" w:cs="Times New Roman"/>
                      <w:b w:val="0"/>
                      <w:bCs w:val="0"/>
                      <w:color w:val="auto"/>
                      <w:kern w:val="2"/>
                      <w:sz w:val="21"/>
                      <w:szCs w:val="21"/>
                      <w:lang w:val="en-US" w:eastAsia="zh-CN" w:bidi="ar-SA"/>
                    </w:rPr>
                    <w:t>厂界</w:t>
                  </w:r>
                  <w:r>
                    <w:rPr>
                      <w:rFonts w:hint="eastAsia" w:ascii="Times New Roman" w:hAnsi="Times New Roman" w:cs="Times New Roman"/>
                      <w:b w:val="0"/>
                      <w:bCs w:val="0"/>
                      <w:color w:val="auto"/>
                      <w:kern w:val="2"/>
                      <w:sz w:val="21"/>
                      <w:szCs w:val="21"/>
                      <w:lang w:val="en-US" w:eastAsia="zh-CN" w:bidi="ar-SA"/>
                    </w:rPr>
                    <w:t>高于围墙0.5米</w:t>
                  </w:r>
                </w:p>
              </w:tc>
              <w:tc>
                <w:tcPr>
                  <w:tcW w:w="1247" w:type="pct"/>
                  <w:gridSpan w:val="2"/>
                  <w:tcBorders>
                    <w:tl2br w:val="nil"/>
                    <w:tr2bl w:val="nil"/>
                  </w:tcBorders>
                  <w:noWrap w:val="0"/>
                  <w:vAlign w:val="center"/>
                </w:tcPr>
                <w:p w14:paraId="14666698">
                  <w:pPr>
                    <w:widowControl/>
                    <w:spacing w:line="240" w:lineRule="auto"/>
                    <w:jc w:val="center"/>
                    <w:textAlignment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52</w:t>
                  </w:r>
                </w:p>
              </w:tc>
              <w:tc>
                <w:tcPr>
                  <w:tcW w:w="1293" w:type="pct"/>
                  <w:gridSpan w:val="2"/>
                  <w:tcBorders>
                    <w:tl2br w:val="nil"/>
                    <w:tr2bl w:val="nil"/>
                  </w:tcBorders>
                  <w:shd w:val="clear" w:color="auto" w:fill="auto"/>
                  <w:noWrap w:val="0"/>
                  <w:vAlign w:val="center"/>
                </w:tcPr>
                <w:p w14:paraId="427794C5">
                  <w:pPr>
                    <w:widowControl/>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r>
          </w:tbl>
          <w:p w14:paraId="51526836">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sz w:val="24"/>
              </w:rPr>
            </w:pPr>
            <w:r>
              <w:rPr>
                <w:sz w:val="24"/>
              </w:rPr>
              <w:t>噪声检测结果分析：在</w:t>
            </w:r>
            <w:r>
              <w:rPr>
                <w:rFonts w:hint="eastAsia"/>
                <w:sz w:val="24"/>
              </w:rPr>
              <w:t>噪声</w:t>
            </w:r>
            <w:r>
              <w:rPr>
                <w:sz w:val="24"/>
              </w:rPr>
              <w:t>监测期间，</w:t>
            </w:r>
            <w:r>
              <w:rPr>
                <w:rFonts w:hint="eastAsia"/>
                <w:sz w:val="24"/>
              </w:rPr>
              <w:t>企业正常生产，</w:t>
            </w:r>
            <w:r>
              <w:rPr>
                <w:rFonts w:hint="eastAsia"/>
                <w:kern w:val="0"/>
                <w:sz w:val="24"/>
              </w:rPr>
              <w:t>厂界噪声</w:t>
            </w:r>
            <w:r>
              <w:rPr>
                <w:rFonts w:hint="eastAsia"/>
                <w:sz w:val="24"/>
              </w:rPr>
              <w:t>满足</w:t>
            </w:r>
            <w:r>
              <w:rPr>
                <w:sz w:val="24"/>
              </w:rPr>
              <w:t>《工业企业厂界环境噪声排放标准》（GB12348-2008）中</w:t>
            </w:r>
            <w:r>
              <w:rPr>
                <w:rFonts w:hint="eastAsia"/>
                <w:sz w:val="24"/>
                <w:lang w:val="en-US" w:eastAsia="zh-CN"/>
              </w:rPr>
              <w:t>2</w:t>
            </w:r>
            <w:r>
              <w:rPr>
                <w:sz w:val="24"/>
              </w:rPr>
              <w:t>类标准。</w:t>
            </w:r>
          </w:p>
          <w:p w14:paraId="2DF9F354">
            <w:pPr>
              <w:autoSpaceDE w:val="0"/>
              <w:autoSpaceDN w:val="0"/>
              <w:adjustRightInd w:val="0"/>
              <w:snapToGrid w:val="0"/>
              <w:spacing w:line="360" w:lineRule="auto"/>
              <w:ind w:firstLine="480"/>
              <w:rPr>
                <w:color w:val="auto"/>
                <w:kern w:val="0"/>
                <w:sz w:val="24"/>
                <w:szCs w:val="28"/>
              </w:rPr>
            </w:pPr>
            <w:r>
              <w:rPr>
                <w:rFonts w:hint="eastAsia"/>
                <w:color w:val="auto"/>
                <w:kern w:val="0"/>
                <w:sz w:val="24"/>
                <w:szCs w:val="28"/>
              </w:rPr>
              <w:t>（</w:t>
            </w:r>
            <w:r>
              <w:rPr>
                <w:rFonts w:hint="eastAsia"/>
                <w:color w:val="auto"/>
                <w:kern w:val="0"/>
                <w:sz w:val="24"/>
                <w:szCs w:val="28"/>
                <w:lang w:val="en-US" w:eastAsia="zh-CN"/>
              </w:rPr>
              <w:t>4</w:t>
            </w:r>
            <w:r>
              <w:rPr>
                <w:rFonts w:hint="eastAsia"/>
                <w:color w:val="auto"/>
                <w:kern w:val="0"/>
                <w:sz w:val="24"/>
                <w:szCs w:val="28"/>
              </w:rPr>
              <w:t>）</w:t>
            </w:r>
            <w:r>
              <w:rPr>
                <w:color w:val="auto"/>
                <w:sz w:val="24"/>
              </w:rPr>
              <w:t>固废</w:t>
            </w:r>
          </w:p>
          <w:p w14:paraId="75EE57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szCs w:val="24"/>
                <w:highlight w:val="none"/>
                <w:lang w:val="en-US" w:eastAsia="zh-CN"/>
              </w:rPr>
            </w:pPr>
            <w:r>
              <w:rPr>
                <w:rFonts w:hint="default" w:cs="Times New Roman" w:eastAsiaTheme="minorEastAsia"/>
                <w:bCs/>
                <w:color w:val="000000"/>
                <w:sz w:val="24"/>
                <w:szCs w:val="24"/>
                <w:lang w:val="en-US" w:eastAsia="zh-CN"/>
              </w:rPr>
              <w:t>本项目运营期项目固废主要包括一般工业固体废物、职工生活垃圾</w:t>
            </w:r>
            <w:r>
              <w:rPr>
                <w:rFonts w:hint="eastAsia" w:cs="Times New Roman" w:eastAsiaTheme="minorEastAsia"/>
                <w:bCs/>
                <w:color w:val="000000"/>
                <w:sz w:val="24"/>
                <w:szCs w:val="24"/>
                <w:lang w:val="en-US" w:eastAsia="zh-CN"/>
              </w:rPr>
              <w:t>、危险废物：废机油。</w:t>
            </w:r>
          </w:p>
          <w:p w14:paraId="17A9C8D5">
            <w:pPr>
              <w:spacing w:line="360" w:lineRule="auto"/>
              <w:ind w:firstLine="480" w:firstLineChars="200"/>
              <w:rPr>
                <w:rFonts w:hint="eastAsia" w:cs="Times New Roman" w:eastAsiaTheme="minorEastAsia"/>
                <w:bCs/>
                <w:color w:val="000000"/>
                <w:sz w:val="24"/>
                <w:szCs w:val="24"/>
                <w:lang w:val="en-US" w:eastAsia="zh-CN"/>
              </w:rPr>
            </w:pPr>
            <w:r>
              <w:rPr>
                <w:rFonts w:hint="eastAsia" w:cs="Times New Roman" w:eastAsiaTheme="minorEastAsia"/>
                <w:bCs/>
                <w:color w:val="000000"/>
                <w:sz w:val="24"/>
                <w:szCs w:val="24"/>
                <w:lang w:val="en-US" w:eastAsia="zh-CN"/>
              </w:rPr>
              <w:t>1、生活垃圾：集中收集后交由环卫部门清运处理。</w:t>
            </w:r>
          </w:p>
          <w:p w14:paraId="2B41215D">
            <w:pPr>
              <w:spacing w:line="360" w:lineRule="auto"/>
              <w:ind w:firstLine="480" w:firstLineChars="200"/>
              <w:rPr>
                <w:rFonts w:hint="eastAsia" w:cs="Times New Roman" w:eastAsiaTheme="minorEastAsia"/>
                <w:bCs/>
                <w:color w:val="000000"/>
                <w:sz w:val="24"/>
                <w:szCs w:val="24"/>
                <w:lang w:val="en-US" w:eastAsia="zh-CN"/>
              </w:rPr>
            </w:pPr>
            <w:r>
              <w:rPr>
                <w:rFonts w:hint="eastAsia" w:cs="Times New Roman" w:eastAsiaTheme="minorEastAsia"/>
                <w:bCs/>
                <w:color w:val="000000"/>
                <w:sz w:val="24"/>
                <w:szCs w:val="24"/>
                <w:lang w:val="en-US" w:eastAsia="zh-CN"/>
              </w:rPr>
              <w:t>2、不合格免烧砖：收集后破碎回用于搅拌工序，不外排。</w:t>
            </w:r>
          </w:p>
          <w:p w14:paraId="63C6B28F">
            <w:pPr>
              <w:spacing w:line="360" w:lineRule="auto"/>
              <w:ind w:firstLine="480" w:firstLineChars="200"/>
              <w:rPr>
                <w:rFonts w:hint="eastAsia" w:cs="Times New Roman" w:eastAsiaTheme="minorEastAsia"/>
                <w:bCs/>
                <w:color w:val="000000"/>
                <w:sz w:val="24"/>
                <w:szCs w:val="24"/>
                <w:lang w:val="en-US" w:eastAsia="zh-CN"/>
              </w:rPr>
            </w:pPr>
            <w:r>
              <w:rPr>
                <w:rFonts w:hint="eastAsia" w:cs="Times New Roman" w:eastAsiaTheme="minorEastAsia"/>
                <w:bCs/>
                <w:color w:val="000000"/>
                <w:sz w:val="24"/>
                <w:szCs w:val="24"/>
                <w:lang w:val="en-US" w:eastAsia="zh-CN"/>
              </w:rPr>
              <w:t>3、除尘器收集颗粒物：收集后回用于搅拌工序。</w:t>
            </w:r>
          </w:p>
          <w:p w14:paraId="14A88192">
            <w:pPr>
              <w:spacing w:line="360" w:lineRule="auto"/>
              <w:ind w:firstLine="480" w:firstLineChars="200"/>
              <w:rPr>
                <w:rFonts w:hint="eastAsia" w:cs="Times New Roman" w:eastAsiaTheme="minorEastAsia"/>
                <w:bCs/>
                <w:color w:val="000000"/>
                <w:sz w:val="24"/>
                <w:szCs w:val="24"/>
                <w:lang w:val="en-US" w:eastAsia="zh-CN"/>
              </w:rPr>
            </w:pPr>
            <w:r>
              <w:rPr>
                <w:rFonts w:hint="eastAsia" w:cs="Times New Roman" w:eastAsiaTheme="minorEastAsia"/>
                <w:bCs/>
                <w:color w:val="000000"/>
                <w:sz w:val="24"/>
                <w:szCs w:val="24"/>
                <w:lang w:val="en-US" w:eastAsia="zh-CN"/>
              </w:rPr>
              <w:t>4、废弃桶、废包装袋：收集后外售综合利用。</w:t>
            </w:r>
          </w:p>
          <w:p w14:paraId="1FCAAC9B">
            <w:pPr>
              <w:spacing w:line="360" w:lineRule="auto"/>
              <w:ind w:firstLine="480" w:firstLineChars="200"/>
              <w:rPr>
                <w:rFonts w:hint="eastAsia" w:ascii="Times New Roman" w:hAnsi="Times New Roman" w:cs="Times New Roman" w:eastAsiaTheme="minorEastAsia"/>
                <w:bCs/>
                <w:color w:val="000000"/>
                <w:sz w:val="24"/>
                <w:szCs w:val="24"/>
                <w:lang w:val="en-US" w:eastAsia="zh-CN"/>
              </w:rPr>
            </w:pPr>
            <w:r>
              <w:rPr>
                <w:rFonts w:hint="eastAsia" w:ascii="Times New Roman" w:hAnsi="Times New Roman" w:cs="Times New Roman" w:eastAsiaTheme="minorEastAsia"/>
                <w:bCs/>
                <w:color w:val="000000"/>
                <w:sz w:val="24"/>
                <w:szCs w:val="24"/>
                <w:lang w:val="en-US" w:eastAsia="zh-CN"/>
              </w:rPr>
              <w:t>5、沉淀池沉渣：定期清掏回用于物料混合搅拌工序。</w:t>
            </w:r>
          </w:p>
          <w:p w14:paraId="645B1739">
            <w:pPr>
              <w:spacing w:line="360" w:lineRule="auto"/>
              <w:ind w:firstLine="480" w:firstLineChars="200"/>
              <w:rPr>
                <w:rFonts w:hint="eastAsia" w:ascii="Times New Roman" w:hAnsi="Times New Roman" w:cs="Times New Roman" w:eastAsiaTheme="minorEastAsia"/>
                <w:bCs/>
                <w:color w:val="000000"/>
                <w:sz w:val="24"/>
                <w:szCs w:val="24"/>
                <w:lang w:val="en-US" w:eastAsia="zh-CN"/>
              </w:rPr>
            </w:pPr>
            <w:r>
              <w:rPr>
                <w:rFonts w:hint="eastAsia" w:ascii="Times New Roman" w:hAnsi="Times New Roman" w:cs="Times New Roman" w:eastAsiaTheme="minorEastAsia"/>
                <w:bCs/>
                <w:color w:val="000000"/>
                <w:sz w:val="24"/>
                <w:szCs w:val="24"/>
                <w:lang w:val="en-US" w:eastAsia="zh-CN"/>
              </w:rPr>
              <w:t>6、废机油：委托有危废处理资质单位处置。</w:t>
            </w:r>
          </w:p>
          <w:p w14:paraId="4A106CC3">
            <w:pPr>
              <w:pStyle w:val="2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原</w:t>
            </w:r>
            <w:r>
              <w:rPr>
                <w:rFonts w:hint="default" w:ascii="Times New Roman" w:hAnsi="Times New Roman" w:eastAsia="宋体" w:cs="Times New Roman"/>
                <w:b w:val="0"/>
                <w:bCs w:val="0"/>
                <w:color w:val="auto"/>
                <w:sz w:val="24"/>
                <w:szCs w:val="24"/>
                <w:lang w:val="en-US" w:eastAsia="zh-CN"/>
              </w:rPr>
              <w:t>项目生产产生的各种固体废弃物都能得到有效回收利用或处置，一般固废执行《一般工业固体废物贮存、处置场污染控制标准》（GB18599-2001）及2013年修改单中的有关规定；危险废物执行《危险废物贮存污染控制标准》（GB18597-20</w:t>
            </w:r>
            <w:r>
              <w:rPr>
                <w:rFonts w:hint="eastAsia" w:ascii="Times New Roman" w:hAnsi="Times New Roman" w:cs="Times New Roman"/>
                <w:b w:val="0"/>
                <w:bCs w:val="0"/>
                <w:color w:val="auto"/>
                <w:sz w:val="24"/>
                <w:szCs w:val="24"/>
                <w:lang w:val="en-US" w:eastAsia="zh-CN"/>
              </w:rPr>
              <w:t>23</w:t>
            </w:r>
            <w:r>
              <w:rPr>
                <w:rFonts w:hint="default" w:ascii="Times New Roman" w:hAnsi="Times New Roman" w:eastAsia="宋体" w:cs="Times New Roman"/>
                <w:b w:val="0"/>
                <w:bCs w:val="0"/>
                <w:color w:val="auto"/>
                <w:sz w:val="24"/>
                <w:szCs w:val="24"/>
                <w:lang w:val="en-US" w:eastAsia="zh-CN"/>
              </w:rPr>
              <w:t>）中的有关规定。</w:t>
            </w:r>
          </w:p>
          <w:p w14:paraId="61A7A81B">
            <w:pPr>
              <w:pStyle w:val="14"/>
              <w:keepNext w:val="0"/>
              <w:keepLines w:val="0"/>
              <w:pageBreakBefore w:val="0"/>
              <w:widowControl/>
              <w:kinsoku/>
              <w:wordWrap/>
              <w:overflowPunct/>
              <w:topLinePunct w:val="0"/>
              <w:autoSpaceDE/>
              <w:autoSpaceDN/>
              <w:bidi w:val="0"/>
              <w:adjustRightInd/>
              <w:snapToGrid w:val="0"/>
              <w:spacing w:before="157" w:beforeLines="50" w:after="0" w:line="360" w:lineRule="auto"/>
              <w:ind w:right="0"/>
              <w:jc w:val="center"/>
              <w:textAlignment w:val="auto"/>
              <w:rPr>
                <w:rFonts w:hint="eastAsia"/>
                <w:b w:val="0"/>
                <w:color w:val="000000" w:themeColor="text1"/>
                <w:kern w:val="2"/>
                <w:sz w:val="24"/>
                <w:szCs w:val="24"/>
                <w:highlight w:val="none"/>
                <w:lang w:val="en-US" w:eastAsia="zh-CN" w:bidi="ar-SA"/>
                <w14:textFill>
                  <w14:solidFill>
                    <w14:schemeClr w14:val="tx1"/>
                  </w14:solidFill>
                </w14:textFill>
              </w:rPr>
            </w:pPr>
            <w:r>
              <w:rPr>
                <w:rFonts w:hint="eastAsia"/>
                <w:b/>
                <w:bCs/>
                <w:color w:val="000000" w:themeColor="text1"/>
                <w:kern w:val="2"/>
                <w:sz w:val="24"/>
                <w:szCs w:val="24"/>
                <w:highlight w:val="none"/>
                <w:lang w:val="en-US" w:eastAsia="zh-CN" w:bidi="ar-SA"/>
                <w14:textFill>
                  <w14:solidFill>
                    <w14:schemeClr w14:val="tx1"/>
                  </w14:solidFill>
                </w14:textFill>
              </w:rPr>
              <w:t>表2-14 原有项目污染物排放量的汇总表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808"/>
              <w:gridCol w:w="2076"/>
              <w:gridCol w:w="2684"/>
            </w:tblGrid>
            <w:tr w14:paraId="17D8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07" w:type="pct"/>
                  <w:vAlign w:val="center"/>
                </w:tcPr>
                <w:p w14:paraId="553FE2DA">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154" w:type="pct"/>
                  <w:vAlign w:val="center"/>
                </w:tcPr>
                <w:p w14:paraId="4F5AB701">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1325" w:type="pct"/>
                  <w:vAlign w:val="center"/>
                </w:tcPr>
                <w:p w14:paraId="578B0903">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改建</w:t>
                  </w:r>
                  <w:r>
                    <w:rPr>
                      <w:rFonts w:hint="default" w:ascii="Times New Roman" w:hAnsi="Times New Roman" w:eastAsia="宋体" w:cs="Times New Roman"/>
                      <w:color w:val="auto"/>
                      <w:sz w:val="21"/>
                      <w:szCs w:val="21"/>
                      <w:highlight w:val="none"/>
                    </w:rPr>
                    <w:t>前排放量</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eastAsia="zh-CN"/>
                    </w:rPr>
                    <w:t>）</w:t>
                  </w:r>
                </w:p>
              </w:tc>
              <w:tc>
                <w:tcPr>
                  <w:tcW w:w="1713" w:type="pct"/>
                  <w:vAlign w:val="center"/>
                </w:tcPr>
                <w:p w14:paraId="3DD2019C">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治理措施</w:t>
                  </w:r>
                </w:p>
              </w:tc>
            </w:tr>
            <w:tr w14:paraId="7921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restart"/>
                  <w:shd w:val="clear" w:color="auto" w:fill="auto"/>
                  <w:vAlign w:val="center"/>
                </w:tcPr>
                <w:p w14:paraId="39E4EB98">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154" w:type="pct"/>
                  <w:shd w:val="clear" w:color="auto" w:fill="auto"/>
                  <w:vAlign w:val="center"/>
                </w:tcPr>
                <w:p w14:paraId="27B15A56">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highlight w:val="none"/>
                      <w:lang w:val="en-US" w:eastAsia="zh-CN"/>
                    </w:rPr>
                    <w:t>水泥仓</w:t>
                  </w:r>
                  <w:r>
                    <w:rPr>
                      <w:rFonts w:hint="eastAsia" w:eastAsia="宋体"/>
                      <w:color w:val="auto"/>
                      <w:sz w:val="21"/>
                      <w:szCs w:val="21"/>
                      <w:highlight w:val="none"/>
                      <w:lang w:val="en-US" w:eastAsia="zh-CN"/>
                    </w:rPr>
                    <w:t>废气</w:t>
                  </w:r>
                </w:p>
              </w:tc>
              <w:tc>
                <w:tcPr>
                  <w:tcW w:w="1325" w:type="pct"/>
                  <w:shd w:val="clear" w:color="auto" w:fill="auto"/>
                  <w:vAlign w:val="center"/>
                </w:tcPr>
                <w:p w14:paraId="48825239">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w:t>
                  </w:r>
                </w:p>
              </w:tc>
              <w:tc>
                <w:tcPr>
                  <w:tcW w:w="1713" w:type="pct"/>
                  <w:shd w:val="clear" w:color="auto" w:fill="auto"/>
                  <w:vAlign w:val="center"/>
                </w:tcPr>
                <w:p w14:paraId="3EAA2B6D">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引风机+脉冲除尘器+15m高排气筒（DA001）排放</w:t>
                  </w:r>
                </w:p>
              </w:tc>
            </w:tr>
            <w:tr w14:paraId="5E73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continue"/>
                  <w:shd w:val="clear" w:color="auto" w:fill="auto"/>
                  <w:vAlign w:val="center"/>
                </w:tcPr>
                <w:p w14:paraId="74FD21F5">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154" w:type="pct"/>
                  <w:shd w:val="clear" w:color="auto" w:fill="auto"/>
                  <w:vAlign w:val="center"/>
                </w:tcPr>
                <w:p w14:paraId="2292878B">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lang w:eastAsia="zh-CN"/>
                    </w:rPr>
                    <w:t>投料、</w:t>
                  </w:r>
                  <w:r>
                    <w:rPr>
                      <w:color w:val="auto"/>
                      <w:szCs w:val="21"/>
                    </w:rPr>
                    <w:t>物料混合搅拌</w:t>
                  </w:r>
                  <w:r>
                    <w:rPr>
                      <w:rFonts w:hint="eastAsia"/>
                      <w:color w:val="auto"/>
                      <w:szCs w:val="21"/>
                      <w:lang w:eastAsia="zh-CN"/>
                    </w:rPr>
                    <w:t>废气、</w:t>
                  </w:r>
                  <w:r>
                    <w:rPr>
                      <w:color w:val="auto"/>
                      <w:szCs w:val="21"/>
                    </w:rPr>
                    <w:t>不合格品破碎</w:t>
                  </w:r>
                  <w:r>
                    <w:rPr>
                      <w:rFonts w:hint="eastAsia"/>
                      <w:color w:val="auto"/>
                      <w:szCs w:val="21"/>
                      <w:lang w:eastAsia="zh-CN"/>
                    </w:rPr>
                    <w:t>废气</w:t>
                  </w:r>
                </w:p>
              </w:tc>
              <w:tc>
                <w:tcPr>
                  <w:tcW w:w="1325" w:type="pct"/>
                  <w:shd w:val="clear" w:color="auto" w:fill="auto"/>
                  <w:vAlign w:val="center"/>
                </w:tcPr>
                <w:p w14:paraId="6B1F9236">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0.06</w:t>
                  </w:r>
                </w:p>
              </w:tc>
              <w:tc>
                <w:tcPr>
                  <w:tcW w:w="1713" w:type="pct"/>
                  <w:shd w:val="clear" w:color="auto" w:fill="auto"/>
                  <w:vAlign w:val="center"/>
                </w:tcPr>
                <w:p w14:paraId="7055F3CA">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集气罩</w:t>
                  </w:r>
                  <w:r>
                    <w:rPr>
                      <w:rFonts w:hint="default"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eastAsia="zh-CN"/>
                    </w:rPr>
                    <w:t>脉冲</w:t>
                  </w:r>
                  <w:r>
                    <w:rPr>
                      <w:rFonts w:hint="default" w:ascii="Times New Roman" w:hAnsi="Times New Roman" w:eastAsia="宋体" w:cs="Times New Roman"/>
                      <w:color w:val="auto"/>
                      <w:kern w:val="2"/>
                      <w:sz w:val="21"/>
                      <w:szCs w:val="21"/>
                      <w:highlight w:val="none"/>
                    </w:rPr>
                    <w:t>除尘器</w:t>
                  </w:r>
                  <w:r>
                    <w:rPr>
                      <w:rFonts w:hint="default"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rPr>
                    <w:t>15m高排气筒（DA00</w:t>
                  </w:r>
                  <w:r>
                    <w:rPr>
                      <w:rFonts w:hint="default"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w:t>
                  </w:r>
                  <w:r>
                    <w:rPr>
                      <w:rFonts w:hint="eastAsia" w:ascii="Times New Roman" w:cs="Times New Roman"/>
                      <w:color w:val="auto"/>
                      <w:kern w:val="2"/>
                      <w:sz w:val="21"/>
                      <w:szCs w:val="21"/>
                      <w:highlight w:val="none"/>
                      <w:lang w:eastAsia="zh-CN"/>
                    </w:rPr>
                    <w:t>排放</w:t>
                  </w:r>
                </w:p>
              </w:tc>
            </w:tr>
            <w:tr w14:paraId="67F7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shd w:val="clear" w:color="auto" w:fill="auto"/>
                  <w:vAlign w:val="center"/>
                </w:tcPr>
                <w:p w14:paraId="3C0FDCF9">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54" w:type="pct"/>
                  <w:shd w:val="clear" w:color="auto" w:fill="auto"/>
                  <w:vAlign w:val="center"/>
                </w:tcPr>
                <w:p w14:paraId="00FDFB89">
                  <w:pPr>
                    <w:keepNext w:val="0"/>
                    <w:keepLines w:val="0"/>
                    <w:pageBreakBefore w:val="0"/>
                    <w:kinsoku/>
                    <w:wordWrap/>
                    <w:overflowPunct/>
                    <w:topLinePunct w:val="0"/>
                    <w:bidi w:val="0"/>
                    <w:adjustRightInd w:val="0"/>
                    <w:snapToGrid w:val="0"/>
                    <w:spacing w:line="240" w:lineRule="auto"/>
                    <w:ind w:lef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废水排放量</w:t>
                  </w:r>
                </w:p>
              </w:tc>
              <w:tc>
                <w:tcPr>
                  <w:tcW w:w="1325" w:type="pct"/>
                  <w:shd w:val="clear" w:color="auto" w:fill="auto"/>
                  <w:vAlign w:val="center"/>
                </w:tcPr>
                <w:p w14:paraId="60431922">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713" w:type="pct"/>
                  <w:shd w:val="clear" w:color="auto" w:fill="auto"/>
                  <w:vAlign w:val="center"/>
                </w:tcPr>
                <w:p w14:paraId="186A5310">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排水实行雨污分流制：雨水经厂区雨水管网排入市政雨水管网；废水经化粪池</w:t>
                  </w:r>
                  <w:r>
                    <w:rPr>
                      <w:rFonts w:hint="eastAsia" w:cs="Times New Roman"/>
                      <w:color w:val="auto"/>
                      <w:sz w:val="21"/>
                      <w:szCs w:val="21"/>
                      <w:highlight w:val="none"/>
                      <w:lang w:eastAsia="zh-CN"/>
                    </w:rPr>
                    <w:t>处理后定期清掏</w:t>
                  </w:r>
                  <w:r>
                    <w:rPr>
                      <w:rFonts w:hint="default" w:ascii="Times New Roman" w:hAnsi="Times New Roman" w:eastAsia="宋体" w:cs="Times New Roman"/>
                      <w:color w:val="auto"/>
                      <w:sz w:val="21"/>
                      <w:szCs w:val="21"/>
                      <w:highlight w:val="none"/>
                    </w:rPr>
                    <w:t>。</w:t>
                  </w:r>
                </w:p>
              </w:tc>
            </w:tr>
            <w:tr w14:paraId="546E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shd w:val="clear" w:color="auto" w:fill="auto"/>
                  <w:vAlign w:val="center"/>
                </w:tcPr>
                <w:p w14:paraId="469D8F0C">
                  <w:pPr>
                    <w:pStyle w:val="33"/>
                    <w:keepNext w:val="0"/>
                    <w:keepLines w:val="0"/>
                    <w:pageBreakBefore w:val="0"/>
                    <w:numPr>
                      <w:ilvl w:val="1"/>
                      <w:numId w:val="0"/>
                    </w:numPr>
                    <w:kinsoku/>
                    <w:wordWrap/>
                    <w:overflowPunct/>
                    <w:topLinePunct w:val="0"/>
                    <w:bidi w:val="0"/>
                    <w:snapToGrid w:val="0"/>
                    <w:spacing w:line="240" w:lineRule="auto"/>
                    <w:ind w:lef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1154" w:type="pct"/>
                  <w:shd w:val="clear" w:color="auto" w:fill="auto"/>
                  <w:vAlign w:val="center"/>
                </w:tcPr>
                <w:p w14:paraId="01852C9F">
                  <w:pPr>
                    <w:keepNext w:val="0"/>
                    <w:keepLines w:val="0"/>
                    <w:pageBreakBefore w:val="0"/>
                    <w:kinsoku/>
                    <w:wordWrap/>
                    <w:overflowPunct/>
                    <w:topLinePunct w:val="0"/>
                    <w:bidi w:val="0"/>
                    <w:adjustRightInd w:val="0"/>
                    <w:snapToGrid w:val="0"/>
                    <w:spacing w:line="240" w:lineRule="auto"/>
                    <w:ind w:left="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325" w:type="pct"/>
                  <w:shd w:val="clear" w:color="auto" w:fill="auto"/>
                  <w:vAlign w:val="center"/>
                </w:tcPr>
                <w:p w14:paraId="6A0DC643">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713" w:type="pct"/>
                  <w:shd w:val="clear" w:color="auto" w:fill="auto"/>
                  <w:vAlign w:val="center"/>
                </w:tcPr>
                <w:p w14:paraId="66C65F15">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厂房隔声和距离减震降噪</w:t>
                  </w:r>
                  <w:r>
                    <w:rPr>
                      <w:rFonts w:hint="eastAsia"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lang w:val="en-US" w:eastAsia="zh-CN"/>
                    </w:rPr>
                    <w:t>措施</w:t>
                  </w:r>
                </w:p>
              </w:tc>
            </w:tr>
            <w:tr w14:paraId="0D8A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restart"/>
                  <w:shd w:val="clear" w:color="auto" w:fill="auto"/>
                  <w:vAlign w:val="center"/>
                </w:tcPr>
                <w:p w14:paraId="3C0B3C30">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154" w:type="pct"/>
                  <w:shd w:val="clear" w:color="auto" w:fill="auto"/>
                  <w:vAlign w:val="center"/>
                </w:tcPr>
                <w:p w14:paraId="320389D6">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color w:val="auto"/>
                      <w:spacing w:val="0"/>
                      <w:kern w:val="0"/>
                      <w:position w:val="0"/>
                      <w:sz w:val="21"/>
                      <w:szCs w:val="21"/>
                      <w:highlight w:val="none"/>
                      <w:lang w:val="en-US" w:eastAsia="zh-CN" w:bidi="en-US"/>
                    </w:rPr>
                  </w:pPr>
                  <w:r>
                    <w:rPr>
                      <w:rFonts w:hint="eastAsia" w:ascii="Times New Roman" w:hAnsi="Times New Roman" w:cs="Times New Roman"/>
                      <w:b w:val="0"/>
                      <w:bCs/>
                      <w:color w:val="auto"/>
                      <w:kern w:val="2"/>
                      <w:sz w:val="21"/>
                      <w:szCs w:val="21"/>
                      <w:vertAlign w:val="baseline"/>
                      <w:lang w:eastAsia="zh-CN" w:bidi="ar-SA"/>
                    </w:rPr>
                    <w:t>生活垃圾</w:t>
                  </w:r>
                </w:p>
              </w:tc>
              <w:tc>
                <w:tcPr>
                  <w:tcW w:w="2076" w:type="dxa"/>
                  <w:shd w:val="clear" w:color="auto" w:fill="auto"/>
                  <w:vAlign w:val="center"/>
                </w:tcPr>
                <w:p w14:paraId="059CDCB6">
                  <w:pPr>
                    <w:adjustRightInd w:val="0"/>
                    <w:snapToGrid w:val="0"/>
                    <w:jc w:val="center"/>
                    <w:rPr>
                      <w:rFonts w:hint="default" w:ascii="Times New Roman" w:hAnsi="Times New Roman" w:eastAsia="宋体" w:cs="Times New Roman"/>
                      <w:color w:val="auto"/>
                      <w:kern w:val="0"/>
                      <w:sz w:val="21"/>
                      <w:szCs w:val="21"/>
                      <w:highlight w:val="none"/>
                      <w:lang w:val="en-US" w:eastAsia="zh-CN" w:bidi="en-US"/>
                    </w:rPr>
                  </w:pPr>
                  <w:r>
                    <w:rPr>
                      <w:rFonts w:hint="eastAsia"/>
                      <w:kern w:val="0"/>
                      <w:szCs w:val="21"/>
                      <w:lang w:val="en-US" w:eastAsia="zh-CN"/>
                    </w:rPr>
                    <w:t>1.5</w:t>
                  </w:r>
                </w:p>
              </w:tc>
              <w:tc>
                <w:tcPr>
                  <w:tcW w:w="2684" w:type="dxa"/>
                  <w:shd w:val="clear" w:color="auto" w:fill="auto"/>
                  <w:vAlign w:val="center"/>
                </w:tcPr>
                <w:p w14:paraId="763E0499">
                  <w:pPr>
                    <w:adjustRightInd w:val="0"/>
                    <w:snapToGrid w:val="0"/>
                    <w:jc w:val="center"/>
                    <w:rPr>
                      <w:rFonts w:hint="default" w:ascii="Calibri" w:hAnsi="Calibri" w:eastAsia="宋体" w:cs="Times New Roman"/>
                      <w:snapToGrid/>
                      <w:color w:val="000000" w:themeColor="text1"/>
                      <w:spacing w:val="0"/>
                      <w:kern w:val="0"/>
                      <w:position w:val="0"/>
                      <w:sz w:val="21"/>
                      <w:szCs w:val="21"/>
                      <w:lang w:val="en-US" w:eastAsia="zh-CN" w:bidi="en-US"/>
                      <w14:textFill>
                        <w14:solidFill>
                          <w14:schemeClr w14:val="tx1"/>
                        </w14:solidFill>
                      </w14:textFill>
                    </w:rPr>
                  </w:pPr>
                  <w:r>
                    <w:rPr>
                      <w:kern w:val="0"/>
                      <w:szCs w:val="21"/>
                    </w:rPr>
                    <w:t>环卫部门</w:t>
                  </w:r>
                </w:p>
              </w:tc>
            </w:tr>
            <w:tr w14:paraId="6F39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continue"/>
                  <w:shd w:val="clear" w:color="auto" w:fill="auto"/>
                  <w:vAlign w:val="center"/>
                </w:tcPr>
                <w:p w14:paraId="5F645F7E">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p>
              </w:tc>
              <w:tc>
                <w:tcPr>
                  <w:tcW w:w="1154" w:type="pct"/>
                  <w:shd w:val="clear" w:color="auto" w:fill="auto"/>
                  <w:vAlign w:val="center"/>
                </w:tcPr>
                <w:p w14:paraId="7DF6D0A7">
                  <w:pPr>
                    <w:jc w:val="center"/>
                    <w:rPr>
                      <w:rFonts w:hint="eastAsia"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eastAsia"/>
                      <w:kern w:val="0"/>
                      <w:szCs w:val="21"/>
                    </w:rPr>
                    <w:t>废弃桶、废包装袋</w:t>
                  </w:r>
                </w:p>
              </w:tc>
              <w:tc>
                <w:tcPr>
                  <w:tcW w:w="2076" w:type="dxa"/>
                  <w:shd w:val="clear" w:color="auto" w:fill="auto"/>
                  <w:vAlign w:val="center"/>
                </w:tcPr>
                <w:p w14:paraId="45D6B038">
                  <w:pPr>
                    <w:adjustRightInd w:val="0"/>
                    <w:snapToGrid w:val="0"/>
                    <w:jc w:val="center"/>
                    <w:rPr>
                      <w:rFonts w:hint="eastAsia" w:ascii="Times New Roman" w:hAnsi="Times New Roman" w:eastAsia="宋体" w:cs="Times New Roman"/>
                      <w:color w:val="auto"/>
                      <w:kern w:val="0"/>
                      <w:sz w:val="21"/>
                      <w:szCs w:val="21"/>
                      <w:highlight w:val="none"/>
                      <w:lang w:val="en-US" w:eastAsia="zh-CN" w:bidi="en-US"/>
                    </w:rPr>
                  </w:pPr>
                  <w:r>
                    <w:rPr>
                      <w:rFonts w:hint="eastAsia"/>
                      <w:kern w:val="0"/>
                      <w:szCs w:val="21"/>
                      <w:lang w:val="en-US" w:eastAsia="zh-CN"/>
                    </w:rPr>
                    <w:t>1.2</w:t>
                  </w:r>
                </w:p>
              </w:tc>
              <w:tc>
                <w:tcPr>
                  <w:tcW w:w="2684" w:type="dxa"/>
                  <w:shd w:val="clear" w:color="auto" w:fill="auto"/>
                  <w:vAlign w:val="center"/>
                </w:tcPr>
                <w:p w14:paraId="63E2A97C">
                  <w:pPr>
                    <w:adjustRightInd w:val="0"/>
                    <w:snapToGrid w:val="0"/>
                    <w:jc w:val="center"/>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pPr>
                  <w:r>
                    <w:rPr>
                      <w:kern w:val="0"/>
                      <w:szCs w:val="21"/>
                    </w:rPr>
                    <w:t>物资回收部门回收利用</w:t>
                  </w:r>
                </w:p>
              </w:tc>
            </w:tr>
            <w:tr w14:paraId="5EA4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continue"/>
                  <w:shd w:val="clear" w:color="auto" w:fill="auto"/>
                  <w:vAlign w:val="center"/>
                </w:tcPr>
                <w:p w14:paraId="3037ED8C">
                  <w:pPr>
                    <w:pStyle w:val="33"/>
                    <w:keepNext w:val="0"/>
                    <w:keepLines w:val="0"/>
                    <w:pageBreakBefore w:val="0"/>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154" w:type="pct"/>
                  <w:shd w:val="clear" w:color="auto" w:fill="auto"/>
                  <w:vAlign w:val="center"/>
                </w:tcPr>
                <w:p w14:paraId="3BA2A16A">
                  <w:pPr>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kern w:val="0"/>
                      <w:szCs w:val="21"/>
                    </w:rPr>
                    <w:t>除尘器收集</w:t>
                  </w:r>
                  <w:r>
                    <w:rPr>
                      <w:rFonts w:hint="eastAsia"/>
                      <w:kern w:val="0"/>
                      <w:szCs w:val="21"/>
                      <w:lang w:eastAsia="zh-CN"/>
                    </w:rPr>
                    <w:t>颗粒物</w:t>
                  </w:r>
                </w:p>
              </w:tc>
              <w:tc>
                <w:tcPr>
                  <w:tcW w:w="2076" w:type="dxa"/>
                  <w:shd w:val="clear" w:color="auto" w:fill="auto"/>
                  <w:vAlign w:val="center"/>
                </w:tcPr>
                <w:p w14:paraId="29E74125">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kern w:val="0"/>
                      <w:szCs w:val="21"/>
                      <w:lang w:val="en-US" w:eastAsia="zh-CN"/>
                    </w:rPr>
                    <w:t>51</w:t>
                  </w:r>
                </w:p>
              </w:tc>
              <w:tc>
                <w:tcPr>
                  <w:tcW w:w="2684" w:type="dxa"/>
                  <w:shd w:val="clear" w:color="auto" w:fill="auto"/>
                  <w:vAlign w:val="center"/>
                </w:tcPr>
                <w:p w14:paraId="3392B4B7">
                  <w:pPr>
                    <w:adjustRightInd w:val="0"/>
                    <w:snapToGrid w:val="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olor w:val="auto"/>
                      <w:kern w:val="0"/>
                      <w:szCs w:val="21"/>
                    </w:rPr>
                    <w:t>回用</w:t>
                  </w:r>
                </w:p>
              </w:tc>
            </w:tr>
            <w:tr w14:paraId="28D5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continue"/>
                  <w:shd w:val="clear" w:color="auto" w:fill="auto"/>
                  <w:vAlign w:val="center"/>
                </w:tcPr>
                <w:p w14:paraId="06EE9D6A">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154" w:type="pct"/>
                  <w:shd w:val="clear" w:color="auto" w:fill="auto"/>
                  <w:vAlign w:val="center"/>
                </w:tcPr>
                <w:p w14:paraId="23519DA0">
                  <w:pPr>
                    <w:jc w:val="center"/>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val="zh-CN" w:eastAsia="zh-CN" w:bidi="ar-SA"/>
                      <w14:textFill>
                        <w14:solidFill>
                          <w14:schemeClr w14:val="tx1"/>
                        </w14:solidFill>
                      </w14:textFill>
                    </w:rPr>
                  </w:pPr>
                  <w:r>
                    <w:rPr>
                      <w:rFonts w:hint="eastAsia"/>
                      <w:kern w:val="0"/>
                      <w:szCs w:val="21"/>
                    </w:rPr>
                    <w:t>不合格品</w:t>
                  </w:r>
                </w:p>
              </w:tc>
              <w:tc>
                <w:tcPr>
                  <w:tcW w:w="2076" w:type="dxa"/>
                  <w:shd w:val="clear" w:color="auto" w:fill="auto"/>
                  <w:vAlign w:val="center"/>
                </w:tcPr>
                <w:p w14:paraId="41C985DC">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olor w:val="auto"/>
                      <w:kern w:val="0"/>
                      <w:szCs w:val="21"/>
                      <w:lang w:val="en-US" w:eastAsia="zh-CN"/>
                    </w:rPr>
                    <w:t>100</w:t>
                  </w:r>
                </w:p>
              </w:tc>
              <w:tc>
                <w:tcPr>
                  <w:tcW w:w="2684" w:type="dxa"/>
                  <w:shd w:val="clear" w:color="auto" w:fill="auto"/>
                  <w:vAlign w:val="center"/>
                </w:tcPr>
                <w:p w14:paraId="2B01C71B">
                  <w:pPr>
                    <w:adjustRightInd w:val="0"/>
                    <w:snapToGrid w:val="0"/>
                    <w:jc w:val="center"/>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eastAsia"/>
                      <w:color w:val="auto"/>
                      <w:kern w:val="0"/>
                      <w:szCs w:val="21"/>
                    </w:rPr>
                    <w:t>破碎后</w:t>
                  </w:r>
                  <w:r>
                    <w:rPr>
                      <w:rFonts w:hint="eastAsia"/>
                      <w:color w:val="auto"/>
                      <w:kern w:val="0"/>
                      <w:szCs w:val="21"/>
                      <w:lang w:eastAsia="zh-CN"/>
                    </w:rPr>
                    <w:t>回用于工序</w:t>
                  </w:r>
                </w:p>
              </w:tc>
            </w:tr>
            <w:tr w14:paraId="67F0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continue"/>
                  <w:shd w:val="clear" w:color="auto" w:fill="auto"/>
                  <w:vAlign w:val="center"/>
                </w:tcPr>
                <w:p w14:paraId="3FF5437C">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154" w:type="pct"/>
                  <w:shd w:val="clear" w:color="auto" w:fill="auto"/>
                  <w:vAlign w:val="center"/>
                </w:tcPr>
                <w:p w14:paraId="676A3AA2">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napToGrid/>
                      <w:color w:val="auto"/>
                      <w:spacing w:val="0"/>
                      <w:kern w:val="0"/>
                      <w:position w:val="0"/>
                      <w:sz w:val="21"/>
                      <w:szCs w:val="21"/>
                      <w:highlight w:val="none"/>
                      <w:lang w:val="zh-CN" w:eastAsia="zh-CN" w:bidi="ar-SA"/>
                    </w:rPr>
                  </w:pPr>
                  <w:r>
                    <w:rPr>
                      <w:rFonts w:hint="eastAsia"/>
                      <w:kern w:val="0"/>
                      <w:szCs w:val="21"/>
                      <w:lang w:eastAsia="zh-CN"/>
                    </w:rPr>
                    <w:t>沉淀池沉渣</w:t>
                  </w:r>
                </w:p>
              </w:tc>
              <w:tc>
                <w:tcPr>
                  <w:tcW w:w="2076" w:type="dxa"/>
                  <w:shd w:val="clear" w:color="auto" w:fill="auto"/>
                  <w:vAlign w:val="center"/>
                </w:tcPr>
                <w:p w14:paraId="33ABC04A">
                  <w:pPr>
                    <w:adjustRightInd w:val="0"/>
                    <w:snapToGrid w:val="0"/>
                    <w:jc w:val="center"/>
                    <w:rPr>
                      <w:rFonts w:hint="eastAsia" w:ascii="Times New Roman" w:hAnsi="Times New Roman" w:eastAsia="宋体" w:cs="Times New Roman"/>
                      <w:color w:val="auto"/>
                      <w:kern w:val="0"/>
                      <w:sz w:val="21"/>
                      <w:szCs w:val="21"/>
                      <w:highlight w:val="none"/>
                      <w:lang w:val="en-US" w:eastAsia="zh-CN" w:bidi="en-US"/>
                    </w:rPr>
                  </w:pPr>
                  <w:r>
                    <w:rPr>
                      <w:rFonts w:hint="eastAsia"/>
                      <w:kern w:val="0"/>
                      <w:szCs w:val="21"/>
                      <w:lang w:val="en-US" w:eastAsia="zh-CN"/>
                    </w:rPr>
                    <w:t>9</w:t>
                  </w:r>
                </w:p>
              </w:tc>
              <w:tc>
                <w:tcPr>
                  <w:tcW w:w="2684" w:type="dxa"/>
                  <w:shd w:val="clear" w:color="auto" w:fill="auto"/>
                  <w:vAlign w:val="center"/>
                </w:tcPr>
                <w:p w14:paraId="680147E2">
                  <w:pPr>
                    <w:adjustRightInd w:val="0"/>
                    <w:snapToGrid w:val="0"/>
                    <w:jc w:val="center"/>
                    <w:rPr>
                      <w:rFonts w:hint="eastAsia" w:ascii="Times New Roman" w:hAnsi="Times New Roman" w:eastAsia="宋体" w:cs="Times New Roman"/>
                      <w:snapToGrid/>
                      <w:color w:val="auto"/>
                      <w:spacing w:val="0"/>
                      <w:kern w:val="0"/>
                      <w:position w:val="0"/>
                      <w:sz w:val="21"/>
                      <w:szCs w:val="21"/>
                      <w:highlight w:val="none"/>
                      <w:lang w:val="en-US" w:eastAsia="zh-CN" w:bidi="ar-SA"/>
                    </w:rPr>
                  </w:pPr>
                  <w:r>
                    <w:rPr>
                      <w:rFonts w:hint="eastAsia"/>
                      <w:kern w:val="0"/>
                      <w:szCs w:val="21"/>
                      <w:lang w:eastAsia="zh-CN"/>
                    </w:rPr>
                    <w:t>回用于搅拌工序</w:t>
                  </w:r>
                </w:p>
              </w:tc>
            </w:tr>
            <w:tr w14:paraId="340D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pct"/>
                  <w:vMerge w:val="continue"/>
                  <w:shd w:val="clear" w:color="auto" w:fill="auto"/>
                  <w:vAlign w:val="center"/>
                </w:tcPr>
                <w:p w14:paraId="7366D62B">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154" w:type="pct"/>
                  <w:shd w:val="clear" w:color="auto" w:fill="auto"/>
                  <w:vAlign w:val="center"/>
                </w:tcPr>
                <w:p w14:paraId="2D872866">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kern w:val="2"/>
                      <w:sz w:val="21"/>
                      <w:szCs w:val="21"/>
                      <w:vertAlign w:val="baseline"/>
                      <w:lang w:eastAsia="zh-CN" w:bidi="ar-SA"/>
                    </w:rPr>
                  </w:pPr>
                  <w:r>
                    <w:rPr>
                      <w:rFonts w:hint="eastAsia" w:ascii="Times New Roman" w:hAnsi="Times New Roman"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废机油</w:t>
                  </w:r>
                </w:p>
              </w:tc>
              <w:tc>
                <w:tcPr>
                  <w:tcW w:w="2076" w:type="dxa"/>
                  <w:shd w:val="clear" w:color="auto" w:fill="auto"/>
                  <w:vAlign w:val="center"/>
                </w:tcPr>
                <w:p w14:paraId="45CC0425">
                  <w:pPr>
                    <w:adjustRightInd w:val="0"/>
                    <w:snapToGrid w:val="0"/>
                    <w:jc w:val="center"/>
                    <w:rPr>
                      <w:rFonts w:hint="default" w:ascii="Times New Roman" w:hAnsi="Times New Roman" w:cs="Times New Roman"/>
                      <w:b w:val="0"/>
                      <w:bCs/>
                      <w:color w:val="auto"/>
                      <w:kern w:val="2"/>
                      <w:sz w:val="21"/>
                      <w:szCs w:val="21"/>
                      <w:vertAlign w:val="baseline"/>
                      <w:lang w:val="en-US" w:eastAsia="zh-CN" w:bidi="ar-SA"/>
                    </w:rPr>
                  </w:pPr>
                  <w:r>
                    <w:rPr>
                      <w:rFonts w:hint="eastAsia"/>
                      <w:kern w:val="0"/>
                      <w:szCs w:val="21"/>
                      <w:lang w:val="en-US" w:eastAsia="zh-CN"/>
                    </w:rPr>
                    <w:t>0.15</w:t>
                  </w:r>
                </w:p>
              </w:tc>
              <w:tc>
                <w:tcPr>
                  <w:tcW w:w="2684" w:type="dxa"/>
                  <w:shd w:val="clear" w:color="auto" w:fill="auto"/>
                  <w:vAlign w:val="center"/>
                </w:tcPr>
                <w:p w14:paraId="7960F6BF">
                  <w:pPr>
                    <w:adjustRightInd w:val="0"/>
                    <w:snapToGrid w:val="0"/>
                    <w:jc w:val="center"/>
                    <w:rPr>
                      <w:rFonts w:hint="eastAsia" w:ascii="宋体" w:hAnsi="宋体" w:eastAsia="宋体" w:cs="宋体"/>
                      <w:color w:val="auto"/>
                      <w:kern w:val="0"/>
                      <w:sz w:val="21"/>
                      <w:szCs w:val="21"/>
                      <w:lang w:val="en-US" w:eastAsia="zh-CN" w:bidi="ar"/>
                    </w:rPr>
                  </w:pPr>
                  <w:r>
                    <w:rPr>
                      <w:kern w:val="0"/>
                      <w:szCs w:val="21"/>
                    </w:rPr>
                    <w:t>委托有资质单位处理</w:t>
                  </w:r>
                </w:p>
              </w:tc>
            </w:tr>
          </w:tbl>
          <w:p w14:paraId="0CE1AB2D">
            <w:pPr>
              <w:pStyle w:val="2"/>
              <w:rPr>
                <w:rFonts w:hint="eastAsia"/>
                <w:lang w:val="en-US" w:eastAsia="zh-CN"/>
              </w:rPr>
            </w:pPr>
          </w:p>
          <w:p w14:paraId="31A12A53">
            <w:pPr>
              <w:adjustRightInd w:val="0"/>
              <w:snapToGrid w:val="0"/>
              <w:spacing w:before="120" w:beforeLines="50" w:line="360" w:lineRule="auto"/>
              <w:rPr>
                <w:color w:val="auto"/>
                <w:kern w:val="0"/>
                <w:sz w:val="24"/>
                <w:szCs w:val="28"/>
                <w:highlight w:val="none"/>
              </w:rPr>
            </w:pPr>
            <w:r>
              <w:rPr>
                <w:rFonts w:hint="eastAsia"/>
                <w:b/>
                <w:bCs/>
                <w:color w:val="auto"/>
                <w:kern w:val="0"/>
                <w:sz w:val="24"/>
                <w:szCs w:val="28"/>
                <w:highlight w:val="none"/>
              </w:rPr>
              <w:t>3、与该项目有关的主要环境问题及整改措施</w:t>
            </w:r>
          </w:p>
          <w:p w14:paraId="28035E1D">
            <w:pPr>
              <w:pStyle w:val="33"/>
              <w:spacing w:line="360" w:lineRule="auto"/>
              <w:ind w:firstLine="480"/>
              <w:rPr>
                <w:rFonts w:hint="eastAsia" w:eastAsia="宋体"/>
                <w:color w:val="auto"/>
                <w:highlight w:val="none"/>
                <w:lang w:eastAsia="zh-CN"/>
              </w:rPr>
            </w:pPr>
            <w:r>
              <w:rPr>
                <w:color w:val="auto"/>
                <w:highlight w:val="none"/>
              </w:rPr>
              <w:t>（</w:t>
            </w:r>
            <w:r>
              <w:rPr>
                <w:rFonts w:hint="eastAsia"/>
                <w:color w:val="auto"/>
                <w:highlight w:val="none"/>
                <w:lang w:val="en-US" w:eastAsia="zh-CN"/>
              </w:rPr>
              <w:t>1</w:t>
            </w:r>
            <w:r>
              <w:rPr>
                <w:color w:val="auto"/>
                <w:highlight w:val="none"/>
              </w:rPr>
              <w:t>）</w:t>
            </w:r>
            <w:r>
              <w:rPr>
                <w:rFonts w:hint="eastAsia"/>
                <w:color w:val="auto"/>
                <w:highlight w:val="none"/>
                <w:lang w:eastAsia="zh-CN"/>
              </w:rPr>
              <w:t>原料棚未密闭，现场有异味</w:t>
            </w:r>
          </w:p>
          <w:p w14:paraId="138EEF5E">
            <w:pPr>
              <w:pStyle w:val="14"/>
              <w:spacing w:before="0" w:after="0" w:line="360" w:lineRule="auto"/>
              <w:ind w:firstLine="480" w:firstLineChars="200"/>
              <w:rPr>
                <w:b/>
                <w:bCs/>
                <w:color w:val="auto"/>
                <w:highlight w:val="none"/>
              </w:rPr>
            </w:pPr>
            <w:r>
              <w:rPr>
                <w:color w:val="auto"/>
                <w:sz w:val="24"/>
                <w:szCs w:val="24"/>
                <w:highlight w:val="none"/>
              </w:rPr>
              <w:t>整改措施：</w:t>
            </w:r>
            <w:r>
              <w:rPr>
                <w:rFonts w:hint="eastAsia"/>
                <w:color w:val="auto"/>
                <w:sz w:val="24"/>
                <w:szCs w:val="24"/>
                <w:highlight w:val="none"/>
                <w:lang w:eastAsia="zh-CN"/>
              </w:rPr>
              <w:t>大棚密闭</w:t>
            </w:r>
            <w:r>
              <w:rPr>
                <w:color w:val="auto"/>
                <w:sz w:val="24"/>
                <w:szCs w:val="24"/>
                <w:highlight w:val="none"/>
              </w:rPr>
              <w:t>，并制定落实安全操作规程、污染防治职责等制度，规范管理。</w:t>
            </w:r>
            <w:r>
              <w:rPr>
                <w:rFonts w:hint="eastAsia"/>
                <w:color w:val="auto"/>
                <w:sz w:val="24"/>
                <w:szCs w:val="24"/>
                <w:highlight w:val="none"/>
              </w:rPr>
              <w:t>将于将于202</w:t>
            </w:r>
            <w:r>
              <w:rPr>
                <w:rFonts w:hint="eastAsia"/>
                <w:color w:val="auto"/>
                <w:sz w:val="24"/>
                <w:szCs w:val="24"/>
                <w:highlight w:val="none"/>
                <w:lang w:val="en-US" w:eastAsia="zh-CN"/>
              </w:rPr>
              <w:t>5</w:t>
            </w:r>
            <w:r>
              <w:rPr>
                <w:rFonts w:hint="eastAsia"/>
                <w:color w:val="auto"/>
                <w:sz w:val="24"/>
                <w:szCs w:val="24"/>
                <w:highlight w:val="none"/>
              </w:rPr>
              <w:t>年7月中旬整改完毕。</w:t>
            </w:r>
          </w:p>
          <w:p w14:paraId="3E227C12">
            <w:pPr>
              <w:pStyle w:val="33"/>
              <w:spacing w:line="360" w:lineRule="auto"/>
              <w:jc w:val="center"/>
              <w:rPr>
                <w:b/>
                <w:bCs/>
                <w:color w:val="auto"/>
                <w:highlight w:val="none"/>
              </w:rPr>
            </w:pPr>
            <w:r>
              <w:rPr>
                <w:b/>
                <w:bCs/>
                <w:color w:val="auto"/>
                <w:highlight w:val="none"/>
              </w:rPr>
              <w:t>表</w:t>
            </w:r>
            <w:r>
              <w:rPr>
                <w:rFonts w:hint="eastAsia"/>
                <w:b/>
                <w:bCs/>
                <w:color w:val="auto"/>
                <w:highlight w:val="none"/>
              </w:rPr>
              <w:t>2</w:t>
            </w:r>
            <w:r>
              <w:rPr>
                <w:rFonts w:hint="eastAsia"/>
                <w:b/>
                <w:bCs/>
                <w:color w:val="auto"/>
                <w:highlight w:val="none"/>
                <w:lang w:val="en-US" w:eastAsia="zh-CN"/>
              </w:rPr>
              <w:t>-15</w:t>
            </w:r>
            <w:r>
              <w:rPr>
                <w:rFonts w:hint="eastAsia"/>
                <w:b/>
                <w:bCs/>
                <w:color w:val="auto"/>
                <w:highlight w:val="none"/>
              </w:rPr>
              <w:t xml:space="preserve"> </w:t>
            </w:r>
            <w:r>
              <w:rPr>
                <w:b/>
                <w:bCs/>
                <w:color w:val="auto"/>
                <w:highlight w:val="none"/>
              </w:rPr>
              <w:t xml:space="preserve"> 项目存在问题及整改措施</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583"/>
              <w:gridCol w:w="4591"/>
              <w:gridCol w:w="1155"/>
            </w:tblGrid>
            <w:tr w14:paraId="0774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vAlign w:val="center"/>
                </w:tcPr>
                <w:p w14:paraId="4AC01378">
                  <w:pPr>
                    <w:pStyle w:val="33"/>
                    <w:snapToGrid w:val="0"/>
                    <w:jc w:val="center"/>
                    <w:rPr>
                      <w:color w:val="auto"/>
                      <w:sz w:val="21"/>
                      <w:szCs w:val="21"/>
                      <w:highlight w:val="none"/>
                    </w:rPr>
                  </w:pPr>
                  <w:r>
                    <w:rPr>
                      <w:color w:val="auto"/>
                      <w:sz w:val="21"/>
                      <w:szCs w:val="21"/>
                      <w:highlight w:val="none"/>
                    </w:rPr>
                    <w:t>序号</w:t>
                  </w:r>
                </w:p>
              </w:tc>
              <w:tc>
                <w:tcPr>
                  <w:tcW w:w="1010" w:type="pct"/>
                  <w:vAlign w:val="center"/>
                </w:tcPr>
                <w:p w14:paraId="57469E28">
                  <w:pPr>
                    <w:pStyle w:val="33"/>
                    <w:snapToGrid w:val="0"/>
                    <w:jc w:val="center"/>
                    <w:rPr>
                      <w:color w:val="auto"/>
                      <w:sz w:val="21"/>
                      <w:szCs w:val="21"/>
                      <w:highlight w:val="none"/>
                    </w:rPr>
                  </w:pPr>
                  <w:r>
                    <w:rPr>
                      <w:color w:val="auto"/>
                      <w:sz w:val="21"/>
                      <w:szCs w:val="21"/>
                      <w:highlight w:val="none"/>
                    </w:rPr>
                    <w:t>存在问题</w:t>
                  </w:r>
                </w:p>
              </w:tc>
              <w:tc>
                <w:tcPr>
                  <w:tcW w:w="2929" w:type="pct"/>
                  <w:vAlign w:val="center"/>
                </w:tcPr>
                <w:p w14:paraId="0148EF0D">
                  <w:pPr>
                    <w:pStyle w:val="33"/>
                    <w:snapToGrid w:val="0"/>
                    <w:jc w:val="center"/>
                    <w:rPr>
                      <w:color w:val="auto"/>
                      <w:sz w:val="21"/>
                      <w:szCs w:val="21"/>
                      <w:highlight w:val="none"/>
                    </w:rPr>
                  </w:pPr>
                  <w:r>
                    <w:rPr>
                      <w:color w:val="auto"/>
                      <w:sz w:val="21"/>
                      <w:szCs w:val="21"/>
                      <w:highlight w:val="none"/>
                    </w:rPr>
                    <w:t>整改措施</w:t>
                  </w:r>
                </w:p>
              </w:tc>
              <w:tc>
                <w:tcPr>
                  <w:tcW w:w="736" w:type="pct"/>
                  <w:vAlign w:val="center"/>
                </w:tcPr>
                <w:p w14:paraId="3E4A1A6B">
                  <w:pPr>
                    <w:pStyle w:val="33"/>
                    <w:snapToGrid w:val="0"/>
                    <w:jc w:val="center"/>
                    <w:rPr>
                      <w:color w:val="auto"/>
                      <w:sz w:val="21"/>
                      <w:szCs w:val="21"/>
                      <w:highlight w:val="none"/>
                    </w:rPr>
                  </w:pPr>
                  <w:r>
                    <w:rPr>
                      <w:color w:val="auto"/>
                      <w:sz w:val="21"/>
                      <w:szCs w:val="21"/>
                      <w:highlight w:val="none"/>
                    </w:rPr>
                    <w:t>整改时间</w:t>
                  </w:r>
                </w:p>
              </w:tc>
            </w:tr>
            <w:tr w14:paraId="5694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3" w:type="pct"/>
                  <w:shd w:val="clear" w:color="auto" w:fill="auto"/>
                  <w:vAlign w:val="center"/>
                </w:tcPr>
                <w:p w14:paraId="598652A1">
                  <w:pPr>
                    <w:pStyle w:val="33"/>
                    <w:snapToGrid w:val="0"/>
                    <w:jc w:val="center"/>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1010" w:type="pct"/>
                  <w:shd w:val="clear" w:color="auto" w:fill="auto"/>
                  <w:vAlign w:val="center"/>
                </w:tcPr>
                <w:p w14:paraId="12E36115">
                  <w:pPr>
                    <w:pStyle w:val="33"/>
                    <w:snapToGrid w:val="0"/>
                    <w:jc w:val="center"/>
                    <w:rPr>
                      <w:color w:val="auto"/>
                      <w:sz w:val="21"/>
                      <w:szCs w:val="21"/>
                      <w:highlight w:val="none"/>
                    </w:rPr>
                  </w:pPr>
                  <w:r>
                    <w:rPr>
                      <w:rFonts w:hint="eastAsia"/>
                      <w:color w:val="auto"/>
                      <w:sz w:val="21"/>
                      <w:szCs w:val="21"/>
                      <w:highlight w:val="none"/>
                      <w:lang w:eastAsia="zh-CN"/>
                    </w:rPr>
                    <w:t>原料棚未密闭，现场有异味</w:t>
                  </w:r>
                </w:p>
              </w:tc>
              <w:tc>
                <w:tcPr>
                  <w:tcW w:w="2929" w:type="pct"/>
                  <w:shd w:val="clear" w:color="auto" w:fill="auto"/>
                  <w:vAlign w:val="center"/>
                </w:tcPr>
                <w:p w14:paraId="20C33B42">
                  <w:pPr>
                    <w:pStyle w:val="33"/>
                    <w:snapToGrid w:val="0"/>
                    <w:jc w:val="center"/>
                    <w:rPr>
                      <w:color w:val="auto"/>
                      <w:sz w:val="21"/>
                      <w:szCs w:val="21"/>
                      <w:highlight w:val="none"/>
                    </w:rPr>
                  </w:pPr>
                  <w:r>
                    <w:rPr>
                      <w:rFonts w:hint="eastAsia"/>
                      <w:color w:val="auto"/>
                      <w:sz w:val="21"/>
                      <w:szCs w:val="21"/>
                      <w:highlight w:val="none"/>
                      <w:lang w:eastAsia="zh-CN"/>
                    </w:rPr>
                    <w:t>大棚密闭</w:t>
                  </w:r>
                  <w:r>
                    <w:rPr>
                      <w:color w:val="auto"/>
                      <w:sz w:val="21"/>
                      <w:szCs w:val="21"/>
                      <w:highlight w:val="none"/>
                    </w:rPr>
                    <w:t>，并制定落实安全操作规程、污染防治职责等制度，规范管理</w:t>
                  </w:r>
                </w:p>
              </w:tc>
              <w:tc>
                <w:tcPr>
                  <w:tcW w:w="736" w:type="pct"/>
                  <w:shd w:val="clear" w:color="auto" w:fill="auto"/>
                  <w:vAlign w:val="center"/>
                </w:tcPr>
                <w:p w14:paraId="3C69A62E">
                  <w:pPr>
                    <w:pStyle w:val="33"/>
                    <w:jc w:val="center"/>
                    <w:rPr>
                      <w:color w:val="auto"/>
                      <w:sz w:val="21"/>
                      <w:szCs w:val="21"/>
                      <w:highlight w:val="none"/>
                    </w:rPr>
                  </w:pPr>
                  <w:r>
                    <w:rPr>
                      <w:color w:val="auto"/>
                      <w:sz w:val="21"/>
                      <w:szCs w:val="21"/>
                      <w:highlight w:val="none"/>
                    </w:rPr>
                    <w:t>20</w:t>
                  </w:r>
                  <w:r>
                    <w:rPr>
                      <w:rFonts w:hint="eastAsia"/>
                      <w:color w:val="auto"/>
                      <w:sz w:val="21"/>
                      <w:szCs w:val="21"/>
                      <w:highlight w:val="none"/>
                    </w:rPr>
                    <w:t>2</w:t>
                  </w:r>
                  <w:r>
                    <w:rPr>
                      <w:rFonts w:hint="eastAsia"/>
                      <w:color w:val="auto"/>
                      <w:sz w:val="21"/>
                      <w:szCs w:val="21"/>
                      <w:highlight w:val="none"/>
                      <w:lang w:val="en-US" w:eastAsia="zh-CN"/>
                    </w:rPr>
                    <w:t>5</w:t>
                  </w:r>
                  <w:r>
                    <w:rPr>
                      <w:color w:val="auto"/>
                      <w:sz w:val="21"/>
                      <w:szCs w:val="21"/>
                      <w:highlight w:val="none"/>
                    </w:rPr>
                    <w:t>年</w:t>
                  </w:r>
                  <w:r>
                    <w:rPr>
                      <w:rFonts w:hint="eastAsia"/>
                      <w:color w:val="auto"/>
                      <w:sz w:val="21"/>
                      <w:szCs w:val="21"/>
                      <w:highlight w:val="none"/>
                    </w:rPr>
                    <w:t>7</w:t>
                  </w:r>
                  <w:r>
                    <w:rPr>
                      <w:color w:val="auto"/>
                      <w:sz w:val="21"/>
                      <w:szCs w:val="21"/>
                      <w:highlight w:val="none"/>
                    </w:rPr>
                    <w:t>月中旬</w:t>
                  </w:r>
                </w:p>
              </w:tc>
            </w:tr>
          </w:tbl>
          <w:p w14:paraId="09457C39">
            <w:pPr>
              <w:pStyle w:val="14"/>
              <w:spacing w:before="0" w:after="0" w:line="360" w:lineRule="auto"/>
              <w:rPr>
                <w:rFonts w:ascii="宋体" w:hAnsi="宋体" w:cs="宋体"/>
                <w:sz w:val="24"/>
                <w:szCs w:val="24"/>
              </w:rPr>
            </w:pPr>
          </w:p>
        </w:tc>
      </w:tr>
    </w:tbl>
    <w:p w14:paraId="5A78C3F7">
      <w:pPr>
        <w:pStyle w:val="2"/>
        <w:ind w:left="0" w:leftChars="0" w:firstLine="0"/>
        <w:sectPr>
          <w:pgSz w:w="11906" w:h="16838"/>
          <w:pgMar w:top="1440" w:right="1803" w:bottom="1440" w:left="1803" w:header="851" w:footer="1077" w:gutter="0"/>
          <w:cols w:space="720" w:num="1"/>
          <w:docGrid w:linePitch="312" w:charSpace="0"/>
        </w:sectPr>
      </w:pPr>
    </w:p>
    <w:p w14:paraId="02FF55F9">
      <w:pPr>
        <w:pStyle w:val="24"/>
        <w:snapToGrid w:val="0"/>
        <w:spacing w:before="0" w:beforeAutospacing="0" w:after="0" w:afterAutospacing="0" w:line="360" w:lineRule="auto"/>
        <w:jc w:val="center"/>
        <w:outlineLvl w:val="0"/>
        <w:rPr>
          <w:rFonts w:ascii="黑体" w:hAnsi="黑体" w:eastAsia="黑体"/>
          <w:sz w:val="30"/>
          <w:szCs w:val="30"/>
        </w:rPr>
      </w:pPr>
      <w:r>
        <w:rPr>
          <w:rFonts w:hint="eastAsia" w:cs="宋体"/>
          <w:b/>
          <w:bCs/>
          <w:sz w:val="30"/>
          <w:szCs w:val="30"/>
        </w:rPr>
        <w:t>三、区域环境质量现状、环境保护目标及评价标准</w:t>
      </w:r>
    </w:p>
    <w:tbl>
      <w:tblPr>
        <w:tblStyle w:val="27"/>
        <w:tblW w:w="89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8503"/>
      </w:tblGrid>
      <w:tr w14:paraId="4D684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2" w:hRule="atLeast"/>
          <w:jc w:val="center"/>
        </w:trPr>
        <w:tc>
          <w:tcPr>
            <w:tcW w:w="567" w:type="dxa"/>
            <w:tcBorders>
              <w:tl2br w:val="nil"/>
              <w:tr2bl w:val="nil"/>
            </w:tcBorders>
            <w:vAlign w:val="center"/>
          </w:tcPr>
          <w:p w14:paraId="595A0851">
            <w:pPr>
              <w:adjustRightInd w:val="0"/>
              <w:snapToGrid w:val="0"/>
              <w:jc w:val="center"/>
              <w:rPr>
                <w:rFonts w:ascii="宋体" w:hAnsi="宋体" w:cs="宋体"/>
                <w:kern w:val="0"/>
                <w:sz w:val="24"/>
              </w:rPr>
            </w:pPr>
            <w:r>
              <w:rPr>
                <w:rFonts w:hint="eastAsia" w:ascii="宋体" w:hAnsi="宋体" w:cs="宋体"/>
                <w:kern w:val="0"/>
                <w:sz w:val="24"/>
              </w:rPr>
              <w:t>区域</w:t>
            </w:r>
          </w:p>
          <w:p w14:paraId="679FB159">
            <w:pPr>
              <w:adjustRightInd w:val="0"/>
              <w:snapToGrid w:val="0"/>
              <w:jc w:val="center"/>
              <w:rPr>
                <w:rFonts w:ascii="宋体" w:hAnsi="宋体" w:cs="宋体"/>
                <w:kern w:val="0"/>
                <w:sz w:val="24"/>
              </w:rPr>
            </w:pPr>
            <w:r>
              <w:rPr>
                <w:rFonts w:hint="eastAsia" w:ascii="宋体" w:hAnsi="宋体" w:cs="宋体"/>
                <w:kern w:val="0"/>
                <w:sz w:val="24"/>
              </w:rPr>
              <w:t>环境</w:t>
            </w:r>
          </w:p>
          <w:p w14:paraId="23189982">
            <w:pPr>
              <w:adjustRightInd w:val="0"/>
              <w:snapToGrid w:val="0"/>
              <w:jc w:val="center"/>
              <w:rPr>
                <w:rFonts w:ascii="宋体" w:hAnsi="宋体" w:cs="宋体"/>
                <w:kern w:val="0"/>
                <w:sz w:val="24"/>
              </w:rPr>
            </w:pPr>
            <w:r>
              <w:rPr>
                <w:rFonts w:hint="eastAsia" w:ascii="宋体" w:hAnsi="宋体" w:cs="宋体"/>
                <w:kern w:val="0"/>
                <w:sz w:val="24"/>
              </w:rPr>
              <w:t>质量</w:t>
            </w:r>
          </w:p>
          <w:p w14:paraId="61CE4829">
            <w:pPr>
              <w:adjustRightInd w:val="0"/>
              <w:snapToGrid w:val="0"/>
              <w:jc w:val="center"/>
              <w:rPr>
                <w:rFonts w:ascii="宋体" w:hAnsi="宋体" w:cs="宋体"/>
                <w:kern w:val="0"/>
                <w:szCs w:val="21"/>
              </w:rPr>
            </w:pPr>
            <w:r>
              <w:rPr>
                <w:rFonts w:hint="eastAsia" w:ascii="宋体" w:hAnsi="宋体" w:cs="宋体"/>
                <w:kern w:val="0"/>
                <w:sz w:val="24"/>
              </w:rPr>
              <w:t>现状</w:t>
            </w:r>
          </w:p>
        </w:tc>
        <w:tc>
          <w:tcPr>
            <w:tcW w:w="8539" w:type="dxa"/>
            <w:tcBorders>
              <w:tl2br w:val="nil"/>
              <w:tr2bl w:val="nil"/>
            </w:tcBorders>
            <w:vAlign w:val="center"/>
          </w:tcPr>
          <w:p w14:paraId="769881A6">
            <w:pPr>
              <w:adjustRightInd w:val="0"/>
              <w:snapToGrid w:val="0"/>
              <w:spacing w:line="360" w:lineRule="auto"/>
              <w:jc w:val="left"/>
              <w:rPr>
                <w:b/>
                <w:bCs/>
                <w:sz w:val="24"/>
              </w:rPr>
            </w:pPr>
            <w:r>
              <w:rPr>
                <w:b/>
                <w:bCs/>
                <w:sz w:val="24"/>
              </w:rPr>
              <w:t>1、大气环境</w:t>
            </w:r>
          </w:p>
          <w:p w14:paraId="3F403855">
            <w:pPr>
              <w:adjustRightInd w:val="0"/>
              <w:snapToGrid w:val="0"/>
              <w:spacing w:line="360" w:lineRule="auto"/>
              <w:ind w:firstLine="480" w:firstLineChars="200"/>
              <w:jc w:val="left"/>
              <w:rPr>
                <w:color w:val="000000"/>
                <w:sz w:val="24"/>
              </w:rPr>
            </w:pPr>
            <w:r>
              <w:rPr>
                <w:rFonts w:hint="eastAsia"/>
                <w:color w:val="000000"/>
                <w:sz w:val="24"/>
              </w:rPr>
              <w:t>（1）基本污染物</w:t>
            </w:r>
          </w:p>
          <w:p w14:paraId="1D9974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napToGrid/>
                <w:color w:val="auto"/>
                <w:spacing w:val="0"/>
                <w:kern w:val="0"/>
                <w:position w:val="0"/>
                <w:sz w:val="24"/>
                <w:szCs w:val="24"/>
                <w:lang w:val="en-US" w:eastAsia="zh-CN"/>
              </w:rPr>
            </w:pPr>
            <w:r>
              <w:rPr>
                <w:rFonts w:hint="default" w:ascii="Times New Roman" w:hAnsi="Times New Roman" w:eastAsia="宋体" w:cs="Times New Roman"/>
                <w:snapToGrid/>
                <w:color w:val="auto"/>
                <w:spacing w:val="0"/>
                <w:kern w:val="0"/>
                <w:position w:val="0"/>
                <w:sz w:val="24"/>
                <w:szCs w:val="24"/>
                <w:lang w:val="en-US" w:eastAsia="zh-CN"/>
              </w:rPr>
              <w:t>根据《环境影响评价技术导则</w:t>
            </w:r>
            <w:r>
              <w:rPr>
                <w:rFonts w:hint="eastAsia" w:cs="Times New Roman"/>
                <w:snapToGrid/>
                <w:color w:val="auto"/>
                <w:spacing w:val="0"/>
                <w:kern w:val="0"/>
                <w:position w:val="0"/>
                <w:sz w:val="24"/>
                <w:szCs w:val="24"/>
                <w:lang w:val="en-US" w:eastAsia="zh-CN"/>
              </w:rPr>
              <w:t xml:space="preserve">  </w:t>
            </w:r>
            <w:r>
              <w:rPr>
                <w:rFonts w:hint="default" w:ascii="Times New Roman" w:hAnsi="Times New Roman" w:eastAsia="宋体" w:cs="Times New Roman"/>
                <w:snapToGrid/>
                <w:color w:val="auto"/>
                <w:spacing w:val="0"/>
                <w:kern w:val="0"/>
                <w:position w:val="0"/>
                <w:sz w:val="24"/>
                <w:szCs w:val="24"/>
                <w:lang w:val="en-US" w:eastAsia="zh-CN"/>
              </w:rPr>
              <w:t>大气环境》（HJ2.2-2018），项目所在区域达标情况判定优先采用国家或地方生态环境主管部门公开发布的环境质量公告或环境质量报告中的数据或结论。</w:t>
            </w:r>
          </w:p>
          <w:p w14:paraId="68B5C1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本次评价选取202</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年作为评价基准年。根据《宿州市202</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年环境质量报告》，宿州市202</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年环境空气质量基础污染物监测浓度项目区域空气质量达标判定见表3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w:t>
            </w:r>
          </w:p>
          <w:p w14:paraId="1928E0A1">
            <w:pPr>
              <w:adjustRightInd w:val="0"/>
              <w:snapToGrid w:val="0"/>
              <w:spacing w:line="360" w:lineRule="auto"/>
              <w:jc w:val="center"/>
              <w:rPr>
                <w:b/>
                <w:bCs/>
                <w:color w:val="auto"/>
                <w:sz w:val="24"/>
              </w:rPr>
            </w:pPr>
            <w:r>
              <w:rPr>
                <w:b/>
                <w:bCs/>
                <w:color w:val="auto"/>
                <w:sz w:val="24"/>
              </w:rPr>
              <w:t>表3</w:t>
            </w:r>
            <w:r>
              <w:rPr>
                <w:rFonts w:hint="eastAsia"/>
                <w:b/>
                <w:bCs/>
                <w:color w:val="auto"/>
                <w:sz w:val="24"/>
                <w:lang w:val="en-US" w:eastAsia="zh-CN"/>
              </w:rPr>
              <w:t>-</w:t>
            </w:r>
            <w:r>
              <w:rPr>
                <w:b/>
                <w:bCs/>
                <w:color w:val="auto"/>
                <w:sz w:val="24"/>
              </w:rPr>
              <w:t>1  区域空气质量现状评价表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920"/>
              <w:gridCol w:w="1295"/>
              <w:gridCol w:w="1317"/>
              <w:gridCol w:w="1289"/>
              <w:gridCol w:w="1380"/>
            </w:tblGrid>
            <w:tr w14:paraId="5E32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3090F28B">
                  <w:pPr>
                    <w:adjustRightInd w:val="0"/>
                    <w:snapToGrid w:val="0"/>
                    <w:jc w:val="center"/>
                    <w:rPr>
                      <w:rFonts w:hint="default"/>
                      <w:color w:val="auto"/>
                      <w:sz w:val="21"/>
                      <w:szCs w:val="21"/>
                      <w:lang w:val="en-US" w:eastAsia="zh-CN"/>
                    </w:rPr>
                  </w:pPr>
                  <w:r>
                    <w:rPr>
                      <w:rFonts w:hint="default"/>
                      <w:color w:val="auto"/>
                      <w:sz w:val="21"/>
                      <w:szCs w:val="21"/>
                      <w:lang w:val="en-US" w:eastAsia="zh-CN"/>
                    </w:rPr>
                    <w:t>污染物</w:t>
                  </w:r>
                </w:p>
              </w:tc>
              <w:tc>
                <w:tcPr>
                  <w:tcW w:w="1159" w:type="pct"/>
                  <w:noWrap w:val="0"/>
                  <w:vAlign w:val="center"/>
                </w:tcPr>
                <w:p w14:paraId="15DE8EC1">
                  <w:pPr>
                    <w:adjustRightInd w:val="0"/>
                    <w:snapToGrid w:val="0"/>
                    <w:jc w:val="center"/>
                    <w:rPr>
                      <w:rFonts w:hint="default"/>
                      <w:color w:val="auto"/>
                      <w:sz w:val="21"/>
                      <w:szCs w:val="21"/>
                      <w:lang w:val="en-US" w:eastAsia="zh-CN"/>
                    </w:rPr>
                  </w:pPr>
                  <w:r>
                    <w:rPr>
                      <w:rFonts w:hint="default"/>
                      <w:color w:val="auto"/>
                      <w:sz w:val="21"/>
                      <w:szCs w:val="21"/>
                      <w:lang w:val="en-US" w:eastAsia="zh-CN"/>
                    </w:rPr>
                    <w:t>评价标准</w:t>
                  </w:r>
                </w:p>
              </w:tc>
              <w:tc>
                <w:tcPr>
                  <w:tcW w:w="782" w:type="pct"/>
                  <w:noWrap w:val="0"/>
                  <w:vAlign w:val="center"/>
                </w:tcPr>
                <w:p w14:paraId="739F8392">
                  <w:pPr>
                    <w:adjustRightInd w:val="0"/>
                    <w:snapToGrid w:val="0"/>
                    <w:jc w:val="center"/>
                    <w:rPr>
                      <w:rFonts w:hint="default"/>
                      <w:color w:val="auto"/>
                      <w:sz w:val="21"/>
                      <w:szCs w:val="21"/>
                      <w:lang w:val="en-US" w:eastAsia="zh-CN"/>
                    </w:rPr>
                  </w:pPr>
                  <w:r>
                    <w:rPr>
                      <w:rFonts w:hint="default"/>
                      <w:color w:val="auto"/>
                      <w:sz w:val="21"/>
                      <w:szCs w:val="21"/>
                      <w:lang w:val="en-US" w:eastAsia="zh-CN"/>
                    </w:rPr>
                    <w:t>年均浓度（μg/m</w:t>
                  </w:r>
                  <w:r>
                    <w:rPr>
                      <w:rFonts w:hint="eastAsia"/>
                      <w:color w:val="auto"/>
                      <w:sz w:val="21"/>
                      <w:szCs w:val="21"/>
                      <w:vertAlign w:val="superscript"/>
                      <w:lang w:val="en-US" w:eastAsia="zh-CN"/>
                    </w:rPr>
                    <w:t>3</w:t>
                  </w:r>
                  <w:r>
                    <w:rPr>
                      <w:rFonts w:hint="default"/>
                      <w:color w:val="auto"/>
                      <w:sz w:val="21"/>
                      <w:szCs w:val="21"/>
                      <w:lang w:val="en-US" w:eastAsia="zh-CN"/>
                    </w:rPr>
                    <w:t>）</w:t>
                  </w:r>
                </w:p>
              </w:tc>
              <w:tc>
                <w:tcPr>
                  <w:tcW w:w="795" w:type="pct"/>
                  <w:noWrap w:val="0"/>
                  <w:vAlign w:val="center"/>
                </w:tcPr>
                <w:p w14:paraId="2B1A60C3">
                  <w:pPr>
                    <w:adjustRightInd w:val="0"/>
                    <w:snapToGrid w:val="0"/>
                    <w:jc w:val="center"/>
                    <w:rPr>
                      <w:rFonts w:hint="default"/>
                      <w:color w:val="auto"/>
                      <w:sz w:val="21"/>
                      <w:szCs w:val="21"/>
                      <w:lang w:val="en-US" w:eastAsia="zh-CN"/>
                    </w:rPr>
                  </w:pPr>
                  <w:r>
                    <w:rPr>
                      <w:rFonts w:hint="default"/>
                      <w:color w:val="auto"/>
                      <w:sz w:val="21"/>
                      <w:szCs w:val="21"/>
                      <w:lang w:val="en-US" w:eastAsia="zh-CN"/>
                    </w:rPr>
                    <w:t>标准值（μg/m</w:t>
                  </w:r>
                  <w:r>
                    <w:rPr>
                      <w:rFonts w:hint="eastAsia"/>
                      <w:color w:val="auto"/>
                      <w:sz w:val="21"/>
                      <w:szCs w:val="21"/>
                      <w:vertAlign w:val="superscript"/>
                      <w:lang w:val="en-US" w:eastAsia="zh-CN"/>
                    </w:rPr>
                    <w:t>3</w:t>
                  </w:r>
                  <w:r>
                    <w:rPr>
                      <w:rFonts w:hint="default"/>
                      <w:color w:val="auto"/>
                      <w:sz w:val="21"/>
                      <w:szCs w:val="21"/>
                      <w:lang w:val="en-US" w:eastAsia="zh-CN"/>
                    </w:rPr>
                    <w:t>）</w:t>
                  </w:r>
                </w:p>
              </w:tc>
              <w:tc>
                <w:tcPr>
                  <w:tcW w:w="778" w:type="pct"/>
                  <w:noWrap w:val="0"/>
                  <w:vAlign w:val="center"/>
                </w:tcPr>
                <w:p w14:paraId="698F6E13">
                  <w:pPr>
                    <w:adjustRightInd w:val="0"/>
                    <w:snapToGrid w:val="0"/>
                    <w:jc w:val="center"/>
                    <w:rPr>
                      <w:rFonts w:hint="default"/>
                      <w:color w:val="auto"/>
                      <w:sz w:val="21"/>
                      <w:szCs w:val="21"/>
                      <w:lang w:val="en-US" w:eastAsia="zh-CN"/>
                    </w:rPr>
                  </w:pPr>
                  <w:r>
                    <w:rPr>
                      <w:rFonts w:hint="default"/>
                      <w:color w:val="auto"/>
                      <w:sz w:val="21"/>
                      <w:szCs w:val="21"/>
                      <w:lang w:val="en-US" w:eastAsia="zh-CN"/>
                    </w:rPr>
                    <w:t>占标率%</w:t>
                  </w:r>
                </w:p>
              </w:tc>
              <w:tc>
                <w:tcPr>
                  <w:tcW w:w="833" w:type="pct"/>
                  <w:noWrap w:val="0"/>
                  <w:vAlign w:val="center"/>
                </w:tcPr>
                <w:p w14:paraId="0F77CF5F">
                  <w:pPr>
                    <w:adjustRightInd w:val="0"/>
                    <w:snapToGrid w:val="0"/>
                    <w:jc w:val="center"/>
                    <w:rPr>
                      <w:rFonts w:hint="default"/>
                      <w:color w:val="auto"/>
                      <w:sz w:val="21"/>
                      <w:szCs w:val="21"/>
                      <w:lang w:val="en-US" w:eastAsia="zh-CN"/>
                    </w:rPr>
                  </w:pPr>
                  <w:r>
                    <w:rPr>
                      <w:rFonts w:hint="default"/>
                      <w:color w:val="auto"/>
                      <w:sz w:val="21"/>
                      <w:szCs w:val="21"/>
                      <w:lang w:val="en-US" w:eastAsia="zh-CN"/>
                    </w:rPr>
                    <w:t>达标情况</w:t>
                  </w:r>
                </w:p>
              </w:tc>
            </w:tr>
            <w:tr w14:paraId="5976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511D8FF0">
                  <w:pPr>
                    <w:adjustRightInd w:val="0"/>
                    <w:snapToGrid w:val="0"/>
                    <w:jc w:val="center"/>
                    <w:rPr>
                      <w:rFonts w:hint="default"/>
                      <w:color w:val="auto"/>
                      <w:sz w:val="21"/>
                      <w:szCs w:val="21"/>
                      <w:vertAlign w:val="subscript"/>
                      <w:lang w:val="en-US" w:eastAsia="zh-CN"/>
                    </w:rPr>
                  </w:pPr>
                  <w:r>
                    <w:rPr>
                      <w:rFonts w:hint="default"/>
                      <w:color w:val="auto"/>
                      <w:sz w:val="21"/>
                      <w:szCs w:val="21"/>
                      <w:lang w:val="en-US" w:eastAsia="zh-CN"/>
                    </w:rPr>
                    <w:t>PM</w:t>
                  </w:r>
                  <w:r>
                    <w:rPr>
                      <w:rFonts w:hint="eastAsia"/>
                      <w:color w:val="auto"/>
                      <w:sz w:val="21"/>
                      <w:szCs w:val="21"/>
                      <w:vertAlign w:val="subscript"/>
                      <w:lang w:val="en-US" w:eastAsia="zh-CN"/>
                    </w:rPr>
                    <w:t>10</w:t>
                  </w:r>
                </w:p>
              </w:tc>
              <w:tc>
                <w:tcPr>
                  <w:tcW w:w="1159" w:type="pct"/>
                  <w:noWrap w:val="0"/>
                  <w:vAlign w:val="center"/>
                </w:tcPr>
                <w:p w14:paraId="26221C91">
                  <w:pPr>
                    <w:adjustRightInd w:val="0"/>
                    <w:snapToGrid w:val="0"/>
                    <w:jc w:val="center"/>
                    <w:rPr>
                      <w:rFonts w:hint="default"/>
                      <w:color w:val="auto"/>
                      <w:sz w:val="21"/>
                      <w:szCs w:val="21"/>
                      <w:lang w:val="en-US" w:eastAsia="zh-CN"/>
                    </w:rPr>
                  </w:pPr>
                  <w:r>
                    <w:rPr>
                      <w:rFonts w:hint="default"/>
                      <w:color w:val="auto"/>
                      <w:sz w:val="21"/>
                      <w:szCs w:val="21"/>
                      <w:lang w:val="en-US" w:eastAsia="zh-CN"/>
                    </w:rPr>
                    <w:t>年平均浓度</w:t>
                  </w:r>
                </w:p>
              </w:tc>
              <w:tc>
                <w:tcPr>
                  <w:tcW w:w="782" w:type="pct"/>
                  <w:noWrap w:val="0"/>
                  <w:vAlign w:val="center"/>
                </w:tcPr>
                <w:p w14:paraId="58CEE9EF">
                  <w:pPr>
                    <w:adjustRightInd w:val="0"/>
                    <w:snapToGrid w:val="0"/>
                    <w:jc w:val="center"/>
                    <w:rPr>
                      <w:rFonts w:hint="default"/>
                      <w:color w:val="auto"/>
                      <w:sz w:val="21"/>
                      <w:szCs w:val="21"/>
                      <w:lang w:val="en-US" w:eastAsia="zh-CN"/>
                    </w:rPr>
                  </w:pPr>
                  <w:r>
                    <w:rPr>
                      <w:rFonts w:hint="eastAsia"/>
                      <w:color w:val="auto"/>
                      <w:sz w:val="21"/>
                      <w:szCs w:val="21"/>
                      <w:lang w:val="en-US" w:eastAsia="zh-CN"/>
                    </w:rPr>
                    <w:t>75</w:t>
                  </w:r>
                </w:p>
              </w:tc>
              <w:tc>
                <w:tcPr>
                  <w:tcW w:w="795" w:type="pct"/>
                  <w:noWrap w:val="0"/>
                  <w:vAlign w:val="center"/>
                </w:tcPr>
                <w:p w14:paraId="4D1E1BA2">
                  <w:pPr>
                    <w:adjustRightInd w:val="0"/>
                    <w:snapToGrid w:val="0"/>
                    <w:jc w:val="center"/>
                    <w:rPr>
                      <w:rFonts w:hint="default"/>
                      <w:color w:val="auto"/>
                      <w:sz w:val="21"/>
                      <w:szCs w:val="21"/>
                      <w:lang w:val="en-US" w:eastAsia="zh-CN"/>
                    </w:rPr>
                  </w:pPr>
                  <w:r>
                    <w:rPr>
                      <w:rFonts w:hint="eastAsia"/>
                      <w:color w:val="auto"/>
                      <w:sz w:val="21"/>
                      <w:szCs w:val="21"/>
                      <w:lang w:val="en-US" w:eastAsia="zh-CN"/>
                    </w:rPr>
                    <w:t>70</w:t>
                  </w:r>
                </w:p>
              </w:tc>
              <w:tc>
                <w:tcPr>
                  <w:tcW w:w="778" w:type="pct"/>
                  <w:noWrap w:val="0"/>
                  <w:vAlign w:val="center"/>
                </w:tcPr>
                <w:p w14:paraId="1EB97371">
                  <w:pPr>
                    <w:adjustRightInd w:val="0"/>
                    <w:snapToGrid w:val="0"/>
                    <w:jc w:val="center"/>
                    <w:rPr>
                      <w:rFonts w:hint="default"/>
                      <w:color w:val="auto"/>
                      <w:sz w:val="21"/>
                      <w:szCs w:val="21"/>
                      <w:lang w:val="en-US" w:eastAsia="zh-CN"/>
                    </w:rPr>
                  </w:pPr>
                  <w:r>
                    <w:rPr>
                      <w:rFonts w:hint="eastAsia"/>
                      <w:color w:val="auto"/>
                      <w:sz w:val="21"/>
                      <w:szCs w:val="21"/>
                      <w:lang w:val="en-US" w:eastAsia="zh-CN"/>
                    </w:rPr>
                    <w:t>107.14</w:t>
                  </w:r>
                </w:p>
              </w:tc>
              <w:tc>
                <w:tcPr>
                  <w:tcW w:w="833" w:type="pct"/>
                  <w:noWrap w:val="0"/>
                  <w:vAlign w:val="center"/>
                </w:tcPr>
                <w:p w14:paraId="5274B41B">
                  <w:pPr>
                    <w:adjustRightInd w:val="0"/>
                    <w:snapToGrid w:val="0"/>
                    <w:jc w:val="center"/>
                    <w:rPr>
                      <w:rFonts w:hint="default"/>
                      <w:color w:val="auto"/>
                      <w:sz w:val="21"/>
                      <w:szCs w:val="21"/>
                      <w:lang w:val="en-US" w:eastAsia="zh-CN"/>
                    </w:rPr>
                  </w:pPr>
                  <w:r>
                    <w:rPr>
                      <w:rFonts w:hint="default"/>
                      <w:color w:val="auto"/>
                      <w:sz w:val="21"/>
                      <w:szCs w:val="21"/>
                      <w:lang w:val="en-US" w:eastAsia="zh-CN"/>
                    </w:rPr>
                    <w:t>不达标</w:t>
                  </w:r>
                </w:p>
              </w:tc>
            </w:tr>
            <w:tr w14:paraId="7406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5756B200">
                  <w:pPr>
                    <w:adjustRightInd w:val="0"/>
                    <w:snapToGrid w:val="0"/>
                    <w:jc w:val="center"/>
                    <w:rPr>
                      <w:rFonts w:hint="default"/>
                      <w:color w:val="auto"/>
                      <w:sz w:val="21"/>
                      <w:szCs w:val="21"/>
                      <w:lang w:val="en-US" w:eastAsia="zh-CN"/>
                    </w:rPr>
                  </w:pPr>
                  <w:r>
                    <w:rPr>
                      <w:rFonts w:hint="default"/>
                      <w:color w:val="auto"/>
                      <w:sz w:val="21"/>
                      <w:szCs w:val="21"/>
                      <w:lang w:val="en-US" w:eastAsia="zh-CN"/>
                    </w:rPr>
                    <w:t>PM</w:t>
                  </w:r>
                  <w:r>
                    <w:rPr>
                      <w:rFonts w:hint="eastAsia"/>
                      <w:color w:val="auto"/>
                      <w:sz w:val="21"/>
                      <w:szCs w:val="21"/>
                      <w:vertAlign w:val="subscript"/>
                      <w:lang w:val="en-US" w:eastAsia="zh-CN"/>
                    </w:rPr>
                    <w:t>2.5</w:t>
                  </w:r>
                </w:p>
              </w:tc>
              <w:tc>
                <w:tcPr>
                  <w:tcW w:w="1159" w:type="pct"/>
                  <w:noWrap w:val="0"/>
                  <w:vAlign w:val="center"/>
                </w:tcPr>
                <w:p w14:paraId="68D57600">
                  <w:pPr>
                    <w:adjustRightInd w:val="0"/>
                    <w:snapToGrid w:val="0"/>
                    <w:jc w:val="center"/>
                    <w:rPr>
                      <w:rFonts w:hint="default"/>
                      <w:color w:val="auto"/>
                      <w:sz w:val="21"/>
                      <w:szCs w:val="21"/>
                      <w:lang w:val="en-US" w:eastAsia="zh-CN"/>
                    </w:rPr>
                  </w:pPr>
                  <w:r>
                    <w:rPr>
                      <w:rFonts w:hint="default"/>
                      <w:color w:val="auto"/>
                      <w:sz w:val="21"/>
                      <w:szCs w:val="21"/>
                      <w:lang w:val="en-US" w:eastAsia="zh-CN"/>
                    </w:rPr>
                    <w:t>年平均浓度</w:t>
                  </w:r>
                </w:p>
              </w:tc>
              <w:tc>
                <w:tcPr>
                  <w:tcW w:w="782" w:type="pct"/>
                  <w:noWrap w:val="0"/>
                  <w:vAlign w:val="center"/>
                </w:tcPr>
                <w:p w14:paraId="31553789">
                  <w:pPr>
                    <w:adjustRightInd w:val="0"/>
                    <w:snapToGrid w:val="0"/>
                    <w:jc w:val="center"/>
                    <w:rPr>
                      <w:rFonts w:hint="default"/>
                      <w:color w:val="auto"/>
                      <w:sz w:val="21"/>
                      <w:szCs w:val="21"/>
                      <w:lang w:val="en-US" w:eastAsia="zh-CN"/>
                    </w:rPr>
                  </w:pPr>
                  <w:r>
                    <w:rPr>
                      <w:rFonts w:hint="eastAsia"/>
                      <w:color w:val="auto"/>
                      <w:sz w:val="21"/>
                      <w:szCs w:val="21"/>
                      <w:lang w:val="en-US" w:eastAsia="zh-CN"/>
                    </w:rPr>
                    <w:t>41</w:t>
                  </w:r>
                </w:p>
              </w:tc>
              <w:tc>
                <w:tcPr>
                  <w:tcW w:w="795" w:type="pct"/>
                  <w:noWrap w:val="0"/>
                  <w:vAlign w:val="center"/>
                </w:tcPr>
                <w:p w14:paraId="6D97C1B7">
                  <w:pPr>
                    <w:adjustRightInd w:val="0"/>
                    <w:snapToGrid w:val="0"/>
                    <w:jc w:val="center"/>
                    <w:rPr>
                      <w:rFonts w:hint="default"/>
                      <w:color w:val="auto"/>
                      <w:sz w:val="21"/>
                      <w:szCs w:val="21"/>
                      <w:lang w:val="en-US" w:eastAsia="zh-CN"/>
                    </w:rPr>
                  </w:pPr>
                  <w:r>
                    <w:rPr>
                      <w:rFonts w:hint="eastAsia"/>
                      <w:color w:val="auto"/>
                      <w:sz w:val="21"/>
                      <w:szCs w:val="21"/>
                      <w:lang w:val="en-US" w:eastAsia="zh-CN"/>
                    </w:rPr>
                    <w:t>35</w:t>
                  </w:r>
                </w:p>
              </w:tc>
              <w:tc>
                <w:tcPr>
                  <w:tcW w:w="778" w:type="pct"/>
                  <w:noWrap w:val="0"/>
                  <w:vAlign w:val="center"/>
                </w:tcPr>
                <w:p w14:paraId="69F68DFA">
                  <w:pPr>
                    <w:adjustRightInd w:val="0"/>
                    <w:snapToGrid w:val="0"/>
                    <w:jc w:val="center"/>
                    <w:rPr>
                      <w:rFonts w:hint="default"/>
                      <w:color w:val="auto"/>
                      <w:sz w:val="21"/>
                      <w:szCs w:val="21"/>
                      <w:lang w:val="en-US" w:eastAsia="zh-CN"/>
                    </w:rPr>
                  </w:pPr>
                  <w:r>
                    <w:rPr>
                      <w:rFonts w:hint="eastAsia"/>
                      <w:color w:val="auto"/>
                      <w:sz w:val="21"/>
                      <w:szCs w:val="21"/>
                      <w:lang w:val="en-US" w:eastAsia="zh-CN"/>
                    </w:rPr>
                    <w:t>117.14</w:t>
                  </w:r>
                </w:p>
              </w:tc>
              <w:tc>
                <w:tcPr>
                  <w:tcW w:w="833" w:type="pct"/>
                  <w:noWrap w:val="0"/>
                  <w:vAlign w:val="center"/>
                </w:tcPr>
                <w:p w14:paraId="1AF61554">
                  <w:pPr>
                    <w:adjustRightInd w:val="0"/>
                    <w:snapToGrid w:val="0"/>
                    <w:jc w:val="center"/>
                    <w:rPr>
                      <w:rFonts w:hint="default"/>
                      <w:color w:val="auto"/>
                      <w:sz w:val="21"/>
                      <w:szCs w:val="21"/>
                      <w:lang w:val="en-US" w:eastAsia="zh-CN"/>
                    </w:rPr>
                  </w:pPr>
                  <w:r>
                    <w:rPr>
                      <w:rFonts w:hint="default"/>
                      <w:color w:val="auto"/>
                      <w:sz w:val="21"/>
                      <w:szCs w:val="21"/>
                      <w:lang w:val="en-US" w:eastAsia="zh-CN"/>
                    </w:rPr>
                    <w:t>不达标</w:t>
                  </w:r>
                </w:p>
              </w:tc>
            </w:tr>
            <w:tr w14:paraId="59FB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67313F6C">
                  <w:pPr>
                    <w:adjustRightInd w:val="0"/>
                    <w:snapToGrid w:val="0"/>
                    <w:jc w:val="center"/>
                    <w:rPr>
                      <w:rFonts w:hint="default"/>
                      <w:color w:val="auto"/>
                      <w:sz w:val="21"/>
                      <w:szCs w:val="21"/>
                      <w:lang w:val="en-US" w:eastAsia="zh-CN"/>
                    </w:rPr>
                  </w:pPr>
                  <w:r>
                    <w:rPr>
                      <w:rFonts w:hint="default"/>
                      <w:color w:val="auto"/>
                      <w:sz w:val="21"/>
                      <w:szCs w:val="21"/>
                      <w:lang w:val="en-US" w:eastAsia="zh-CN"/>
                    </w:rPr>
                    <w:t>SO</w:t>
                  </w:r>
                  <w:r>
                    <w:rPr>
                      <w:rFonts w:hint="eastAsia"/>
                      <w:color w:val="auto"/>
                      <w:sz w:val="21"/>
                      <w:szCs w:val="21"/>
                      <w:vertAlign w:val="subscript"/>
                      <w:lang w:val="en-US" w:eastAsia="zh-CN"/>
                    </w:rPr>
                    <w:t>2</w:t>
                  </w:r>
                </w:p>
              </w:tc>
              <w:tc>
                <w:tcPr>
                  <w:tcW w:w="1159" w:type="pct"/>
                  <w:noWrap w:val="0"/>
                  <w:vAlign w:val="center"/>
                </w:tcPr>
                <w:p w14:paraId="3AEF4C1C">
                  <w:pPr>
                    <w:adjustRightInd w:val="0"/>
                    <w:snapToGrid w:val="0"/>
                    <w:jc w:val="center"/>
                    <w:rPr>
                      <w:rFonts w:hint="default"/>
                      <w:color w:val="auto"/>
                      <w:sz w:val="21"/>
                      <w:szCs w:val="21"/>
                      <w:lang w:val="en-US" w:eastAsia="zh-CN"/>
                    </w:rPr>
                  </w:pPr>
                  <w:r>
                    <w:rPr>
                      <w:rFonts w:hint="default"/>
                      <w:color w:val="auto"/>
                      <w:sz w:val="21"/>
                      <w:szCs w:val="21"/>
                      <w:lang w:val="en-US" w:eastAsia="zh-CN"/>
                    </w:rPr>
                    <w:t>年平均浓度</w:t>
                  </w:r>
                </w:p>
              </w:tc>
              <w:tc>
                <w:tcPr>
                  <w:tcW w:w="782" w:type="pct"/>
                  <w:noWrap w:val="0"/>
                  <w:vAlign w:val="center"/>
                </w:tcPr>
                <w:p w14:paraId="2DF906CD">
                  <w:pPr>
                    <w:adjustRightInd w:val="0"/>
                    <w:snapToGrid w:val="0"/>
                    <w:jc w:val="center"/>
                    <w:rPr>
                      <w:rFonts w:hint="default"/>
                      <w:color w:val="auto"/>
                      <w:sz w:val="21"/>
                      <w:szCs w:val="21"/>
                      <w:lang w:val="en-US" w:eastAsia="zh-CN"/>
                    </w:rPr>
                  </w:pPr>
                  <w:r>
                    <w:rPr>
                      <w:rFonts w:hint="eastAsia"/>
                      <w:color w:val="auto"/>
                      <w:sz w:val="21"/>
                      <w:szCs w:val="21"/>
                      <w:lang w:val="en-US" w:eastAsia="zh-CN"/>
                    </w:rPr>
                    <w:t>6</w:t>
                  </w:r>
                </w:p>
              </w:tc>
              <w:tc>
                <w:tcPr>
                  <w:tcW w:w="795" w:type="pct"/>
                  <w:noWrap w:val="0"/>
                  <w:vAlign w:val="center"/>
                </w:tcPr>
                <w:p w14:paraId="6ABFF1CD">
                  <w:pPr>
                    <w:adjustRightInd w:val="0"/>
                    <w:snapToGrid w:val="0"/>
                    <w:jc w:val="center"/>
                    <w:rPr>
                      <w:rFonts w:hint="default"/>
                      <w:color w:val="auto"/>
                      <w:sz w:val="21"/>
                      <w:szCs w:val="21"/>
                      <w:lang w:val="en-US" w:eastAsia="zh-CN"/>
                    </w:rPr>
                  </w:pPr>
                  <w:r>
                    <w:rPr>
                      <w:rFonts w:hint="eastAsia"/>
                      <w:color w:val="auto"/>
                      <w:sz w:val="21"/>
                      <w:szCs w:val="21"/>
                      <w:lang w:val="en-US" w:eastAsia="zh-CN"/>
                    </w:rPr>
                    <w:t>60</w:t>
                  </w:r>
                </w:p>
              </w:tc>
              <w:tc>
                <w:tcPr>
                  <w:tcW w:w="778" w:type="pct"/>
                  <w:noWrap w:val="0"/>
                  <w:vAlign w:val="center"/>
                </w:tcPr>
                <w:p w14:paraId="0C6C0865">
                  <w:pPr>
                    <w:adjustRightInd w:val="0"/>
                    <w:snapToGrid w:val="0"/>
                    <w:jc w:val="center"/>
                    <w:rPr>
                      <w:rFonts w:hint="default"/>
                      <w:color w:val="auto"/>
                      <w:lang w:val="en-US" w:eastAsia="zh-CN"/>
                    </w:rPr>
                  </w:pPr>
                  <w:r>
                    <w:rPr>
                      <w:rFonts w:hint="eastAsia"/>
                      <w:color w:val="auto"/>
                      <w:sz w:val="21"/>
                      <w:szCs w:val="21"/>
                      <w:lang w:val="en-US" w:eastAsia="zh-CN"/>
                    </w:rPr>
                    <w:t>10.00</w:t>
                  </w:r>
                </w:p>
              </w:tc>
              <w:tc>
                <w:tcPr>
                  <w:tcW w:w="833" w:type="pct"/>
                  <w:noWrap w:val="0"/>
                  <w:vAlign w:val="center"/>
                </w:tcPr>
                <w:p w14:paraId="29A33E4C">
                  <w:pPr>
                    <w:adjustRightInd w:val="0"/>
                    <w:snapToGrid w:val="0"/>
                    <w:jc w:val="center"/>
                    <w:rPr>
                      <w:rFonts w:hint="default"/>
                      <w:color w:val="auto"/>
                      <w:sz w:val="21"/>
                      <w:szCs w:val="21"/>
                      <w:lang w:val="en-US" w:eastAsia="zh-CN"/>
                    </w:rPr>
                  </w:pPr>
                  <w:r>
                    <w:rPr>
                      <w:rFonts w:hint="default"/>
                      <w:color w:val="auto"/>
                      <w:sz w:val="21"/>
                      <w:szCs w:val="21"/>
                      <w:lang w:val="en-US" w:eastAsia="zh-CN"/>
                    </w:rPr>
                    <w:t>达标</w:t>
                  </w:r>
                </w:p>
              </w:tc>
            </w:tr>
            <w:tr w14:paraId="5D3D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44C0A90F">
                  <w:pPr>
                    <w:adjustRightInd w:val="0"/>
                    <w:snapToGrid w:val="0"/>
                    <w:jc w:val="center"/>
                    <w:rPr>
                      <w:rFonts w:hint="default"/>
                      <w:color w:val="auto"/>
                      <w:sz w:val="21"/>
                      <w:szCs w:val="21"/>
                      <w:lang w:val="en-US" w:eastAsia="zh-CN"/>
                    </w:rPr>
                  </w:pPr>
                  <w:r>
                    <w:rPr>
                      <w:rFonts w:hint="default"/>
                      <w:color w:val="auto"/>
                      <w:sz w:val="21"/>
                      <w:szCs w:val="21"/>
                      <w:lang w:val="en-US" w:eastAsia="zh-CN"/>
                    </w:rPr>
                    <w:t>NO</w:t>
                  </w:r>
                  <w:r>
                    <w:rPr>
                      <w:rFonts w:hint="eastAsia"/>
                      <w:color w:val="auto"/>
                      <w:sz w:val="21"/>
                      <w:szCs w:val="21"/>
                      <w:vertAlign w:val="subscript"/>
                      <w:lang w:val="en-US" w:eastAsia="zh-CN"/>
                    </w:rPr>
                    <w:t>2</w:t>
                  </w:r>
                </w:p>
              </w:tc>
              <w:tc>
                <w:tcPr>
                  <w:tcW w:w="1159" w:type="pct"/>
                  <w:noWrap w:val="0"/>
                  <w:vAlign w:val="center"/>
                </w:tcPr>
                <w:p w14:paraId="1544628F">
                  <w:pPr>
                    <w:adjustRightInd w:val="0"/>
                    <w:snapToGrid w:val="0"/>
                    <w:jc w:val="center"/>
                    <w:rPr>
                      <w:rFonts w:hint="default"/>
                      <w:color w:val="auto"/>
                      <w:sz w:val="21"/>
                      <w:szCs w:val="21"/>
                      <w:lang w:val="en-US" w:eastAsia="zh-CN"/>
                    </w:rPr>
                  </w:pPr>
                  <w:r>
                    <w:rPr>
                      <w:rFonts w:hint="default"/>
                      <w:color w:val="auto"/>
                      <w:sz w:val="21"/>
                      <w:szCs w:val="21"/>
                      <w:lang w:val="en-US" w:eastAsia="zh-CN"/>
                    </w:rPr>
                    <w:t>年平均浓度</w:t>
                  </w:r>
                </w:p>
              </w:tc>
              <w:tc>
                <w:tcPr>
                  <w:tcW w:w="782" w:type="pct"/>
                  <w:noWrap w:val="0"/>
                  <w:vAlign w:val="center"/>
                </w:tcPr>
                <w:p w14:paraId="664953BF">
                  <w:pPr>
                    <w:adjustRightInd w:val="0"/>
                    <w:snapToGrid w:val="0"/>
                    <w:jc w:val="center"/>
                    <w:rPr>
                      <w:rFonts w:hint="default"/>
                      <w:color w:val="auto"/>
                      <w:sz w:val="21"/>
                      <w:szCs w:val="21"/>
                      <w:lang w:val="en-US" w:eastAsia="zh-CN"/>
                    </w:rPr>
                  </w:pPr>
                  <w:r>
                    <w:rPr>
                      <w:rFonts w:hint="eastAsia"/>
                      <w:color w:val="auto"/>
                      <w:sz w:val="21"/>
                      <w:szCs w:val="21"/>
                      <w:lang w:val="en-US" w:eastAsia="zh-CN"/>
                    </w:rPr>
                    <w:t>22</w:t>
                  </w:r>
                </w:p>
              </w:tc>
              <w:tc>
                <w:tcPr>
                  <w:tcW w:w="795" w:type="pct"/>
                  <w:noWrap w:val="0"/>
                  <w:vAlign w:val="center"/>
                </w:tcPr>
                <w:p w14:paraId="0D504C8F">
                  <w:pPr>
                    <w:adjustRightInd w:val="0"/>
                    <w:snapToGrid w:val="0"/>
                    <w:jc w:val="center"/>
                    <w:rPr>
                      <w:rFonts w:hint="default"/>
                      <w:color w:val="auto"/>
                      <w:sz w:val="21"/>
                      <w:szCs w:val="21"/>
                      <w:lang w:val="en-US" w:eastAsia="zh-CN"/>
                    </w:rPr>
                  </w:pPr>
                  <w:r>
                    <w:rPr>
                      <w:rFonts w:hint="eastAsia"/>
                      <w:color w:val="auto"/>
                      <w:sz w:val="21"/>
                      <w:szCs w:val="21"/>
                      <w:lang w:val="en-US" w:eastAsia="zh-CN"/>
                    </w:rPr>
                    <w:t>40</w:t>
                  </w:r>
                </w:p>
              </w:tc>
              <w:tc>
                <w:tcPr>
                  <w:tcW w:w="778" w:type="pct"/>
                  <w:noWrap w:val="0"/>
                  <w:vAlign w:val="center"/>
                </w:tcPr>
                <w:p w14:paraId="5CAE95FC">
                  <w:pPr>
                    <w:adjustRightInd w:val="0"/>
                    <w:snapToGrid w:val="0"/>
                    <w:jc w:val="center"/>
                    <w:rPr>
                      <w:rFonts w:hint="default"/>
                      <w:color w:val="auto"/>
                      <w:sz w:val="21"/>
                      <w:szCs w:val="21"/>
                      <w:lang w:val="en-US" w:eastAsia="zh-CN"/>
                    </w:rPr>
                  </w:pPr>
                  <w:r>
                    <w:rPr>
                      <w:rFonts w:hint="eastAsia"/>
                      <w:color w:val="auto"/>
                      <w:sz w:val="21"/>
                      <w:szCs w:val="21"/>
                      <w:lang w:val="en-US" w:eastAsia="zh-CN"/>
                    </w:rPr>
                    <w:t>55.00</w:t>
                  </w:r>
                </w:p>
              </w:tc>
              <w:tc>
                <w:tcPr>
                  <w:tcW w:w="833" w:type="pct"/>
                  <w:noWrap w:val="0"/>
                  <w:vAlign w:val="center"/>
                </w:tcPr>
                <w:p w14:paraId="53B0C0F8">
                  <w:pPr>
                    <w:adjustRightInd w:val="0"/>
                    <w:snapToGrid w:val="0"/>
                    <w:jc w:val="center"/>
                    <w:rPr>
                      <w:rFonts w:hint="default"/>
                      <w:color w:val="auto"/>
                      <w:sz w:val="21"/>
                      <w:szCs w:val="21"/>
                      <w:lang w:val="en-US" w:eastAsia="zh-CN"/>
                    </w:rPr>
                  </w:pPr>
                  <w:r>
                    <w:rPr>
                      <w:rFonts w:hint="default"/>
                      <w:color w:val="auto"/>
                      <w:sz w:val="21"/>
                      <w:szCs w:val="21"/>
                      <w:lang w:val="en-US" w:eastAsia="zh-CN"/>
                    </w:rPr>
                    <w:t>达标</w:t>
                  </w:r>
                </w:p>
              </w:tc>
            </w:tr>
            <w:tr w14:paraId="7196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0FB52B3C">
                  <w:pPr>
                    <w:adjustRightInd w:val="0"/>
                    <w:snapToGrid w:val="0"/>
                    <w:jc w:val="center"/>
                    <w:rPr>
                      <w:rFonts w:hint="default"/>
                      <w:color w:val="auto"/>
                      <w:sz w:val="21"/>
                      <w:szCs w:val="21"/>
                      <w:lang w:val="en-US" w:eastAsia="zh-CN"/>
                    </w:rPr>
                  </w:pPr>
                  <w:r>
                    <w:rPr>
                      <w:rFonts w:hint="default"/>
                      <w:color w:val="auto"/>
                      <w:sz w:val="21"/>
                      <w:szCs w:val="21"/>
                      <w:lang w:val="en-US" w:eastAsia="zh-CN"/>
                    </w:rPr>
                    <w:t>CO</w:t>
                  </w:r>
                </w:p>
              </w:tc>
              <w:tc>
                <w:tcPr>
                  <w:tcW w:w="1159" w:type="pct"/>
                  <w:noWrap w:val="0"/>
                  <w:vAlign w:val="center"/>
                </w:tcPr>
                <w:p w14:paraId="562F1F86">
                  <w:pPr>
                    <w:adjustRightInd w:val="0"/>
                    <w:snapToGrid w:val="0"/>
                    <w:jc w:val="center"/>
                    <w:rPr>
                      <w:rFonts w:hint="default"/>
                      <w:color w:val="auto"/>
                      <w:sz w:val="21"/>
                      <w:szCs w:val="21"/>
                      <w:lang w:val="en-US" w:eastAsia="zh-CN"/>
                    </w:rPr>
                  </w:pPr>
                  <w:r>
                    <w:rPr>
                      <w:rFonts w:hint="default"/>
                      <w:color w:val="auto"/>
                      <w:sz w:val="21"/>
                      <w:szCs w:val="21"/>
                      <w:lang w:val="en-US" w:eastAsia="zh-CN"/>
                    </w:rPr>
                    <w:t>日平均第95百分位质量浓度</w:t>
                  </w:r>
                </w:p>
              </w:tc>
              <w:tc>
                <w:tcPr>
                  <w:tcW w:w="782" w:type="pct"/>
                  <w:noWrap w:val="0"/>
                  <w:vAlign w:val="center"/>
                </w:tcPr>
                <w:p w14:paraId="5A6E9F2A">
                  <w:pPr>
                    <w:adjustRightInd w:val="0"/>
                    <w:snapToGrid w:val="0"/>
                    <w:jc w:val="center"/>
                    <w:rPr>
                      <w:rFonts w:hint="default"/>
                      <w:color w:val="auto"/>
                      <w:sz w:val="21"/>
                      <w:szCs w:val="21"/>
                      <w:lang w:val="en-US" w:eastAsia="zh-CN"/>
                    </w:rPr>
                  </w:pPr>
                  <w:r>
                    <w:rPr>
                      <w:rFonts w:hint="eastAsia"/>
                      <w:color w:val="auto"/>
                      <w:sz w:val="21"/>
                      <w:szCs w:val="21"/>
                      <w:lang w:val="en-US" w:eastAsia="zh-CN"/>
                    </w:rPr>
                    <w:t>0.8mg/m</w:t>
                  </w:r>
                  <w:r>
                    <w:rPr>
                      <w:rFonts w:hint="eastAsia"/>
                      <w:color w:val="auto"/>
                      <w:sz w:val="21"/>
                      <w:szCs w:val="21"/>
                      <w:vertAlign w:val="superscript"/>
                      <w:lang w:val="en-US" w:eastAsia="zh-CN"/>
                    </w:rPr>
                    <w:t>3</w:t>
                  </w:r>
                </w:p>
              </w:tc>
              <w:tc>
                <w:tcPr>
                  <w:tcW w:w="795" w:type="pct"/>
                  <w:noWrap w:val="0"/>
                  <w:vAlign w:val="center"/>
                </w:tcPr>
                <w:p w14:paraId="2710E241">
                  <w:pPr>
                    <w:adjustRightInd w:val="0"/>
                    <w:snapToGrid w:val="0"/>
                    <w:jc w:val="center"/>
                    <w:rPr>
                      <w:rFonts w:hint="default"/>
                      <w:color w:val="auto"/>
                      <w:sz w:val="21"/>
                      <w:szCs w:val="21"/>
                      <w:lang w:val="en-US" w:eastAsia="zh-CN"/>
                    </w:rPr>
                  </w:pPr>
                  <w:r>
                    <w:rPr>
                      <w:rFonts w:hint="eastAsia"/>
                      <w:color w:val="auto"/>
                      <w:sz w:val="21"/>
                      <w:szCs w:val="21"/>
                      <w:lang w:val="en-US" w:eastAsia="zh-CN"/>
                    </w:rPr>
                    <w:t>4mg/m</w:t>
                  </w:r>
                  <w:r>
                    <w:rPr>
                      <w:rFonts w:hint="eastAsia"/>
                      <w:color w:val="auto"/>
                      <w:sz w:val="21"/>
                      <w:szCs w:val="21"/>
                      <w:vertAlign w:val="superscript"/>
                      <w:lang w:val="en-US" w:eastAsia="zh-CN"/>
                    </w:rPr>
                    <w:t>3</w:t>
                  </w:r>
                </w:p>
              </w:tc>
              <w:tc>
                <w:tcPr>
                  <w:tcW w:w="778" w:type="pct"/>
                  <w:noWrap w:val="0"/>
                  <w:vAlign w:val="center"/>
                </w:tcPr>
                <w:p w14:paraId="45430732">
                  <w:pPr>
                    <w:adjustRightInd w:val="0"/>
                    <w:snapToGrid w:val="0"/>
                    <w:jc w:val="center"/>
                    <w:rPr>
                      <w:rFonts w:hint="default"/>
                      <w:color w:val="auto"/>
                      <w:sz w:val="21"/>
                      <w:szCs w:val="21"/>
                      <w:lang w:val="en-US" w:eastAsia="zh-CN"/>
                    </w:rPr>
                  </w:pPr>
                  <w:r>
                    <w:rPr>
                      <w:rFonts w:hint="eastAsia"/>
                      <w:color w:val="auto"/>
                      <w:sz w:val="21"/>
                      <w:szCs w:val="21"/>
                      <w:lang w:val="en-US" w:eastAsia="zh-CN"/>
                    </w:rPr>
                    <w:t>20.00</w:t>
                  </w:r>
                </w:p>
              </w:tc>
              <w:tc>
                <w:tcPr>
                  <w:tcW w:w="833" w:type="pct"/>
                  <w:noWrap w:val="0"/>
                  <w:vAlign w:val="center"/>
                </w:tcPr>
                <w:p w14:paraId="43D20A71">
                  <w:pPr>
                    <w:adjustRightInd w:val="0"/>
                    <w:snapToGrid w:val="0"/>
                    <w:jc w:val="center"/>
                    <w:rPr>
                      <w:rFonts w:hint="default"/>
                      <w:color w:val="auto"/>
                      <w:sz w:val="21"/>
                      <w:szCs w:val="21"/>
                      <w:lang w:val="en-US" w:eastAsia="zh-CN"/>
                    </w:rPr>
                  </w:pPr>
                  <w:r>
                    <w:rPr>
                      <w:rFonts w:hint="default"/>
                      <w:color w:val="auto"/>
                      <w:sz w:val="21"/>
                      <w:szCs w:val="21"/>
                      <w:lang w:val="en-US" w:eastAsia="zh-CN"/>
                    </w:rPr>
                    <w:t>达标</w:t>
                  </w:r>
                </w:p>
              </w:tc>
            </w:tr>
            <w:tr w14:paraId="13FE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0" w:type="pct"/>
                  <w:noWrap w:val="0"/>
                  <w:vAlign w:val="center"/>
                </w:tcPr>
                <w:p w14:paraId="42DFD4DD">
                  <w:pPr>
                    <w:adjustRightInd w:val="0"/>
                    <w:snapToGrid w:val="0"/>
                    <w:jc w:val="center"/>
                    <w:rPr>
                      <w:rFonts w:hint="default"/>
                      <w:color w:val="auto"/>
                      <w:sz w:val="21"/>
                      <w:szCs w:val="21"/>
                      <w:lang w:val="en-US" w:eastAsia="zh-CN"/>
                    </w:rPr>
                  </w:pPr>
                  <w:r>
                    <w:rPr>
                      <w:rFonts w:hint="default"/>
                      <w:color w:val="auto"/>
                      <w:sz w:val="21"/>
                      <w:szCs w:val="21"/>
                      <w:lang w:val="en-US" w:eastAsia="zh-CN"/>
                    </w:rPr>
                    <w:t>O</w:t>
                  </w:r>
                  <w:r>
                    <w:rPr>
                      <w:rFonts w:hint="eastAsia"/>
                      <w:color w:val="auto"/>
                      <w:sz w:val="21"/>
                      <w:szCs w:val="21"/>
                      <w:vertAlign w:val="subscript"/>
                      <w:lang w:val="en-US" w:eastAsia="zh-CN"/>
                    </w:rPr>
                    <w:t>3</w:t>
                  </w:r>
                </w:p>
              </w:tc>
              <w:tc>
                <w:tcPr>
                  <w:tcW w:w="1159" w:type="pct"/>
                  <w:noWrap w:val="0"/>
                  <w:vAlign w:val="center"/>
                </w:tcPr>
                <w:p w14:paraId="39F7DB66">
                  <w:pPr>
                    <w:adjustRightInd w:val="0"/>
                    <w:snapToGrid w:val="0"/>
                    <w:jc w:val="center"/>
                    <w:rPr>
                      <w:rFonts w:hint="default"/>
                      <w:color w:val="auto"/>
                      <w:sz w:val="21"/>
                      <w:szCs w:val="21"/>
                      <w:lang w:val="en-US" w:eastAsia="zh-CN"/>
                    </w:rPr>
                  </w:pPr>
                  <w:r>
                    <w:rPr>
                      <w:rFonts w:hint="default"/>
                      <w:color w:val="auto"/>
                      <w:sz w:val="21"/>
                      <w:szCs w:val="21"/>
                      <w:lang w:val="en-US" w:eastAsia="zh-CN"/>
                    </w:rPr>
                    <w:t>日最大8小时平均第90百分位质量浓度</w:t>
                  </w:r>
                </w:p>
              </w:tc>
              <w:tc>
                <w:tcPr>
                  <w:tcW w:w="782" w:type="pct"/>
                  <w:noWrap w:val="0"/>
                  <w:vAlign w:val="center"/>
                </w:tcPr>
                <w:p w14:paraId="39FFF7DC">
                  <w:pPr>
                    <w:adjustRightInd w:val="0"/>
                    <w:snapToGrid w:val="0"/>
                    <w:jc w:val="center"/>
                    <w:rPr>
                      <w:rFonts w:hint="default"/>
                      <w:color w:val="auto"/>
                      <w:sz w:val="21"/>
                      <w:szCs w:val="21"/>
                      <w:lang w:val="en-US" w:eastAsia="zh-CN"/>
                    </w:rPr>
                  </w:pPr>
                  <w:r>
                    <w:rPr>
                      <w:rFonts w:hint="eastAsia"/>
                      <w:color w:val="auto"/>
                      <w:sz w:val="21"/>
                      <w:szCs w:val="21"/>
                      <w:lang w:val="en-US" w:eastAsia="zh-CN"/>
                    </w:rPr>
                    <w:t>165</w:t>
                  </w:r>
                </w:p>
              </w:tc>
              <w:tc>
                <w:tcPr>
                  <w:tcW w:w="795" w:type="pct"/>
                  <w:noWrap w:val="0"/>
                  <w:vAlign w:val="center"/>
                </w:tcPr>
                <w:p w14:paraId="33B0B459">
                  <w:pPr>
                    <w:adjustRightInd w:val="0"/>
                    <w:snapToGrid w:val="0"/>
                    <w:jc w:val="center"/>
                    <w:rPr>
                      <w:rFonts w:hint="default"/>
                      <w:color w:val="auto"/>
                      <w:sz w:val="21"/>
                      <w:szCs w:val="21"/>
                      <w:lang w:val="en-US" w:eastAsia="zh-CN"/>
                    </w:rPr>
                  </w:pPr>
                  <w:r>
                    <w:rPr>
                      <w:rFonts w:hint="eastAsia"/>
                      <w:color w:val="auto"/>
                      <w:sz w:val="21"/>
                      <w:szCs w:val="21"/>
                      <w:lang w:val="en-US" w:eastAsia="zh-CN"/>
                    </w:rPr>
                    <w:t>160</w:t>
                  </w:r>
                </w:p>
              </w:tc>
              <w:tc>
                <w:tcPr>
                  <w:tcW w:w="778" w:type="pct"/>
                  <w:noWrap w:val="0"/>
                  <w:vAlign w:val="center"/>
                </w:tcPr>
                <w:p w14:paraId="64CFB2D0">
                  <w:pPr>
                    <w:adjustRightInd w:val="0"/>
                    <w:snapToGrid w:val="0"/>
                    <w:jc w:val="center"/>
                    <w:rPr>
                      <w:rFonts w:hint="default"/>
                      <w:color w:val="auto"/>
                      <w:sz w:val="21"/>
                      <w:szCs w:val="21"/>
                      <w:lang w:val="en-US" w:eastAsia="zh-CN"/>
                    </w:rPr>
                  </w:pPr>
                  <w:r>
                    <w:rPr>
                      <w:rFonts w:hint="eastAsia"/>
                      <w:color w:val="auto"/>
                      <w:sz w:val="21"/>
                      <w:szCs w:val="21"/>
                      <w:lang w:val="en-US" w:eastAsia="zh-CN"/>
                    </w:rPr>
                    <w:t>101.88</w:t>
                  </w:r>
                </w:p>
              </w:tc>
              <w:tc>
                <w:tcPr>
                  <w:tcW w:w="833" w:type="pct"/>
                  <w:noWrap w:val="0"/>
                  <w:vAlign w:val="center"/>
                </w:tcPr>
                <w:p w14:paraId="24981594">
                  <w:pPr>
                    <w:adjustRightInd w:val="0"/>
                    <w:snapToGrid w:val="0"/>
                    <w:jc w:val="center"/>
                    <w:rPr>
                      <w:rFonts w:hint="default"/>
                      <w:color w:val="auto"/>
                      <w:sz w:val="21"/>
                      <w:szCs w:val="21"/>
                      <w:lang w:val="en-US" w:eastAsia="zh-CN"/>
                    </w:rPr>
                  </w:pPr>
                  <w:r>
                    <w:rPr>
                      <w:rFonts w:hint="eastAsia"/>
                      <w:color w:val="auto"/>
                      <w:sz w:val="21"/>
                      <w:szCs w:val="21"/>
                      <w:lang w:val="en-US" w:eastAsia="zh-CN"/>
                    </w:rPr>
                    <w:t>不</w:t>
                  </w:r>
                  <w:r>
                    <w:rPr>
                      <w:rFonts w:hint="default"/>
                      <w:color w:val="auto"/>
                      <w:sz w:val="21"/>
                      <w:szCs w:val="21"/>
                      <w:lang w:val="en-US" w:eastAsia="zh-CN"/>
                    </w:rPr>
                    <w:t>达标</w:t>
                  </w:r>
                </w:p>
              </w:tc>
            </w:tr>
          </w:tbl>
          <w:p w14:paraId="33D3C9E9">
            <w:pPr>
              <w:adjustRightInd w:val="0"/>
              <w:snapToGrid w:val="0"/>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宿州市2023年PM</w:t>
            </w:r>
            <w:r>
              <w:rPr>
                <w:rFonts w:hint="eastAsia"/>
                <w:color w:val="auto"/>
                <w:sz w:val="24"/>
                <w:szCs w:val="24"/>
                <w:vertAlign w:val="subscript"/>
                <w:lang w:val="en-US" w:eastAsia="zh-CN"/>
              </w:rPr>
              <w:t>10</w:t>
            </w:r>
            <w:r>
              <w:rPr>
                <w:rFonts w:hint="eastAsia"/>
                <w:color w:val="auto"/>
                <w:sz w:val="24"/>
                <w:szCs w:val="24"/>
                <w:lang w:val="en-US" w:eastAsia="zh-CN"/>
              </w:rPr>
              <w:t>、PM</w:t>
            </w:r>
            <w:r>
              <w:rPr>
                <w:rFonts w:hint="eastAsia" w:ascii="Times New Roman" w:hAnsi="Times New Roman" w:eastAsia="宋体" w:cs="Times New Roman"/>
                <w:color w:val="auto"/>
                <w:sz w:val="24"/>
                <w:szCs w:val="24"/>
                <w:vertAlign w:val="subscript"/>
                <w:lang w:val="en-US" w:eastAsia="zh-CN"/>
              </w:rPr>
              <w:t>2.5</w:t>
            </w:r>
            <w:r>
              <w:rPr>
                <w:rFonts w:hint="eastAsia"/>
                <w:color w:val="auto"/>
                <w:sz w:val="24"/>
                <w:szCs w:val="24"/>
                <w:lang w:val="en-US" w:eastAsia="zh-CN"/>
              </w:rPr>
              <w:t>、SO</w:t>
            </w:r>
            <w:r>
              <w:rPr>
                <w:rFonts w:hint="eastAsia" w:ascii="Times New Roman" w:hAnsi="Times New Roman" w:eastAsia="宋体" w:cs="Times New Roman"/>
                <w:color w:val="auto"/>
                <w:sz w:val="24"/>
                <w:szCs w:val="24"/>
                <w:vertAlign w:val="subscript"/>
                <w:lang w:val="en-US" w:eastAsia="zh-CN"/>
              </w:rPr>
              <w:t>2</w:t>
            </w:r>
            <w:r>
              <w:rPr>
                <w:rFonts w:hint="eastAsia"/>
                <w:color w:val="auto"/>
                <w:sz w:val="24"/>
                <w:szCs w:val="24"/>
                <w:lang w:val="en-US" w:eastAsia="zh-CN"/>
              </w:rPr>
              <w:t>、NO</w:t>
            </w:r>
            <w:r>
              <w:rPr>
                <w:rFonts w:hint="eastAsia" w:ascii="Times New Roman" w:hAnsi="Times New Roman" w:eastAsia="宋体" w:cs="Times New Roman"/>
                <w:color w:val="auto"/>
                <w:sz w:val="24"/>
                <w:szCs w:val="24"/>
                <w:vertAlign w:val="subscript"/>
                <w:lang w:val="en-US" w:eastAsia="zh-CN"/>
              </w:rPr>
              <w:t>2</w:t>
            </w:r>
            <w:r>
              <w:rPr>
                <w:rFonts w:hint="eastAsia"/>
                <w:color w:val="auto"/>
                <w:sz w:val="24"/>
                <w:szCs w:val="24"/>
                <w:lang w:val="en-US" w:eastAsia="zh-CN"/>
              </w:rPr>
              <w:t>年均浓度分别为</w:t>
            </w:r>
            <w:r>
              <w:rPr>
                <w:rFonts w:hint="default"/>
                <w:color w:val="auto"/>
                <w:sz w:val="21"/>
                <w:szCs w:val="21"/>
                <w:lang w:val="en-US" w:eastAsia="zh-CN"/>
              </w:rPr>
              <w:t>μ</w:t>
            </w:r>
            <w:r>
              <w:rPr>
                <w:rFonts w:hint="eastAsia"/>
                <w:color w:val="auto"/>
                <w:sz w:val="24"/>
                <w:szCs w:val="24"/>
                <w:lang w:val="en-US" w:eastAsia="zh-CN"/>
              </w:rPr>
              <w:t>g/m</w:t>
            </w:r>
            <w:r>
              <w:rPr>
                <w:rFonts w:hint="eastAsia"/>
                <w:color w:val="auto"/>
                <w:sz w:val="24"/>
                <w:szCs w:val="24"/>
                <w:vertAlign w:val="superscript"/>
                <w:lang w:val="en-US" w:eastAsia="zh-CN"/>
              </w:rPr>
              <w:t>3</w:t>
            </w:r>
            <w:r>
              <w:rPr>
                <w:rFonts w:hint="eastAsia"/>
                <w:color w:val="auto"/>
                <w:sz w:val="24"/>
                <w:szCs w:val="24"/>
                <w:lang w:val="en-US" w:eastAsia="zh-CN"/>
              </w:rPr>
              <w:t>、41</w:t>
            </w:r>
            <w:r>
              <w:rPr>
                <w:rFonts w:hint="default"/>
                <w:color w:val="auto"/>
                <w:sz w:val="21"/>
                <w:szCs w:val="21"/>
                <w:lang w:val="en-US" w:eastAsia="zh-CN"/>
              </w:rPr>
              <w:t>μ</w:t>
            </w:r>
            <w:r>
              <w:rPr>
                <w:rFonts w:hint="eastAsia"/>
                <w:color w:val="auto"/>
                <w:sz w:val="24"/>
                <w:szCs w:val="24"/>
                <w:lang w:val="en-US" w:eastAsia="zh-CN"/>
              </w:rPr>
              <w:t>g/m</w:t>
            </w:r>
            <w:r>
              <w:rPr>
                <w:rFonts w:hint="eastAsia" w:ascii="Times New Roman" w:hAnsi="Times New Roman" w:eastAsia="宋体" w:cs="Times New Roman"/>
                <w:color w:val="auto"/>
                <w:sz w:val="24"/>
                <w:szCs w:val="24"/>
                <w:vertAlign w:val="superscript"/>
                <w:lang w:val="en-US" w:eastAsia="zh-CN"/>
              </w:rPr>
              <w:t>3</w:t>
            </w:r>
            <w:r>
              <w:rPr>
                <w:rFonts w:hint="eastAsia"/>
                <w:color w:val="auto"/>
                <w:sz w:val="24"/>
                <w:szCs w:val="24"/>
                <w:lang w:val="en-US" w:eastAsia="zh-CN"/>
              </w:rPr>
              <w:t>、6</w:t>
            </w:r>
            <w:r>
              <w:rPr>
                <w:rFonts w:hint="default"/>
                <w:color w:val="auto"/>
                <w:sz w:val="21"/>
                <w:szCs w:val="21"/>
                <w:lang w:val="en-US" w:eastAsia="zh-CN"/>
              </w:rPr>
              <w:t>μ</w:t>
            </w:r>
            <w:r>
              <w:rPr>
                <w:rFonts w:hint="eastAsia"/>
                <w:color w:val="auto"/>
                <w:sz w:val="24"/>
                <w:szCs w:val="24"/>
                <w:lang w:val="en-US" w:eastAsia="zh-CN"/>
              </w:rPr>
              <w:t>g/m</w:t>
            </w:r>
            <w:r>
              <w:rPr>
                <w:rFonts w:hint="eastAsia" w:ascii="Times New Roman" w:hAnsi="Times New Roman" w:eastAsia="宋体" w:cs="Times New Roman"/>
                <w:color w:val="auto"/>
                <w:sz w:val="24"/>
                <w:szCs w:val="24"/>
                <w:vertAlign w:val="superscript"/>
                <w:lang w:val="en-US" w:eastAsia="zh-CN"/>
              </w:rPr>
              <w:t>3</w:t>
            </w:r>
            <w:r>
              <w:rPr>
                <w:rFonts w:hint="eastAsia"/>
                <w:color w:val="auto"/>
                <w:sz w:val="24"/>
                <w:szCs w:val="24"/>
                <w:lang w:val="en-US" w:eastAsia="zh-CN"/>
              </w:rPr>
              <w:t>、22</w:t>
            </w:r>
            <w:r>
              <w:rPr>
                <w:rFonts w:hint="default"/>
                <w:color w:val="auto"/>
                <w:sz w:val="21"/>
                <w:szCs w:val="21"/>
                <w:lang w:val="en-US" w:eastAsia="zh-CN"/>
              </w:rPr>
              <w:t>μ</w:t>
            </w:r>
            <w:r>
              <w:rPr>
                <w:rFonts w:hint="eastAsia"/>
                <w:color w:val="auto"/>
                <w:sz w:val="24"/>
                <w:szCs w:val="24"/>
                <w:lang w:val="en-US" w:eastAsia="zh-CN"/>
              </w:rPr>
              <w:t>g/m</w:t>
            </w:r>
            <w:r>
              <w:rPr>
                <w:rFonts w:hint="eastAsia" w:ascii="Times New Roman" w:hAnsi="Times New Roman" w:eastAsia="宋体" w:cs="Times New Roman"/>
                <w:color w:val="auto"/>
                <w:sz w:val="24"/>
                <w:szCs w:val="24"/>
                <w:vertAlign w:val="superscript"/>
                <w:lang w:val="en-US" w:eastAsia="zh-CN"/>
              </w:rPr>
              <w:t>3</w:t>
            </w:r>
            <w:r>
              <w:rPr>
                <w:rFonts w:hint="eastAsia"/>
                <w:color w:val="auto"/>
                <w:sz w:val="24"/>
                <w:szCs w:val="24"/>
                <w:lang w:val="en-US" w:eastAsia="zh-CN"/>
              </w:rPr>
              <w:t>；CO24小时平均第95百分位数为0.8mg/m</w:t>
            </w:r>
            <w:r>
              <w:rPr>
                <w:rFonts w:hint="eastAsia" w:ascii="Times New Roman" w:hAnsi="Times New Roman" w:eastAsia="宋体" w:cs="Times New Roman"/>
                <w:color w:val="auto"/>
                <w:sz w:val="24"/>
                <w:szCs w:val="24"/>
                <w:vertAlign w:val="superscript"/>
                <w:lang w:val="en-US" w:eastAsia="zh-CN"/>
              </w:rPr>
              <w:t>3</w:t>
            </w:r>
            <w:r>
              <w:rPr>
                <w:rFonts w:hint="eastAsia"/>
                <w:color w:val="auto"/>
                <w:sz w:val="24"/>
                <w:szCs w:val="24"/>
                <w:lang w:val="en-US" w:eastAsia="zh-CN"/>
              </w:rPr>
              <w:t>，O</w:t>
            </w:r>
            <w:r>
              <w:rPr>
                <w:rFonts w:hint="eastAsia" w:ascii="Times New Roman" w:hAnsi="Times New Roman" w:eastAsia="宋体" w:cs="Times New Roman"/>
                <w:color w:val="auto"/>
                <w:sz w:val="24"/>
                <w:szCs w:val="24"/>
                <w:vertAlign w:val="subscript"/>
                <w:lang w:val="en-US" w:eastAsia="zh-CN"/>
              </w:rPr>
              <w:t>3</w:t>
            </w:r>
            <w:r>
              <w:rPr>
                <w:rFonts w:hint="eastAsia"/>
                <w:color w:val="auto"/>
                <w:sz w:val="24"/>
                <w:szCs w:val="24"/>
                <w:lang w:val="en-US" w:eastAsia="zh-CN"/>
              </w:rPr>
              <w:t>日最大8小时平均第90百分位数为165</w:t>
            </w:r>
            <w:r>
              <w:rPr>
                <w:rFonts w:hint="default"/>
                <w:color w:val="auto"/>
                <w:sz w:val="21"/>
                <w:szCs w:val="21"/>
                <w:lang w:val="en-US" w:eastAsia="zh-CN"/>
              </w:rPr>
              <w:t>μg</w:t>
            </w:r>
            <w:r>
              <w:rPr>
                <w:rFonts w:hint="eastAsia"/>
                <w:color w:val="auto"/>
                <w:sz w:val="24"/>
                <w:szCs w:val="24"/>
                <w:lang w:val="en-US" w:eastAsia="zh-CN"/>
              </w:rPr>
              <w:t>g/m</w:t>
            </w:r>
            <w:r>
              <w:rPr>
                <w:rFonts w:hint="eastAsia" w:ascii="Times New Roman" w:hAnsi="Times New Roman" w:eastAsia="宋体" w:cs="Times New Roman"/>
                <w:color w:val="auto"/>
                <w:sz w:val="24"/>
                <w:szCs w:val="24"/>
                <w:vertAlign w:val="superscript"/>
                <w:lang w:val="en-US" w:eastAsia="zh-CN"/>
              </w:rPr>
              <w:t>3</w:t>
            </w:r>
            <w:r>
              <w:rPr>
                <w:rFonts w:hint="eastAsia"/>
                <w:color w:val="auto"/>
                <w:sz w:val="24"/>
                <w:szCs w:val="24"/>
                <w:lang w:val="en-US" w:eastAsia="zh-CN"/>
              </w:rPr>
              <w:t>；超过《环境空气质量标准》（GB3095-2012）中二级标准限值的污染物为O</w:t>
            </w:r>
            <w:r>
              <w:rPr>
                <w:rFonts w:hint="eastAsia" w:ascii="Times New Roman" w:hAnsi="Times New Roman" w:eastAsia="宋体" w:cs="Times New Roman"/>
                <w:color w:val="auto"/>
                <w:sz w:val="24"/>
                <w:szCs w:val="24"/>
                <w:vertAlign w:val="subscript"/>
                <w:lang w:val="en-US" w:eastAsia="zh-CN"/>
              </w:rPr>
              <w:t>3</w:t>
            </w:r>
            <w:r>
              <w:rPr>
                <w:rFonts w:hint="eastAsia"/>
                <w:color w:val="auto"/>
                <w:sz w:val="24"/>
                <w:szCs w:val="24"/>
                <w:lang w:val="en-US" w:eastAsia="zh-CN"/>
              </w:rPr>
              <w:t>、PM</w:t>
            </w:r>
            <w:r>
              <w:rPr>
                <w:rFonts w:hint="eastAsia" w:ascii="Times New Roman" w:hAnsi="Times New Roman" w:eastAsia="宋体" w:cs="Times New Roman"/>
                <w:color w:val="auto"/>
                <w:sz w:val="24"/>
                <w:szCs w:val="24"/>
                <w:vertAlign w:val="subscript"/>
                <w:lang w:val="en-US" w:eastAsia="zh-CN"/>
              </w:rPr>
              <w:t>2.5</w:t>
            </w:r>
            <w:r>
              <w:rPr>
                <w:rFonts w:hint="eastAsia"/>
                <w:color w:val="auto"/>
                <w:sz w:val="24"/>
                <w:szCs w:val="24"/>
                <w:lang w:val="en-US" w:eastAsia="zh-CN"/>
              </w:rPr>
              <w:t>、PM</w:t>
            </w:r>
            <w:r>
              <w:rPr>
                <w:rFonts w:hint="eastAsia" w:ascii="Times New Roman" w:hAnsi="Times New Roman" w:eastAsia="宋体" w:cs="Times New Roman"/>
                <w:color w:val="auto"/>
                <w:sz w:val="24"/>
                <w:szCs w:val="24"/>
                <w:vertAlign w:val="subscript"/>
                <w:lang w:val="en-US" w:eastAsia="zh-CN"/>
              </w:rPr>
              <w:t>10</w:t>
            </w:r>
            <w:r>
              <w:rPr>
                <w:rFonts w:hint="eastAsia"/>
                <w:color w:val="auto"/>
                <w:sz w:val="24"/>
                <w:szCs w:val="24"/>
                <w:lang w:val="en-US" w:eastAsia="zh-CN"/>
              </w:rPr>
              <w:t>。所以项目所在地为大气环境空气质量不达标区。</w:t>
            </w:r>
          </w:p>
          <w:p w14:paraId="3B5AAD87">
            <w:pPr>
              <w:adjustRightInd w:val="0"/>
              <w:snapToGrid w:val="0"/>
              <w:spacing w:line="360" w:lineRule="auto"/>
              <w:ind w:firstLine="480" w:firstLineChars="200"/>
              <w:jc w:val="lef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特征污染物</w:t>
            </w:r>
          </w:p>
          <w:p w14:paraId="6FFA30ED">
            <w:pPr>
              <w:adjustRightInd w:val="0"/>
              <w:snapToGrid w:val="0"/>
              <w:spacing w:line="360" w:lineRule="auto"/>
              <w:ind w:firstLine="480" w:firstLineChars="200"/>
              <w:jc w:val="left"/>
              <w:rPr>
                <w:color w:val="auto"/>
                <w:sz w:val="24"/>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项目位于</w:t>
            </w:r>
            <w:r>
              <w:rPr>
                <w:color w:val="000000" w:themeColor="text1"/>
                <w:kern w:val="0"/>
                <w:sz w:val="24"/>
                <w14:textFill>
                  <w14:solidFill>
                    <w14:schemeClr w14:val="tx1"/>
                  </w14:solidFill>
                </w14:textFill>
              </w:rPr>
              <w:t>安徽省宿州市埇桥区桃园镇浍光村</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本项目大气环境委托安徽精检分析股份有限公司进行检测，大气环境质量现状检测结果（</w:t>
            </w:r>
            <w:r>
              <w:rPr>
                <w:rFonts w:hint="eastAsia"/>
                <w:color w:val="auto"/>
                <w:sz w:val="24"/>
              </w:rPr>
              <w:t>报告编号：</w:t>
            </w:r>
            <w:r>
              <w:rPr>
                <w:rFonts w:hint="eastAsia"/>
                <w:color w:val="auto"/>
                <w:sz w:val="24"/>
                <w:lang w:val="en-US" w:eastAsia="zh-CN"/>
              </w:rPr>
              <w:t>JJHP2023006</w:t>
            </w:r>
            <w:r>
              <w:rPr>
                <w:rFonts w:hint="eastAsia"/>
                <w:color w:val="auto"/>
                <w:sz w:val="24"/>
              </w:rPr>
              <w:t>，签发日期：</w:t>
            </w:r>
            <w:r>
              <w:rPr>
                <w:color w:val="auto"/>
                <w:sz w:val="24"/>
              </w:rPr>
              <w:t>202</w:t>
            </w:r>
            <w:r>
              <w:rPr>
                <w:rFonts w:hint="eastAsia"/>
                <w:color w:val="auto"/>
                <w:sz w:val="24"/>
              </w:rPr>
              <w:t>3</w:t>
            </w:r>
            <w:r>
              <w:rPr>
                <w:color w:val="auto"/>
                <w:sz w:val="24"/>
              </w:rPr>
              <w:t>年</w:t>
            </w:r>
            <w:r>
              <w:rPr>
                <w:rFonts w:hint="eastAsia"/>
                <w:color w:val="auto"/>
                <w:sz w:val="24"/>
                <w:lang w:val="en-US" w:eastAsia="zh-CN"/>
              </w:rPr>
              <w:t>4</w:t>
            </w:r>
            <w:r>
              <w:rPr>
                <w:color w:val="auto"/>
                <w:sz w:val="24"/>
              </w:rPr>
              <w:t>月</w:t>
            </w:r>
            <w:r>
              <w:rPr>
                <w:rFonts w:hint="eastAsia"/>
                <w:color w:val="auto"/>
                <w:sz w:val="24"/>
                <w:lang w:val="en-US" w:eastAsia="zh-CN"/>
              </w:rPr>
              <w:t>6</w:t>
            </w:r>
            <w:r>
              <w:rPr>
                <w:color w:val="auto"/>
                <w:sz w:val="24"/>
              </w:rPr>
              <w:t>日</w:t>
            </w:r>
            <w:r>
              <w:rPr>
                <w:rFonts w:hint="eastAsia"/>
                <w:color w:val="auto"/>
                <w:sz w:val="24"/>
              </w:rPr>
              <w:t>）详见下表：</w:t>
            </w:r>
          </w:p>
          <w:p w14:paraId="04FF840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大气环境质量监测结果一览表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474"/>
              <w:gridCol w:w="890"/>
              <w:gridCol w:w="190"/>
              <w:gridCol w:w="960"/>
              <w:gridCol w:w="323"/>
              <w:gridCol w:w="518"/>
              <w:gridCol w:w="670"/>
              <w:gridCol w:w="427"/>
              <w:gridCol w:w="261"/>
              <w:gridCol w:w="916"/>
              <w:gridCol w:w="903"/>
            </w:tblGrid>
            <w:tr w14:paraId="7D43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2" w:type="dxa"/>
                  <w:gridSpan w:val="12"/>
                  <w:tcBorders>
                    <w:tl2br w:val="nil"/>
                    <w:tr2bl w:val="nil"/>
                  </w:tcBorders>
                  <w:noWrap w:val="0"/>
                  <w:vAlign w:val="center"/>
                </w:tcPr>
                <w:p w14:paraId="72BEC7A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检测信息表</w:t>
                  </w:r>
                </w:p>
              </w:tc>
            </w:tr>
            <w:tr w14:paraId="352A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36" w:type="dxa"/>
                  <w:gridSpan w:val="2"/>
                  <w:tcBorders>
                    <w:tl2br w:val="nil"/>
                    <w:tr2bl w:val="nil"/>
                  </w:tcBorders>
                  <w:noWrap w:val="0"/>
                  <w:vAlign w:val="center"/>
                </w:tcPr>
                <w:p w14:paraId="523E3A4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检测类型</w:t>
                  </w:r>
                </w:p>
              </w:tc>
              <w:tc>
                <w:tcPr>
                  <w:tcW w:w="3004" w:type="dxa"/>
                  <w:gridSpan w:val="4"/>
                  <w:tcBorders>
                    <w:tl2br w:val="nil"/>
                    <w:tr2bl w:val="nil"/>
                  </w:tcBorders>
                  <w:noWrap w:val="0"/>
                  <w:vAlign w:val="center"/>
                </w:tcPr>
                <w:p w14:paraId="44D0049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环评现状检测</w:t>
                  </w:r>
                </w:p>
              </w:tc>
              <w:tc>
                <w:tcPr>
                  <w:tcW w:w="2670" w:type="dxa"/>
                  <w:gridSpan w:val="4"/>
                  <w:tcBorders>
                    <w:tl2br w:val="nil"/>
                    <w:tr2bl w:val="nil"/>
                  </w:tcBorders>
                  <w:noWrap w:val="0"/>
                  <w:vAlign w:val="center"/>
                </w:tcPr>
                <w:p w14:paraId="7539E16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采样人</w:t>
                  </w:r>
                </w:p>
              </w:tc>
              <w:tc>
                <w:tcPr>
                  <w:tcW w:w="2672" w:type="dxa"/>
                  <w:gridSpan w:val="2"/>
                  <w:tcBorders>
                    <w:tl2br w:val="nil"/>
                    <w:tr2bl w:val="nil"/>
                  </w:tcBorders>
                  <w:noWrap w:val="0"/>
                  <w:vAlign w:val="center"/>
                </w:tcPr>
                <w:p w14:paraId="4FE955D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李虎、刘明魁</w:t>
                  </w:r>
                </w:p>
              </w:tc>
            </w:tr>
            <w:tr w14:paraId="29A8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36" w:type="dxa"/>
                  <w:gridSpan w:val="2"/>
                  <w:tcBorders>
                    <w:tl2br w:val="nil"/>
                    <w:tr2bl w:val="nil"/>
                  </w:tcBorders>
                  <w:noWrap w:val="0"/>
                  <w:vAlign w:val="center"/>
                </w:tcPr>
                <w:p w14:paraId="26248B1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采样日期</w:t>
                  </w:r>
                </w:p>
              </w:tc>
              <w:tc>
                <w:tcPr>
                  <w:tcW w:w="3004" w:type="dxa"/>
                  <w:gridSpan w:val="4"/>
                  <w:tcBorders>
                    <w:tl2br w:val="nil"/>
                    <w:tr2bl w:val="nil"/>
                  </w:tcBorders>
                  <w:noWrap w:val="0"/>
                  <w:vAlign w:val="center"/>
                </w:tcPr>
                <w:p w14:paraId="2873C4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w:t>
                  </w:r>
                  <w:r>
                    <w:rPr>
                      <w:rFonts w:hint="eastAsia"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年</w:t>
                  </w:r>
                  <w:r>
                    <w:rPr>
                      <w:rFonts w:hint="eastAsia" w:ascii="Times New Roman" w:hAnsi="Times New Roman" w:cs="Times New Roman"/>
                      <w:b w:val="0"/>
                      <w:bCs w:val="0"/>
                      <w:color w:val="auto"/>
                      <w:sz w:val="21"/>
                      <w:szCs w:val="21"/>
                      <w:lang w:val="en-US" w:eastAsia="zh-CN"/>
                    </w:rPr>
                    <w:t>03</w:t>
                  </w:r>
                  <w:r>
                    <w:rPr>
                      <w:rFonts w:hint="default" w:ascii="Times New Roman" w:hAnsi="Times New Roman" w:eastAsia="宋体" w:cs="Times New Roman"/>
                      <w:b w:val="0"/>
                      <w:bCs w:val="0"/>
                      <w:color w:val="auto"/>
                      <w:sz w:val="21"/>
                      <w:szCs w:val="21"/>
                      <w:lang w:val="en-US" w:eastAsia="zh-CN"/>
                    </w:rPr>
                    <w:t>月</w:t>
                  </w:r>
                  <w:r>
                    <w:rPr>
                      <w:rFonts w:hint="eastAsia" w:ascii="Times New Roman" w:hAnsi="Times New Roman" w:cs="Times New Roman"/>
                      <w:b w:val="0"/>
                      <w:bCs w:val="0"/>
                      <w:color w:val="auto"/>
                      <w:sz w:val="21"/>
                      <w:szCs w:val="21"/>
                      <w:lang w:val="en-US" w:eastAsia="zh-CN"/>
                    </w:rPr>
                    <w:t>12</w:t>
                  </w:r>
                  <w:r>
                    <w:rPr>
                      <w:rFonts w:hint="default" w:ascii="Times New Roman" w:hAnsi="Times New Roman" w:eastAsia="宋体" w:cs="Times New Roman"/>
                      <w:b w:val="0"/>
                      <w:bCs w:val="0"/>
                      <w:color w:val="auto"/>
                      <w:sz w:val="21"/>
                      <w:szCs w:val="21"/>
                      <w:lang w:val="en-US" w:eastAsia="zh-CN"/>
                    </w:rPr>
                    <w:t>日-</w:t>
                  </w:r>
                  <w:r>
                    <w:rPr>
                      <w:rFonts w:hint="eastAsia" w:ascii="Times New Roman" w:hAnsi="Times New Roman" w:cs="Times New Roman"/>
                      <w:b w:val="0"/>
                      <w:bCs w:val="0"/>
                      <w:color w:val="auto"/>
                      <w:sz w:val="21"/>
                      <w:szCs w:val="21"/>
                      <w:lang w:val="en-US" w:eastAsia="zh-CN"/>
                    </w:rPr>
                    <w:t>03</w:t>
                  </w:r>
                  <w:r>
                    <w:rPr>
                      <w:rFonts w:hint="default" w:ascii="Times New Roman" w:hAnsi="Times New Roman" w:eastAsia="宋体" w:cs="Times New Roman"/>
                      <w:b w:val="0"/>
                      <w:bCs w:val="0"/>
                      <w:color w:val="auto"/>
                      <w:sz w:val="21"/>
                      <w:szCs w:val="21"/>
                      <w:lang w:val="en-US" w:eastAsia="zh-CN"/>
                    </w:rPr>
                    <w:t>月</w:t>
                  </w:r>
                  <w:r>
                    <w:rPr>
                      <w:rFonts w:hint="eastAsia" w:ascii="Times New Roman" w:hAnsi="Times New Roman" w:cs="Times New Roman"/>
                      <w:b w:val="0"/>
                      <w:bCs w:val="0"/>
                      <w:color w:val="auto"/>
                      <w:sz w:val="21"/>
                      <w:szCs w:val="21"/>
                      <w:lang w:val="en-US" w:eastAsia="zh-CN"/>
                    </w:rPr>
                    <w:t>14</w:t>
                  </w:r>
                  <w:r>
                    <w:rPr>
                      <w:rFonts w:hint="default" w:ascii="Times New Roman" w:hAnsi="Times New Roman" w:eastAsia="宋体" w:cs="Times New Roman"/>
                      <w:b w:val="0"/>
                      <w:bCs w:val="0"/>
                      <w:color w:val="auto"/>
                      <w:sz w:val="21"/>
                      <w:szCs w:val="21"/>
                      <w:lang w:val="en-US" w:eastAsia="zh-CN"/>
                    </w:rPr>
                    <w:t>日</w:t>
                  </w:r>
                </w:p>
              </w:tc>
              <w:tc>
                <w:tcPr>
                  <w:tcW w:w="2670" w:type="dxa"/>
                  <w:gridSpan w:val="4"/>
                  <w:tcBorders>
                    <w:tl2br w:val="nil"/>
                    <w:tr2bl w:val="nil"/>
                  </w:tcBorders>
                  <w:noWrap w:val="0"/>
                  <w:vAlign w:val="center"/>
                </w:tcPr>
                <w:p w14:paraId="35269C0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分析</w:t>
                  </w:r>
                  <w:r>
                    <w:rPr>
                      <w:rFonts w:hint="default" w:ascii="Times New Roman" w:hAnsi="Times New Roman" w:eastAsia="宋体" w:cs="Times New Roman"/>
                      <w:b w:val="0"/>
                      <w:bCs w:val="0"/>
                      <w:color w:val="auto"/>
                      <w:sz w:val="21"/>
                      <w:szCs w:val="21"/>
                    </w:rPr>
                    <w:t>日期</w:t>
                  </w:r>
                </w:p>
              </w:tc>
              <w:tc>
                <w:tcPr>
                  <w:tcW w:w="2672" w:type="dxa"/>
                  <w:gridSpan w:val="2"/>
                  <w:tcBorders>
                    <w:tl2br w:val="nil"/>
                    <w:tr2bl w:val="nil"/>
                  </w:tcBorders>
                  <w:noWrap w:val="0"/>
                  <w:vAlign w:val="center"/>
                </w:tcPr>
                <w:p w14:paraId="614441B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年</w:t>
                  </w:r>
                  <w:r>
                    <w:rPr>
                      <w:rFonts w:hint="eastAsia" w:ascii="Times New Roman" w:hAnsi="Times New Roman" w:cs="Times New Roman"/>
                      <w:color w:val="auto"/>
                      <w:sz w:val="21"/>
                      <w:szCs w:val="21"/>
                      <w:lang w:val="en-US" w:eastAsia="zh-CN"/>
                    </w:rPr>
                    <w:t>03</w:t>
                  </w:r>
                  <w:r>
                    <w:rPr>
                      <w:rFonts w:hint="default" w:ascii="Times New Roman" w:hAnsi="Times New Roman" w:eastAsia="宋体" w:cs="Times New Roman"/>
                      <w:color w:val="auto"/>
                      <w:sz w:val="21"/>
                      <w:szCs w:val="21"/>
                      <w:lang w:val="en-US" w:eastAsia="zh-CN"/>
                    </w:rPr>
                    <w:t>月</w:t>
                  </w:r>
                  <w:r>
                    <w:rPr>
                      <w:rFonts w:hint="eastAsia" w:ascii="Times New Roman" w:hAnsi="Times New Roman"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lang w:eastAsia="zh-CN"/>
                    </w:rPr>
                    <w:t>始</w:t>
                  </w:r>
                </w:p>
              </w:tc>
            </w:tr>
            <w:tr w14:paraId="58F0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2" w:type="dxa"/>
                  <w:gridSpan w:val="12"/>
                  <w:tcBorders>
                    <w:tl2br w:val="nil"/>
                    <w:tr2bl w:val="nil"/>
                  </w:tcBorders>
                  <w:noWrap w:val="0"/>
                  <w:vAlign w:val="center"/>
                </w:tcPr>
                <w:p w14:paraId="389BD02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大气检测气象参数</w:t>
                  </w:r>
                </w:p>
              </w:tc>
            </w:tr>
            <w:tr w14:paraId="541B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9" w:type="dxa"/>
                  <w:tcBorders>
                    <w:tl2br w:val="nil"/>
                    <w:tr2bl w:val="nil"/>
                  </w:tcBorders>
                  <w:noWrap w:val="0"/>
                  <w:vAlign w:val="center"/>
                </w:tcPr>
                <w:p w14:paraId="6A8581C8">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采样日期</w:t>
                  </w:r>
                </w:p>
              </w:tc>
              <w:tc>
                <w:tcPr>
                  <w:tcW w:w="1545" w:type="dxa"/>
                  <w:gridSpan w:val="2"/>
                  <w:tcBorders>
                    <w:tl2br w:val="nil"/>
                    <w:tr2bl w:val="nil"/>
                  </w:tcBorders>
                  <w:noWrap w:val="0"/>
                  <w:vAlign w:val="center"/>
                </w:tcPr>
                <w:p w14:paraId="442DB4C6">
                  <w:pPr>
                    <w:spacing w:line="240" w:lineRule="atLeast"/>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采样时间</w:t>
                  </w:r>
                </w:p>
              </w:tc>
              <w:tc>
                <w:tcPr>
                  <w:tcW w:w="1465" w:type="dxa"/>
                  <w:gridSpan w:val="2"/>
                  <w:tcBorders>
                    <w:tl2br w:val="nil"/>
                    <w:tr2bl w:val="nil"/>
                  </w:tcBorders>
                  <w:noWrap w:val="0"/>
                  <w:vAlign w:val="center"/>
                </w:tcPr>
                <w:p w14:paraId="787A758A">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风速（m/s）</w:t>
                  </w:r>
                </w:p>
              </w:tc>
              <w:tc>
                <w:tcPr>
                  <w:tcW w:w="1465" w:type="dxa"/>
                  <w:gridSpan w:val="2"/>
                  <w:tcBorders>
                    <w:tl2br w:val="nil"/>
                    <w:tr2bl w:val="nil"/>
                  </w:tcBorders>
                  <w:noWrap w:val="0"/>
                  <w:vAlign w:val="center"/>
                </w:tcPr>
                <w:p w14:paraId="6D747C1D">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风向</w:t>
                  </w:r>
                </w:p>
              </w:tc>
              <w:tc>
                <w:tcPr>
                  <w:tcW w:w="1465" w:type="dxa"/>
                  <w:gridSpan w:val="2"/>
                  <w:tcBorders>
                    <w:tl2br w:val="nil"/>
                    <w:tr2bl w:val="nil"/>
                  </w:tcBorders>
                  <w:noWrap w:val="0"/>
                  <w:vAlign w:val="center"/>
                </w:tcPr>
                <w:p w14:paraId="45D87375">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气温（℃）</w:t>
                  </w:r>
                </w:p>
              </w:tc>
              <w:tc>
                <w:tcPr>
                  <w:tcW w:w="1465" w:type="dxa"/>
                  <w:gridSpan w:val="2"/>
                  <w:tcBorders>
                    <w:tl2br w:val="nil"/>
                    <w:tr2bl w:val="nil"/>
                  </w:tcBorders>
                  <w:noWrap w:val="0"/>
                  <w:vAlign w:val="center"/>
                </w:tcPr>
                <w:p w14:paraId="39098FC3">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eastAsia="zh-CN"/>
                    </w:rPr>
                    <w:t>气压（</w:t>
                  </w:r>
                  <w:r>
                    <w:rPr>
                      <w:rFonts w:hint="default" w:ascii="Times New Roman" w:hAnsi="Times New Roman" w:eastAsia="宋体" w:cs="Times New Roman"/>
                      <w:b w:val="0"/>
                      <w:bCs/>
                      <w:color w:val="auto"/>
                      <w:sz w:val="21"/>
                      <w:szCs w:val="21"/>
                      <w:lang w:val="en-US" w:eastAsia="zh-CN"/>
                    </w:rPr>
                    <w:t>Kpa</w:t>
                  </w:r>
                  <w:r>
                    <w:rPr>
                      <w:rFonts w:hint="default" w:ascii="Times New Roman" w:hAnsi="Times New Roman" w:eastAsia="宋体" w:cs="Times New Roman"/>
                      <w:b w:val="0"/>
                      <w:bCs/>
                      <w:color w:val="auto"/>
                      <w:sz w:val="21"/>
                      <w:szCs w:val="21"/>
                      <w:lang w:eastAsia="zh-CN"/>
                    </w:rPr>
                    <w:t>）</w:t>
                  </w:r>
                </w:p>
              </w:tc>
              <w:tc>
                <w:tcPr>
                  <w:tcW w:w="1468" w:type="dxa"/>
                  <w:tcBorders>
                    <w:tl2br w:val="nil"/>
                    <w:tr2bl w:val="nil"/>
                  </w:tcBorders>
                  <w:noWrap w:val="0"/>
                  <w:vAlign w:val="center"/>
                </w:tcPr>
                <w:p w14:paraId="4F43169C">
                  <w:pPr>
                    <w:spacing w:line="240" w:lineRule="atLeast"/>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天气状况</w:t>
                  </w:r>
                </w:p>
              </w:tc>
            </w:tr>
            <w:tr w14:paraId="7AEF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9" w:type="dxa"/>
                  <w:tcBorders>
                    <w:tl2br w:val="nil"/>
                    <w:tr2bl w:val="nil"/>
                  </w:tcBorders>
                  <w:noWrap w:val="0"/>
                  <w:vAlign w:val="center"/>
                </w:tcPr>
                <w:p w14:paraId="276642D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2023.03.12-03.13</w:t>
                  </w:r>
                </w:p>
              </w:tc>
              <w:tc>
                <w:tcPr>
                  <w:tcW w:w="1545" w:type="dxa"/>
                  <w:gridSpan w:val="2"/>
                  <w:tcBorders>
                    <w:tl2br w:val="nil"/>
                    <w:tr2bl w:val="nil"/>
                  </w:tcBorders>
                  <w:noWrap w:val="0"/>
                  <w:vAlign w:val="center"/>
                </w:tcPr>
                <w:p w14:paraId="559881A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08:00-08:00</w:t>
                  </w:r>
                </w:p>
              </w:tc>
              <w:tc>
                <w:tcPr>
                  <w:tcW w:w="1465" w:type="dxa"/>
                  <w:gridSpan w:val="2"/>
                  <w:tcBorders>
                    <w:tl2br w:val="nil"/>
                    <w:tr2bl w:val="nil"/>
                  </w:tcBorders>
                  <w:noWrap w:val="0"/>
                  <w:vAlign w:val="center"/>
                </w:tcPr>
                <w:p w14:paraId="794BB87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1465" w:type="dxa"/>
                  <w:gridSpan w:val="2"/>
                  <w:tcBorders>
                    <w:tl2br w:val="nil"/>
                    <w:tr2bl w:val="nil"/>
                  </w:tcBorders>
                  <w:noWrap w:val="0"/>
                  <w:vAlign w:val="center"/>
                </w:tcPr>
                <w:p w14:paraId="759CB97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东南</w:t>
                  </w:r>
                </w:p>
              </w:tc>
              <w:tc>
                <w:tcPr>
                  <w:tcW w:w="1465" w:type="dxa"/>
                  <w:gridSpan w:val="2"/>
                  <w:tcBorders>
                    <w:tl2br w:val="nil"/>
                    <w:tr2bl w:val="nil"/>
                  </w:tcBorders>
                  <w:noWrap w:val="0"/>
                  <w:vAlign w:val="center"/>
                </w:tcPr>
                <w:p w14:paraId="57D3488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465" w:type="dxa"/>
                  <w:gridSpan w:val="2"/>
                  <w:tcBorders>
                    <w:tl2br w:val="nil"/>
                    <w:tr2bl w:val="nil"/>
                  </w:tcBorders>
                  <w:noWrap w:val="0"/>
                  <w:vAlign w:val="center"/>
                </w:tcPr>
                <w:p w14:paraId="6294DA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102.31</w:t>
                  </w:r>
                </w:p>
              </w:tc>
              <w:tc>
                <w:tcPr>
                  <w:tcW w:w="1468" w:type="dxa"/>
                  <w:tcBorders>
                    <w:tl2br w:val="nil"/>
                    <w:tr2bl w:val="nil"/>
                  </w:tcBorders>
                  <w:noWrap w:val="0"/>
                  <w:vAlign w:val="center"/>
                </w:tcPr>
                <w:p w14:paraId="4A6D48C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多云</w:t>
                  </w:r>
                </w:p>
              </w:tc>
            </w:tr>
            <w:tr w14:paraId="4F83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9" w:type="dxa"/>
                  <w:tcBorders>
                    <w:tl2br w:val="nil"/>
                    <w:tr2bl w:val="nil"/>
                  </w:tcBorders>
                  <w:noWrap w:val="0"/>
                  <w:vAlign w:val="center"/>
                </w:tcPr>
                <w:p w14:paraId="73BF656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2023.03.13-03.14</w:t>
                  </w:r>
                </w:p>
              </w:tc>
              <w:tc>
                <w:tcPr>
                  <w:tcW w:w="1545" w:type="dxa"/>
                  <w:gridSpan w:val="2"/>
                  <w:tcBorders>
                    <w:tl2br w:val="nil"/>
                    <w:tr2bl w:val="nil"/>
                  </w:tcBorders>
                  <w:noWrap w:val="0"/>
                  <w:vAlign w:val="center"/>
                </w:tcPr>
                <w:p w14:paraId="2CB9E6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09:00-09:00</w:t>
                  </w:r>
                </w:p>
              </w:tc>
              <w:tc>
                <w:tcPr>
                  <w:tcW w:w="1465" w:type="dxa"/>
                  <w:gridSpan w:val="2"/>
                  <w:tcBorders>
                    <w:tl2br w:val="nil"/>
                    <w:tr2bl w:val="nil"/>
                  </w:tcBorders>
                  <w:noWrap w:val="0"/>
                  <w:vAlign w:val="center"/>
                </w:tcPr>
                <w:p w14:paraId="5B8DB7D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1465" w:type="dxa"/>
                  <w:gridSpan w:val="2"/>
                  <w:tcBorders>
                    <w:tl2br w:val="nil"/>
                    <w:tr2bl w:val="nil"/>
                  </w:tcBorders>
                  <w:noWrap w:val="0"/>
                  <w:vAlign w:val="center"/>
                </w:tcPr>
                <w:p w14:paraId="1167022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南</w:t>
                  </w:r>
                </w:p>
              </w:tc>
              <w:tc>
                <w:tcPr>
                  <w:tcW w:w="1465" w:type="dxa"/>
                  <w:gridSpan w:val="2"/>
                  <w:tcBorders>
                    <w:tl2br w:val="nil"/>
                    <w:tr2bl w:val="nil"/>
                  </w:tcBorders>
                  <w:noWrap w:val="0"/>
                  <w:vAlign w:val="center"/>
                </w:tcPr>
                <w:p w14:paraId="391953C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8</w:t>
                  </w:r>
                </w:p>
              </w:tc>
              <w:tc>
                <w:tcPr>
                  <w:tcW w:w="1465" w:type="dxa"/>
                  <w:gridSpan w:val="2"/>
                  <w:tcBorders>
                    <w:tl2br w:val="nil"/>
                    <w:tr2bl w:val="nil"/>
                  </w:tcBorders>
                  <w:noWrap w:val="0"/>
                  <w:vAlign w:val="center"/>
                </w:tcPr>
                <w:p w14:paraId="1D1523E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102.45</w:t>
                  </w:r>
                </w:p>
              </w:tc>
              <w:tc>
                <w:tcPr>
                  <w:tcW w:w="1468" w:type="dxa"/>
                  <w:tcBorders>
                    <w:tl2br w:val="nil"/>
                    <w:tr2bl w:val="nil"/>
                  </w:tcBorders>
                  <w:noWrap w:val="0"/>
                  <w:vAlign w:val="center"/>
                </w:tcPr>
                <w:p w14:paraId="16FE361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多云</w:t>
                  </w:r>
                </w:p>
              </w:tc>
            </w:tr>
            <w:tr w14:paraId="4FB4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9" w:type="dxa"/>
                  <w:tcBorders>
                    <w:tl2br w:val="nil"/>
                    <w:tr2bl w:val="nil"/>
                  </w:tcBorders>
                  <w:noWrap w:val="0"/>
                  <w:vAlign w:val="center"/>
                </w:tcPr>
                <w:p w14:paraId="2B86A50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2023.03.14-03.15</w:t>
                  </w:r>
                </w:p>
              </w:tc>
              <w:tc>
                <w:tcPr>
                  <w:tcW w:w="1545" w:type="dxa"/>
                  <w:gridSpan w:val="2"/>
                  <w:tcBorders>
                    <w:tl2br w:val="nil"/>
                    <w:tr2bl w:val="nil"/>
                  </w:tcBorders>
                  <w:noWrap w:val="0"/>
                  <w:vAlign w:val="center"/>
                </w:tcPr>
                <w:p w14:paraId="68C773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10:00-10:00</w:t>
                  </w:r>
                </w:p>
              </w:tc>
              <w:tc>
                <w:tcPr>
                  <w:tcW w:w="1465" w:type="dxa"/>
                  <w:gridSpan w:val="2"/>
                  <w:tcBorders>
                    <w:tl2br w:val="nil"/>
                    <w:tr2bl w:val="nil"/>
                  </w:tcBorders>
                  <w:noWrap w:val="0"/>
                  <w:vAlign w:val="center"/>
                </w:tcPr>
                <w:p w14:paraId="12414A6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1465" w:type="dxa"/>
                  <w:gridSpan w:val="2"/>
                  <w:tcBorders>
                    <w:tl2br w:val="nil"/>
                    <w:tr2bl w:val="nil"/>
                  </w:tcBorders>
                  <w:noWrap w:val="0"/>
                  <w:vAlign w:val="center"/>
                </w:tcPr>
                <w:p w14:paraId="634C028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西南</w:t>
                  </w:r>
                </w:p>
              </w:tc>
              <w:tc>
                <w:tcPr>
                  <w:tcW w:w="1465" w:type="dxa"/>
                  <w:gridSpan w:val="2"/>
                  <w:tcBorders>
                    <w:tl2br w:val="nil"/>
                    <w:tr2bl w:val="nil"/>
                  </w:tcBorders>
                  <w:noWrap w:val="0"/>
                  <w:vAlign w:val="center"/>
                </w:tcPr>
                <w:p w14:paraId="21FCE8F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c>
                <w:tcPr>
                  <w:tcW w:w="1465" w:type="dxa"/>
                  <w:gridSpan w:val="2"/>
                  <w:tcBorders>
                    <w:tl2br w:val="nil"/>
                    <w:tr2bl w:val="nil"/>
                  </w:tcBorders>
                  <w:noWrap w:val="0"/>
                  <w:vAlign w:val="center"/>
                </w:tcPr>
                <w:p w14:paraId="37B9B80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102.39</w:t>
                  </w:r>
                </w:p>
              </w:tc>
              <w:tc>
                <w:tcPr>
                  <w:tcW w:w="1468" w:type="dxa"/>
                  <w:tcBorders>
                    <w:tl2br w:val="nil"/>
                    <w:tr2bl w:val="nil"/>
                  </w:tcBorders>
                  <w:noWrap w:val="0"/>
                  <w:vAlign w:val="center"/>
                </w:tcPr>
                <w:p w14:paraId="27BB5BA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多云</w:t>
                  </w:r>
                </w:p>
              </w:tc>
            </w:tr>
            <w:tr w14:paraId="5B3A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2" w:type="dxa"/>
                  <w:gridSpan w:val="12"/>
                  <w:noWrap w:val="0"/>
                  <w:vAlign w:val="center"/>
                </w:tcPr>
                <w:p w14:paraId="7A688E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eastAsiaTheme="minorEastAsia"/>
                      <w:b w:val="0"/>
                      <w:bCs w:val="0"/>
                      <w:color w:val="auto"/>
                      <w:kern w:val="0"/>
                      <w:sz w:val="21"/>
                      <w:szCs w:val="21"/>
                      <w:lang w:val="en-US" w:eastAsia="zh-CN" w:bidi="ar-SA"/>
                    </w:rPr>
                    <w:t>颗粒物</w:t>
                  </w:r>
                  <w:r>
                    <w:rPr>
                      <w:rFonts w:hint="default" w:ascii="Times New Roman" w:hAnsi="Times New Roman" w:cs="Times New Roman" w:eastAsiaTheme="minorEastAsia"/>
                      <w:b w:val="0"/>
                      <w:bCs w:val="0"/>
                      <w:color w:val="auto"/>
                      <w:kern w:val="0"/>
                      <w:sz w:val="21"/>
                      <w:szCs w:val="21"/>
                      <w:lang w:val="en-US" w:eastAsia="zh-CN" w:bidi="ar-SA"/>
                    </w:rPr>
                    <w:t>测点</w:t>
                  </w:r>
                  <w:r>
                    <w:rPr>
                      <w:rFonts w:hint="eastAsia" w:ascii="Times New Roman" w:hAnsi="Times New Roman" w:cs="Times New Roman" w:eastAsiaTheme="minorEastAsia"/>
                      <w:b w:val="0"/>
                      <w:bCs w:val="0"/>
                      <w:color w:val="auto"/>
                      <w:kern w:val="0"/>
                      <w:sz w:val="21"/>
                      <w:szCs w:val="21"/>
                      <w:lang w:val="en-US" w:eastAsia="zh-CN" w:bidi="ar-SA"/>
                    </w:rPr>
                    <w:t>位置</w:t>
                  </w:r>
                  <w:r>
                    <w:rPr>
                      <w:rFonts w:hint="default" w:ascii="Times New Roman" w:hAnsi="Times New Roman" w:cs="Times New Roman" w:eastAsiaTheme="minorEastAsia"/>
                      <w:b w:val="0"/>
                      <w:bCs w:val="0"/>
                      <w:color w:val="auto"/>
                      <w:kern w:val="0"/>
                      <w:sz w:val="21"/>
                      <w:szCs w:val="21"/>
                      <w:lang w:val="en-US" w:eastAsia="zh-CN" w:bidi="ar-SA"/>
                    </w:rPr>
                    <w:t>及结果（μg/m</w:t>
                  </w:r>
                  <w:r>
                    <w:rPr>
                      <w:rFonts w:hint="default" w:ascii="Times New Roman" w:hAnsi="Times New Roman" w:cs="Times New Roman" w:eastAsiaTheme="minorEastAsia"/>
                      <w:b w:val="0"/>
                      <w:bCs w:val="0"/>
                      <w:color w:val="auto"/>
                      <w:kern w:val="0"/>
                      <w:sz w:val="21"/>
                      <w:szCs w:val="21"/>
                      <w:vertAlign w:val="superscript"/>
                      <w:lang w:val="en-US" w:eastAsia="zh-CN" w:bidi="ar-SA"/>
                    </w:rPr>
                    <w:t>3</w:t>
                  </w:r>
                  <w:r>
                    <w:rPr>
                      <w:rFonts w:hint="default" w:ascii="Times New Roman" w:hAnsi="Times New Roman" w:cs="Times New Roman" w:eastAsiaTheme="minorEastAsia"/>
                      <w:b w:val="0"/>
                      <w:bCs w:val="0"/>
                      <w:color w:val="auto"/>
                      <w:kern w:val="0"/>
                      <w:sz w:val="21"/>
                      <w:szCs w:val="21"/>
                      <w:lang w:val="en-US" w:eastAsia="zh-CN" w:bidi="ar-SA"/>
                    </w:rPr>
                    <w:t>）</w:t>
                  </w:r>
                </w:p>
              </w:tc>
            </w:tr>
            <w:tr w14:paraId="31BA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0870BDD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bidi="ar-SA"/>
                    </w:rPr>
                    <w:t>采样日期</w:t>
                  </w:r>
                </w:p>
              </w:tc>
              <w:tc>
                <w:tcPr>
                  <w:tcW w:w="3560" w:type="dxa"/>
                  <w:gridSpan w:val="4"/>
                  <w:noWrap w:val="0"/>
                  <w:vAlign w:val="center"/>
                </w:tcPr>
                <w:p w14:paraId="293FB3C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bidi="ar-SA"/>
                    </w:rPr>
                    <w:t>采样时间</w:t>
                  </w:r>
                </w:p>
              </w:tc>
              <w:tc>
                <w:tcPr>
                  <w:tcW w:w="3562" w:type="dxa"/>
                  <w:gridSpan w:val="4"/>
                  <w:noWrap w:val="0"/>
                  <w:vAlign w:val="center"/>
                </w:tcPr>
                <w:p w14:paraId="24E2670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项目所在地G1</w:t>
                  </w:r>
                </w:p>
              </w:tc>
            </w:tr>
            <w:tr w14:paraId="24B9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479A98C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 w:val="21"/>
                      <w:szCs w:val="21"/>
                      <w:lang w:val="en-US" w:eastAsia="zh-CN"/>
                    </w:rPr>
                    <w:t>2023.03.12-03.13</w:t>
                  </w:r>
                </w:p>
              </w:tc>
              <w:tc>
                <w:tcPr>
                  <w:tcW w:w="3560" w:type="dxa"/>
                  <w:gridSpan w:val="4"/>
                  <w:noWrap w:val="0"/>
                  <w:vAlign w:val="center"/>
                </w:tcPr>
                <w:p w14:paraId="4E44A34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 w:val="21"/>
                      <w:szCs w:val="21"/>
                      <w:lang w:val="en-US" w:eastAsia="zh-CN"/>
                    </w:rPr>
                    <w:t>08:00-08:00</w:t>
                  </w:r>
                </w:p>
              </w:tc>
              <w:tc>
                <w:tcPr>
                  <w:tcW w:w="3562" w:type="dxa"/>
                  <w:gridSpan w:val="4"/>
                  <w:noWrap w:val="0"/>
                  <w:vAlign w:val="center"/>
                </w:tcPr>
                <w:p w14:paraId="1432311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235</w:t>
                  </w:r>
                </w:p>
              </w:tc>
            </w:tr>
            <w:tr w14:paraId="6DF8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11F6361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color w:val="auto"/>
                      <w:sz w:val="21"/>
                      <w:szCs w:val="21"/>
                      <w:lang w:val="en-US" w:eastAsia="zh-CN"/>
                    </w:rPr>
                    <w:t>2023.03.13-03.14</w:t>
                  </w:r>
                </w:p>
              </w:tc>
              <w:tc>
                <w:tcPr>
                  <w:tcW w:w="3560" w:type="dxa"/>
                  <w:gridSpan w:val="4"/>
                  <w:noWrap w:val="0"/>
                  <w:vAlign w:val="center"/>
                </w:tcPr>
                <w:p w14:paraId="7D0F4FB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color w:val="auto"/>
                      <w:sz w:val="21"/>
                      <w:szCs w:val="21"/>
                      <w:lang w:val="en-US" w:eastAsia="zh-CN"/>
                    </w:rPr>
                    <w:t>09:00-09:00</w:t>
                  </w:r>
                </w:p>
              </w:tc>
              <w:tc>
                <w:tcPr>
                  <w:tcW w:w="3562" w:type="dxa"/>
                  <w:gridSpan w:val="4"/>
                  <w:noWrap w:val="0"/>
                  <w:vAlign w:val="center"/>
                </w:tcPr>
                <w:p w14:paraId="18F839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249</w:t>
                  </w:r>
                </w:p>
              </w:tc>
            </w:tr>
            <w:tr w14:paraId="39B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205D9D1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 w:val="21"/>
                      <w:szCs w:val="21"/>
                      <w:lang w:val="en-US" w:eastAsia="zh-CN"/>
                    </w:rPr>
                    <w:t>2023.03.14-03.15</w:t>
                  </w:r>
                </w:p>
              </w:tc>
              <w:tc>
                <w:tcPr>
                  <w:tcW w:w="3560" w:type="dxa"/>
                  <w:gridSpan w:val="4"/>
                  <w:noWrap w:val="0"/>
                  <w:vAlign w:val="center"/>
                </w:tcPr>
                <w:p w14:paraId="644BDBB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 w:val="21"/>
                      <w:szCs w:val="21"/>
                      <w:lang w:val="en-US" w:eastAsia="zh-CN"/>
                    </w:rPr>
                    <w:t>10:00-10:00</w:t>
                  </w:r>
                </w:p>
              </w:tc>
              <w:tc>
                <w:tcPr>
                  <w:tcW w:w="3562" w:type="dxa"/>
                  <w:gridSpan w:val="4"/>
                  <w:noWrap w:val="0"/>
                  <w:vAlign w:val="center"/>
                </w:tcPr>
                <w:p w14:paraId="041AEDE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252</w:t>
                  </w:r>
                </w:p>
              </w:tc>
            </w:tr>
            <w:tr w14:paraId="7AFC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2" w:type="dxa"/>
                  <w:gridSpan w:val="12"/>
                  <w:noWrap w:val="0"/>
                  <w:vAlign w:val="center"/>
                </w:tcPr>
                <w:p w14:paraId="79B7CA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氨</w:t>
                  </w:r>
                  <w:r>
                    <w:rPr>
                      <w:rFonts w:hint="default" w:ascii="Times New Roman" w:hAnsi="Times New Roman" w:eastAsia="宋体" w:cs="Times New Roman"/>
                      <w:b w:val="0"/>
                      <w:bCs w:val="0"/>
                      <w:color w:val="auto"/>
                      <w:kern w:val="0"/>
                      <w:sz w:val="21"/>
                      <w:szCs w:val="21"/>
                      <w:lang w:val="en-US" w:eastAsia="zh-CN" w:bidi="ar-SA"/>
                    </w:rPr>
                    <w:t>测点位置及结果（mg/m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default" w:ascii="Times New Roman" w:hAnsi="Times New Roman" w:eastAsia="宋体" w:cs="Times New Roman"/>
                      <w:b w:val="0"/>
                      <w:bCs w:val="0"/>
                      <w:color w:val="auto"/>
                      <w:kern w:val="0"/>
                      <w:sz w:val="21"/>
                      <w:szCs w:val="21"/>
                      <w:lang w:val="en-US" w:eastAsia="zh-CN" w:bidi="ar-SA"/>
                    </w:rPr>
                    <w:t>）</w:t>
                  </w:r>
                </w:p>
              </w:tc>
            </w:tr>
            <w:tr w14:paraId="44C1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3B1BFD8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采样日期</w:t>
                  </w:r>
                </w:p>
              </w:tc>
              <w:tc>
                <w:tcPr>
                  <w:tcW w:w="3560" w:type="dxa"/>
                  <w:gridSpan w:val="4"/>
                  <w:noWrap w:val="0"/>
                  <w:vAlign w:val="center"/>
                </w:tcPr>
                <w:p w14:paraId="3FA4BE2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采样时间</w:t>
                  </w:r>
                </w:p>
              </w:tc>
              <w:tc>
                <w:tcPr>
                  <w:tcW w:w="3562" w:type="dxa"/>
                  <w:gridSpan w:val="4"/>
                  <w:noWrap w:val="0"/>
                  <w:vAlign w:val="center"/>
                </w:tcPr>
                <w:p w14:paraId="43931A4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项目所在地G1</w:t>
                  </w:r>
                </w:p>
              </w:tc>
            </w:tr>
            <w:tr w14:paraId="04AF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43CFEE1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2023-03-12</w:t>
                  </w:r>
                </w:p>
              </w:tc>
              <w:tc>
                <w:tcPr>
                  <w:tcW w:w="3560" w:type="dxa"/>
                  <w:gridSpan w:val="4"/>
                  <w:noWrap w:val="0"/>
                  <w:vAlign w:val="center"/>
                </w:tcPr>
                <w:p w14:paraId="160FF4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02:00-02:45</w:t>
                  </w:r>
                </w:p>
              </w:tc>
              <w:tc>
                <w:tcPr>
                  <w:tcW w:w="3562" w:type="dxa"/>
                  <w:gridSpan w:val="4"/>
                  <w:noWrap w:val="0"/>
                  <w:vAlign w:val="center"/>
                </w:tcPr>
                <w:p w14:paraId="32014D3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0.115</w:t>
                  </w:r>
                </w:p>
              </w:tc>
            </w:tr>
            <w:tr w14:paraId="4366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37066E6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57D60B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08:00-08:45</w:t>
                  </w:r>
                </w:p>
              </w:tc>
              <w:tc>
                <w:tcPr>
                  <w:tcW w:w="3562" w:type="dxa"/>
                  <w:gridSpan w:val="4"/>
                  <w:noWrap w:val="0"/>
                  <w:vAlign w:val="center"/>
                </w:tcPr>
                <w:p w14:paraId="03F2707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0.110</w:t>
                  </w:r>
                </w:p>
              </w:tc>
            </w:tr>
            <w:tr w14:paraId="168C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23FD903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499E505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14:00-14:45</w:t>
                  </w:r>
                </w:p>
              </w:tc>
              <w:tc>
                <w:tcPr>
                  <w:tcW w:w="3562" w:type="dxa"/>
                  <w:gridSpan w:val="4"/>
                  <w:noWrap w:val="0"/>
                  <w:vAlign w:val="center"/>
                </w:tcPr>
                <w:p w14:paraId="72DE452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0.113</w:t>
                  </w:r>
                </w:p>
              </w:tc>
            </w:tr>
            <w:tr w14:paraId="21EA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370737C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735961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20:00-20:45</w:t>
                  </w:r>
                </w:p>
              </w:tc>
              <w:tc>
                <w:tcPr>
                  <w:tcW w:w="3562" w:type="dxa"/>
                  <w:gridSpan w:val="4"/>
                  <w:noWrap w:val="0"/>
                  <w:vAlign w:val="center"/>
                </w:tcPr>
                <w:p w14:paraId="0DA5E6A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0.100</w:t>
                  </w:r>
                </w:p>
              </w:tc>
            </w:tr>
            <w:tr w14:paraId="2BC1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1F4456D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2023-03-13</w:t>
                  </w:r>
                </w:p>
              </w:tc>
              <w:tc>
                <w:tcPr>
                  <w:tcW w:w="3560" w:type="dxa"/>
                  <w:gridSpan w:val="4"/>
                  <w:noWrap w:val="0"/>
                  <w:vAlign w:val="center"/>
                </w:tcPr>
                <w:p w14:paraId="172D2F3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02:00-02:45</w:t>
                  </w:r>
                </w:p>
              </w:tc>
              <w:tc>
                <w:tcPr>
                  <w:tcW w:w="3562" w:type="dxa"/>
                  <w:gridSpan w:val="4"/>
                  <w:noWrap w:val="0"/>
                  <w:vAlign w:val="center"/>
                </w:tcPr>
                <w:p w14:paraId="3249E9F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0.085</w:t>
                  </w:r>
                </w:p>
              </w:tc>
            </w:tr>
            <w:tr w14:paraId="46AC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5EC5226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649252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08:00-08:45</w:t>
                  </w:r>
                </w:p>
              </w:tc>
              <w:tc>
                <w:tcPr>
                  <w:tcW w:w="3562" w:type="dxa"/>
                  <w:gridSpan w:val="4"/>
                  <w:noWrap w:val="0"/>
                  <w:vAlign w:val="center"/>
                </w:tcPr>
                <w:p w14:paraId="257A639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0.098</w:t>
                  </w:r>
                </w:p>
              </w:tc>
            </w:tr>
            <w:tr w14:paraId="0006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7C1E455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301B2EF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14:00-14:45</w:t>
                  </w:r>
                </w:p>
              </w:tc>
              <w:tc>
                <w:tcPr>
                  <w:tcW w:w="3562" w:type="dxa"/>
                  <w:gridSpan w:val="4"/>
                  <w:noWrap w:val="0"/>
                  <w:vAlign w:val="center"/>
                </w:tcPr>
                <w:p w14:paraId="2B09250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0.098</w:t>
                  </w:r>
                </w:p>
              </w:tc>
            </w:tr>
            <w:tr w14:paraId="09A0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7250EF0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0C1ACF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20:00-20:45</w:t>
                  </w:r>
                </w:p>
              </w:tc>
              <w:tc>
                <w:tcPr>
                  <w:tcW w:w="3562" w:type="dxa"/>
                  <w:gridSpan w:val="4"/>
                  <w:noWrap w:val="0"/>
                  <w:vAlign w:val="center"/>
                </w:tcPr>
                <w:p w14:paraId="53AFD73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0.104</w:t>
                  </w:r>
                </w:p>
              </w:tc>
            </w:tr>
            <w:tr w14:paraId="1A2E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16EC84B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2023-03-14</w:t>
                  </w:r>
                </w:p>
              </w:tc>
              <w:tc>
                <w:tcPr>
                  <w:tcW w:w="3560" w:type="dxa"/>
                  <w:gridSpan w:val="4"/>
                  <w:noWrap w:val="0"/>
                  <w:vAlign w:val="center"/>
                </w:tcPr>
                <w:p w14:paraId="3738D95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02:00-02:45</w:t>
                  </w:r>
                </w:p>
              </w:tc>
              <w:tc>
                <w:tcPr>
                  <w:tcW w:w="3562" w:type="dxa"/>
                  <w:gridSpan w:val="4"/>
                  <w:noWrap w:val="0"/>
                  <w:vAlign w:val="center"/>
                </w:tcPr>
                <w:p w14:paraId="14F3E53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0.107</w:t>
                  </w:r>
                </w:p>
              </w:tc>
            </w:tr>
            <w:tr w14:paraId="2F6B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188A2F2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1FBA513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08:00-08:45</w:t>
                  </w:r>
                </w:p>
              </w:tc>
              <w:tc>
                <w:tcPr>
                  <w:tcW w:w="3562" w:type="dxa"/>
                  <w:gridSpan w:val="4"/>
                  <w:noWrap w:val="0"/>
                  <w:vAlign w:val="center"/>
                </w:tcPr>
                <w:p w14:paraId="4490C58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0.096</w:t>
                  </w:r>
                </w:p>
              </w:tc>
            </w:tr>
            <w:tr w14:paraId="07A5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66D1A9F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391787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14:00-14:45</w:t>
                  </w:r>
                </w:p>
              </w:tc>
              <w:tc>
                <w:tcPr>
                  <w:tcW w:w="3562" w:type="dxa"/>
                  <w:gridSpan w:val="4"/>
                  <w:noWrap w:val="0"/>
                  <w:vAlign w:val="center"/>
                </w:tcPr>
                <w:p w14:paraId="1724D1F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0.112</w:t>
                  </w:r>
                </w:p>
              </w:tc>
            </w:tr>
            <w:tr w14:paraId="3B94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4676F12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226828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20:00-20:45</w:t>
                  </w:r>
                </w:p>
              </w:tc>
              <w:tc>
                <w:tcPr>
                  <w:tcW w:w="3562" w:type="dxa"/>
                  <w:gridSpan w:val="4"/>
                  <w:noWrap w:val="0"/>
                  <w:vAlign w:val="center"/>
                </w:tcPr>
                <w:p w14:paraId="272B4DC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0.103</w:t>
                  </w:r>
                </w:p>
              </w:tc>
            </w:tr>
            <w:tr w14:paraId="5E20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2" w:type="dxa"/>
                  <w:gridSpan w:val="12"/>
                  <w:noWrap w:val="0"/>
                  <w:vAlign w:val="center"/>
                </w:tcPr>
                <w:p w14:paraId="586928F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硫化氢</w:t>
                  </w:r>
                  <w:r>
                    <w:rPr>
                      <w:rFonts w:hint="default" w:ascii="Times New Roman" w:hAnsi="Times New Roman" w:eastAsia="宋体" w:cs="Times New Roman"/>
                      <w:b w:val="0"/>
                      <w:bCs w:val="0"/>
                      <w:color w:val="auto"/>
                      <w:kern w:val="0"/>
                      <w:sz w:val="21"/>
                      <w:szCs w:val="21"/>
                      <w:lang w:val="en-US" w:eastAsia="zh-CN" w:bidi="ar-SA"/>
                    </w:rPr>
                    <w:t>测点位置及结果（mg/m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default" w:ascii="Times New Roman" w:hAnsi="Times New Roman" w:eastAsia="宋体" w:cs="Times New Roman"/>
                      <w:b w:val="0"/>
                      <w:bCs w:val="0"/>
                      <w:color w:val="auto"/>
                      <w:kern w:val="0"/>
                      <w:sz w:val="21"/>
                      <w:szCs w:val="21"/>
                      <w:lang w:val="en-US" w:eastAsia="zh-CN" w:bidi="ar-SA"/>
                    </w:rPr>
                    <w:t>）</w:t>
                  </w:r>
                </w:p>
              </w:tc>
            </w:tr>
            <w:tr w14:paraId="6A5A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4DB6895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采样日期</w:t>
                  </w:r>
                </w:p>
              </w:tc>
              <w:tc>
                <w:tcPr>
                  <w:tcW w:w="3560" w:type="dxa"/>
                  <w:gridSpan w:val="4"/>
                  <w:noWrap w:val="0"/>
                  <w:vAlign w:val="center"/>
                </w:tcPr>
                <w:p w14:paraId="7393885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采样时间</w:t>
                  </w:r>
                </w:p>
              </w:tc>
              <w:tc>
                <w:tcPr>
                  <w:tcW w:w="3562" w:type="dxa"/>
                  <w:gridSpan w:val="4"/>
                  <w:noWrap w:val="0"/>
                  <w:vAlign w:val="center"/>
                </w:tcPr>
                <w:p w14:paraId="05ECFCD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项目所在地G1</w:t>
                  </w:r>
                </w:p>
              </w:tc>
            </w:tr>
            <w:tr w14:paraId="4716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16221DD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2023-03-12</w:t>
                  </w:r>
                </w:p>
              </w:tc>
              <w:tc>
                <w:tcPr>
                  <w:tcW w:w="3560" w:type="dxa"/>
                  <w:gridSpan w:val="4"/>
                  <w:noWrap w:val="0"/>
                  <w:vAlign w:val="center"/>
                </w:tcPr>
                <w:p w14:paraId="67563B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02:00-02:30</w:t>
                  </w:r>
                </w:p>
              </w:tc>
              <w:tc>
                <w:tcPr>
                  <w:tcW w:w="3562" w:type="dxa"/>
                  <w:gridSpan w:val="4"/>
                  <w:noWrap w:val="0"/>
                  <w:vAlign w:val="center"/>
                </w:tcPr>
                <w:p w14:paraId="7690A92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0.002</w:t>
                  </w:r>
                </w:p>
              </w:tc>
            </w:tr>
            <w:tr w14:paraId="2236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78A95E9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0EA7CD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08:00-08:30</w:t>
                  </w:r>
                </w:p>
              </w:tc>
              <w:tc>
                <w:tcPr>
                  <w:tcW w:w="3562" w:type="dxa"/>
                  <w:gridSpan w:val="4"/>
                  <w:noWrap w:val="0"/>
                  <w:vAlign w:val="center"/>
                </w:tcPr>
                <w:p w14:paraId="45439C3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0.004</w:t>
                  </w:r>
                </w:p>
              </w:tc>
            </w:tr>
            <w:tr w14:paraId="4440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1EC2AB5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72A4DB8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14:00-14:30</w:t>
                  </w:r>
                </w:p>
              </w:tc>
              <w:tc>
                <w:tcPr>
                  <w:tcW w:w="3562" w:type="dxa"/>
                  <w:gridSpan w:val="4"/>
                  <w:noWrap w:val="0"/>
                  <w:vAlign w:val="center"/>
                </w:tcPr>
                <w:p w14:paraId="5E8595E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0.006</w:t>
                  </w:r>
                </w:p>
              </w:tc>
            </w:tr>
            <w:tr w14:paraId="6BD7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6BF6A56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75FC97C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20:00-20:30</w:t>
                  </w:r>
                </w:p>
              </w:tc>
              <w:tc>
                <w:tcPr>
                  <w:tcW w:w="3562" w:type="dxa"/>
                  <w:gridSpan w:val="4"/>
                  <w:noWrap w:val="0"/>
                  <w:vAlign w:val="center"/>
                </w:tcPr>
                <w:p w14:paraId="13CB2CE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w:t>
                  </w:r>
                </w:p>
              </w:tc>
            </w:tr>
            <w:tr w14:paraId="6607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5F70DB7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2023-03-13</w:t>
                  </w:r>
                </w:p>
              </w:tc>
              <w:tc>
                <w:tcPr>
                  <w:tcW w:w="3560" w:type="dxa"/>
                  <w:gridSpan w:val="4"/>
                  <w:noWrap w:val="0"/>
                  <w:vAlign w:val="center"/>
                </w:tcPr>
                <w:p w14:paraId="4E60AF3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02:00-02:30</w:t>
                  </w:r>
                </w:p>
              </w:tc>
              <w:tc>
                <w:tcPr>
                  <w:tcW w:w="3562" w:type="dxa"/>
                  <w:gridSpan w:val="4"/>
                  <w:noWrap w:val="0"/>
                  <w:vAlign w:val="center"/>
                </w:tcPr>
                <w:p w14:paraId="2FD5B5E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0.002</w:t>
                  </w:r>
                </w:p>
              </w:tc>
            </w:tr>
            <w:tr w14:paraId="6D1B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0C0D4B5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31C22C5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08:00-08:30</w:t>
                  </w:r>
                </w:p>
              </w:tc>
              <w:tc>
                <w:tcPr>
                  <w:tcW w:w="3562" w:type="dxa"/>
                  <w:gridSpan w:val="4"/>
                  <w:noWrap w:val="0"/>
                  <w:vAlign w:val="center"/>
                </w:tcPr>
                <w:p w14:paraId="7673340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w:t>
                  </w:r>
                </w:p>
              </w:tc>
            </w:tr>
            <w:tr w14:paraId="6A0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6E992E7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44944EE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14:00-14:30</w:t>
                  </w:r>
                </w:p>
              </w:tc>
              <w:tc>
                <w:tcPr>
                  <w:tcW w:w="3562" w:type="dxa"/>
                  <w:gridSpan w:val="4"/>
                  <w:noWrap w:val="0"/>
                  <w:vAlign w:val="center"/>
                </w:tcPr>
                <w:p w14:paraId="414B8ADE">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0.008</w:t>
                  </w:r>
                </w:p>
              </w:tc>
            </w:tr>
            <w:tr w14:paraId="7ABA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51C0B39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7595B44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20:00-20:30</w:t>
                  </w:r>
                </w:p>
              </w:tc>
              <w:tc>
                <w:tcPr>
                  <w:tcW w:w="3562" w:type="dxa"/>
                  <w:gridSpan w:val="4"/>
                  <w:noWrap w:val="0"/>
                  <w:vAlign w:val="center"/>
                </w:tcPr>
                <w:p w14:paraId="0DDB2B3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0.006</w:t>
                  </w:r>
                </w:p>
              </w:tc>
            </w:tr>
            <w:tr w14:paraId="1DC1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45E0733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2023-03-14</w:t>
                  </w:r>
                </w:p>
              </w:tc>
              <w:tc>
                <w:tcPr>
                  <w:tcW w:w="3560" w:type="dxa"/>
                  <w:gridSpan w:val="4"/>
                  <w:noWrap w:val="0"/>
                  <w:vAlign w:val="center"/>
                </w:tcPr>
                <w:p w14:paraId="0B3518B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02:00-02:30</w:t>
                  </w:r>
                </w:p>
              </w:tc>
              <w:tc>
                <w:tcPr>
                  <w:tcW w:w="3562" w:type="dxa"/>
                  <w:gridSpan w:val="4"/>
                  <w:noWrap w:val="0"/>
                  <w:vAlign w:val="center"/>
                </w:tcPr>
                <w:p w14:paraId="1B5ECF5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0.002</w:t>
                  </w:r>
                </w:p>
              </w:tc>
            </w:tr>
            <w:tr w14:paraId="7D84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3711AB0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785368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08:00-08:30</w:t>
                  </w:r>
                </w:p>
              </w:tc>
              <w:tc>
                <w:tcPr>
                  <w:tcW w:w="3562" w:type="dxa"/>
                  <w:gridSpan w:val="4"/>
                  <w:noWrap w:val="0"/>
                  <w:vAlign w:val="center"/>
                </w:tcPr>
                <w:p w14:paraId="31CB5B5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0.003</w:t>
                  </w:r>
                </w:p>
              </w:tc>
            </w:tr>
            <w:tr w14:paraId="3D6E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5D62037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45FDCF5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14:00-14:30</w:t>
                  </w:r>
                </w:p>
              </w:tc>
              <w:tc>
                <w:tcPr>
                  <w:tcW w:w="3562" w:type="dxa"/>
                  <w:gridSpan w:val="4"/>
                  <w:noWrap w:val="0"/>
                  <w:vAlign w:val="center"/>
                </w:tcPr>
                <w:p w14:paraId="21589A9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0.006</w:t>
                  </w:r>
                </w:p>
              </w:tc>
            </w:tr>
            <w:tr w14:paraId="4310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17F8EF5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4F1C37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20:00-20:30</w:t>
                  </w:r>
                </w:p>
              </w:tc>
              <w:tc>
                <w:tcPr>
                  <w:tcW w:w="3562" w:type="dxa"/>
                  <w:gridSpan w:val="4"/>
                  <w:noWrap w:val="0"/>
                  <w:vAlign w:val="center"/>
                </w:tcPr>
                <w:p w14:paraId="28734C2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w:t>
                  </w:r>
                </w:p>
              </w:tc>
            </w:tr>
            <w:tr w14:paraId="1D90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82" w:type="dxa"/>
                  <w:gridSpan w:val="12"/>
                  <w:noWrap w:val="0"/>
                  <w:vAlign w:val="center"/>
                </w:tcPr>
                <w:p w14:paraId="4DA1638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臭气浓度</w:t>
                  </w:r>
                  <w:r>
                    <w:rPr>
                      <w:rFonts w:hint="default" w:ascii="Times New Roman" w:hAnsi="Times New Roman" w:eastAsia="宋体" w:cs="Times New Roman"/>
                      <w:b w:val="0"/>
                      <w:bCs w:val="0"/>
                      <w:color w:val="auto"/>
                      <w:kern w:val="0"/>
                      <w:sz w:val="21"/>
                      <w:szCs w:val="21"/>
                      <w:lang w:val="en-US" w:eastAsia="zh-CN" w:bidi="ar-SA"/>
                    </w:rPr>
                    <w:t>测点位置及结果（</w:t>
                  </w:r>
                  <w:r>
                    <w:rPr>
                      <w:rFonts w:hint="eastAsia" w:ascii="Times New Roman" w:hAnsi="Times New Roman" w:cs="Times New Roman"/>
                      <w:b w:val="0"/>
                      <w:bCs w:val="0"/>
                      <w:color w:val="auto"/>
                      <w:kern w:val="0"/>
                      <w:sz w:val="21"/>
                      <w:szCs w:val="21"/>
                      <w:lang w:val="en-US" w:eastAsia="zh-CN" w:bidi="ar-SA"/>
                    </w:rPr>
                    <w:t>无量纲</w:t>
                  </w:r>
                  <w:r>
                    <w:rPr>
                      <w:rFonts w:hint="default" w:ascii="Times New Roman" w:hAnsi="Times New Roman" w:eastAsia="宋体" w:cs="Times New Roman"/>
                      <w:b w:val="0"/>
                      <w:bCs w:val="0"/>
                      <w:color w:val="auto"/>
                      <w:kern w:val="0"/>
                      <w:sz w:val="21"/>
                      <w:szCs w:val="21"/>
                      <w:lang w:val="en-US" w:eastAsia="zh-CN" w:bidi="ar-SA"/>
                    </w:rPr>
                    <w:t>）</w:t>
                  </w:r>
                </w:p>
              </w:tc>
            </w:tr>
            <w:tr w14:paraId="33DE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noWrap w:val="0"/>
                  <w:vAlign w:val="center"/>
                </w:tcPr>
                <w:p w14:paraId="04FA8CE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采样日期</w:t>
                  </w:r>
                </w:p>
              </w:tc>
              <w:tc>
                <w:tcPr>
                  <w:tcW w:w="3560" w:type="dxa"/>
                  <w:gridSpan w:val="4"/>
                  <w:noWrap w:val="0"/>
                  <w:vAlign w:val="center"/>
                </w:tcPr>
                <w:p w14:paraId="5A07B13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采样时间</w:t>
                  </w:r>
                </w:p>
              </w:tc>
              <w:tc>
                <w:tcPr>
                  <w:tcW w:w="3562" w:type="dxa"/>
                  <w:gridSpan w:val="4"/>
                  <w:noWrap w:val="0"/>
                  <w:vAlign w:val="center"/>
                </w:tcPr>
                <w:p w14:paraId="18681538">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项目所在地G1</w:t>
                  </w:r>
                </w:p>
              </w:tc>
            </w:tr>
            <w:tr w14:paraId="48BF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22F9FF1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2023-03-12</w:t>
                  </w:r>
                </w:p>
              </w:tc>
              <w:tc>
                <w:tcPr>
                  <w:tcW w:w="3560" w:type="dxa"/>
                  <w:gridSpan w:val="4"/>
                  <w:noWrap w:val="0"/>
                  <w:vAlign w:val="center"/>
                </w:tcPr>
                <w:p w14:paraId="5B2CA5D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02:10-02:15</w:t>
                  </w:r>
                </w:p>
              </w:tc>
              <w:tc>
                <w:tcPr>
                  <w:tcW w:w="3562" w:type="dxa"/>
                  <w:gridSpan w:val="4"/>
                  <w:noWrap w:val="0"/>
                  <w:vAlign w:val="center"/>
                </w:tcPr>
                <w:p w14:paraId="52839893">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5F63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5D89B6B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6A37DC5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08:10-08:15</w:t>
                  </w:r>
                </w:p>
              </w:tc>
              <w:tc>
                <w:tcPr>
                  <w:tcW w:w="3562" w:type="dxa"/>
                  <w:gridSpan w:val="4"/>
                  <w:noWrap w:val="0"/>
                  <w:vAlign w:val="center"/>
                </w:tcPr>
                <w:p w14:paraId="569C19C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2FE3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2D84FD42">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02E77B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14:10-14:15</w:t>
                  </w:r>
                </w:p>
              </w:tc>
              <w:tc>
                <w:tcPr>
                  <w:tcW w:w="3562" w:type="dxa"/>
                  <w:gridSpan w:val="4"/>
                  <w:noWrap w:val="0"/>
                  <w:vAlign w:val="center"/>
                </w:tcPr>
                <w:p w14:paraId="2CDE437C">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2A01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75FA225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59FEFC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20:10-20:15</w:t>
                  </w:r>
                </w:p>
              </w:tc>
              <w:tc>
                <w:tcPr>
                  <w:tcW w:w="3562" w:type="dxa"/>
                  <w:gridSpan w:val="4"/>
                  <w:noWrap w:val="0"/>
                  <w:vAlign w:val="center"/>
                </w:tcPr>
                <w:p w14:paraId="15D749D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5C6F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17C219A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2023-03-13</w:t>
                  </w:r>
                </w:p>
              </w:tc>
              <w:tc>
                <w:tcPr>
                  <w:tcW w:w="3560" w:type="dxa"/>
                  <w:gridSpan w:val="4"/>
                  <w:noWrap w:val="0"/>
                  <w:vAlign w:val="center"/>
                </w:tcPr>
                <w:p w14:paraId="6F04DBF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02:10-02:15</w:t>
                  </w:r>
                </w:p>
              </w:tc>
              <w:tc>
                <w:tcPr>
                  <w:tcW w:w="3562" w:type="dxa"/>
                  <w:gridSpan w:val="4"/>
                  <w:noWrap w:val="0"/>
                  <w:vAlign w:val="center"/>
                </w:tcPr>
                <w:p w14:paraId="130679F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794B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5E22A46A">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0FFAED6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08:10-08:15</w:t>
                  </w:r>
                </w:p>
              </w:tc>
              <w:tc>
                <w:tcPr>
                  <w:tcW w:w="3562" w:type="dxa"/>
                  <w:gridSpan w:val="4"/>
                  <w:noWrap w:val="0"/>
                  <w:vAlign w:val="center"/>
                </w:tcPr>
                <w:p w14:paraId="7DEE4720">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6325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3323275B">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177519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14:10-14:15</w:t>
                  </w:r>
                </w:p>
              </w:tc>
              <w:tc>
                <w:tcPr>
                  <w:tcW w:w="3562" w:type="dxa"/>
                  <w:gridSpan w:val="4"/>
                  <w:noWrap w:val="0"/>
                  <w:vAlign w:val="center"/>
                </w:tcPr>
                <w:p w14:paraId="19A94A4D">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66C5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5F51EF54">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3B9736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20:10-20:15</w:t>
                  </w:r>
                </w:p>
              </w:tc>
              <w:tc>
                <w:tcPr>
                  <w:tcW w:w="3562" w:type="dxa"/>
                  <w:gridSpan w:val="4"/>
                  <w:noWrap w:val="0"/>
                  <w:vAlign w:val="center"/>
                </w:tcPr>
                <w:p w14:paraId="7912A40F">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422C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restart"/>
                  <w:noWrap w:val="0"/>
                  <w:vAlign w:val="center"/>
                </w:tcPr>
                <w:p w14:paraId="2951D12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2023-03-14</w:t>
                  </w:r>
                </w:p>
              </w:tc>
              <w:tc>
                <w:tcPr>
                  <w:tcW w:w="3560" w:type="dxa"/>
                  <w:gridSpan w:val="4"/>
                  <w:noWrap w:val="0"/>
                  <w:vAlign w:val="center"/>
                </w:tcPr>
                <w:p w14:paraId="0CD984D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02:10-02:15</w:t>
                  </w:r>
                </w:p>
              </w:tc>
              <w:tc>
                <w:tcPr>
                  <w:tcW w:w="3562" w:type="dxa"/>
                  <w:gridSpan w:val="4"/>
                  <w:noWrap w:val="0"/>
                  <w:vAlign w:val="center"/>
                </w:tcPr>
                <w:p w14:paraId="1B18CB75">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3111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42A16C79">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08D52E1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08:10-08:15</w:t>
                  </w:r>
                </w:p>
              </w:tc>
              <w:tc>
                <w:tcPr>
                  <w:tcW w:w="3562" w:type="dxa"/>
                  <w:gridSpan w:val="4"/>
                  <w:noWrap w:val="0"/>
                  <w:vAlign w:val="center"/>
                </w:tcPr>
                <w:p w14:paraId="1C2CECB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1C94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2260917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4764FAF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14:10-14:15</w:t>
                  </w:r>
                </w:p>
              </w:tc>
              <w:tc>
                <w:tcPr>
                  <w:tcW w:w="3562" w:type="dxa"/>
                  <w:gridSpan w:val="4"/>
                  <w:noWrap w:val="0"/>
                  <w:vAlign w:val="center"/>
                </w:tcPr>
                <w:p w14:paraId="53005A77">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r w14:paraId="6C45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560" w:type="dxa"/>
                  <w:gridSpan w:val="4"/>
                  <w:vMerge w:val="continue"/>
                  <w:noWrap w:val="0"/>
                  <w:vAlign w:val="center"/>
                </w:tcPr>
                <w:p w14:paraId="17785306">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3560" w:type="dxa"/>
                  <w:gridSpan w:val="4"/>
                  <w:noWrap w:val="0"/>
                  <w:vAlign w:val="center"/>
                </w:tcPr>
                <w:p w14:paraId="0728978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20:10-20:15</w:t>
                  </w:r>
                </w:p>
              </w:tc>
              <w:tc>
                <w:tcPr>
                  <w:tcW w:w="3562" w:type="dxa"/>
                  <w:gridSpan w:val="4"/>
                  <w:noWrap w:val="0"/>
                  <w:vAlign w:val="center"/>
                </w:tcPr>
                <w:p w14:paraId="55B0AE91">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p>
              </w:tc>
            </w:tr>
          </w:tbl>
          <w:p w14:paraId="65229F81">
            <w:pPr>
              <w:widowControl/>
              <w:spacing w:line="360" w:lineRule="auto"/>
              <w:ind w:firstLine="480" w:firstLineChars="200"/>
              <w:jc w:val="left"/>
              <w:rPr>
                <w:color w:val="auto"/>
                <w:sz w:val="24"/>
                <w:szCs w:val="24"/>
              </w:rPr>
            </w:pPr>
            <w:r>
              <w:rPr>
                <w:rFonts w:hint="eastAsia"/>
                <w:color w:val="auto"/>
                <w:sz w:val="24"/>
                <w:szCs w:val="24"/>
              </w:rPr>
              <w:t>由表3</w:t>
            </w:r>
            <w:r>
              <w:rPr>
                <w:rFonts w:hint="eastAsia"/>
                <w:color w:val="auto"/>
                <w:sz w:val="24"/>
                <w:szCs w:val="24"/>
                <w:lang w:val="en-US" w:eastAsia="zh-CN"/>
              </w:rPr>
              <w:t>-2</w:t>
            </w:r>
            <w:r>
              <w:rPr>
                <w:rFonts w:hint="eastAsia"/>
                <w:color w:val="auto"/>
                <w:sz w:val="24"/>
                <w:szCs w:val="24"/>
              </w:rPr>
              <w:t>可知，</w:t>
            </w:r>
            <w:r>
              <w:rPr>
                <w:rFonts w:hint="eastAsia"/>
                <w:color w:val="auto"/>
                <w:kern w:val="0"/>
                <w:sz w:val="24"/>
                <w:szCs w:val="24"/>
              </w:rPr>
              <w:t>TSP（颗粒物）满足</w:t>
            </w:r>
            <w:r>
              <w:rPr>
                <w:rFonts w:hint="eastAsia"/>
                <w:color w:val="auto"/>
                <w:sz w:val="24"/>
                <w:szCs w:val="24"/>
              </w:rPr>
              <w:t>《</w:t>
            </w:r>
            <w:r>
              <w:rPr>
                <w:color w:val="auto"/>
                <w:sz w:val="24"/>
                <w:szCs w:val="24"/>
              </w:rPr>
              <w:t>环境空气质量标准》</w:t>
            </w:r>
            <w:r>
              <w:rPr>
                <w:rFonts w:hint="eastAsia"/>
                <w:color w:val="auto"/>
                <w:sz w:val="24"/>
                <w:szCs w:val="24"/>
              </w:rPr>
              <w:t>（</w:t>
            </w:r>
            <w:r>
              <w:rPr>
                <w:color w:val="auto"/>
                <w:sz w:val="24"/>
                <w:szCs w:val="24"/>
              </w:rPr>
              <w:t>GB3095-2012</w:t>
            </w:r>
            <w:r>
              <w:rPr>
                <w:rFonts w:hint="eastAsia"/>
                <w:color w:val="auto"/>
                <w:sz w:val="24"/>
                <w:szCs w:val="24"/>
              </w:rPr>
              <w:t>）</w:t>
            </w:r>
            <w:r>
              <w:rPr>
                <w:color w:val="auto"/>
                <w:sz w:val="24"/>
                <w:szCs w:val="24"/>
              </w:rPr>
              <w:t>及其修改单中的二级标准</w:t>
            </w:r>
            <w:r>
              <w:rPr>
                <w:rFonts w:hint="eastAsia"/>
                <w:color w:val="auto"/>
                <w:sz w:val="24"/>
                <w:szCs w:val="24"/>
              </w:rPr>
              <w:t>（日均值：0.3</w:t>
            </w:r>
            <w:r>
              <w:rPr>
                <w:color w:val="auto"/>
                <w:sz w:val="24"/>
                <w:szCs w:val="24"/>
              </w:rPr>
              <w:t>mg/m</w:t>
            </w:r>
            <w:r>
              <w:rPr>
                <w:color w:val="auto"/>
                <w:sz w:val="24"/>
                <w:szCs w:val="24"/>
                <w:vertAlign w:val="superscript"/>
              </w:rPr>
              <w:t>3</w:t>
            </w:r>
            <w:r>
              <w:rPr>
                <w:rFonts w:hint="eastAsia"/>
                <w:color w:val="auto"/>
                <w:sz w:val="24"/>
                <w:szCs w:val="24"/>
              </w:rPr>
              <w:t>）</w:t>
            </w:r>
            <w:r>
              <w:rPr>
                <w:rFonts w:hint="eastAsia"/>
                <w:color w:val="auto"/>
                <w:sz w:val="24"/>
                <w:szCs w:val="24"/>
                <w:lang w:eastAsia="zh-CN"/>
              </w:rPr>
              <w:t>；</w:t>
            </w:r>
            <w:r>
              <w:rPr>
                <w:rFonts w:hint="eastAsia" w:ascii="宋体" w:hAnsi="宋体" w:cs="宋体"/>
                <w:color w:val="auto"/>
                <w:kern w:val="0"/>
                <w:sz w:val="24"/>
                <w:szCs w:val="24"/>
                <w:lang w:bidi="ar"/>
              </w:rPr>
              <w:t>硫化氢、氨浓度</w:t>
            </w:r>
            <w:r>
              <w:rPr>
                <w:rFonts w:hint="eastAsia" w:ascii="宋体" w:hAnsi="宋体" w:cs="宋体"/>
                <w:color w:val="auto"/>
                <w:kern w:val="0"/>
                <w:sz w:val="24"/>
                <w:szCs w:val="24"/>
                <w:lang w:eastAsia="zh-CN" w:bidi="ar"/>
              </w:rPr>
              <w:t>满足</w:t>
            </w:r>
            <w:r>
              <w:rPr>
                <w:rFonts w:hint="eastAsia"/>
                <w:color w:val="auto"/>
                <w:sz w:val="24"/>
                <w:szCs w:val="24"/>
              </w:rPr>
              <w:t>《</w:t>
            </w:r>
            <w:r>
              <w:rPr>
                <w:rFonts w:hint="eastAsia" w:ascii="宋体" w:hAnsi="宋体" w:cs="宋体"/>
                <w:color w:val="auto"/>
                <w:kern w:val="0"/>
                <w:sz w:val="24"/>
                <w:szCs w:val="24"/>
                <w:lang w:eastAsia="zh-CN" w:bidi="ar"/>
              </w:rPr>
              <w:t>环境影响评价技术导则</w:t>
            </w:r>
            <w:r>
              <w:rPr>
                <w:rFonts w:hint="eastAsia" w:ascii="宋体" w:hAnsi="宋体" w:cs="宋体"/>
                <w:color w:val="auto"/>
                <w:kern w:val="0"/>
                <w:sz w:val="24"/>
                <w:szCs w:val="24"/>
                <w:lang w:val="en-US" w:eastAsia="zh-CN" w:bidi="ar"/>
              </w:rPr>
              <w:t xml:space="preserve">  </w:t>
            </w:r>
            <w:r>
              <w:rPr>
                <w:rFonts w:hint="eastAsia" w:ascii="宋体" w:hAnsi="宋体" w:cs="宋体"/>
                <w:color w:val="auto"/>
                <w:kern w:val="0"/>
                <w:sz w:val="24"/>
                <w:szCs w:val="24"/>
                <w:lang w:eastAsia="zh-CN" w:bidi="ar"/>
              </w:rPr>
              <w:t>大气环境</w:t>
            </w:r>
            <w:r>
              <w:rPr>
                <w:color w:val="auto"/>
                <w:sz w:val="24"/>
                <w:szCs w:val="24"/>
              </w:rPr>
              <w:t>》</w:t>
            </w:r>
            <w:r>
              <w:rPr>
                <w:rFonts w:hint="eastAsia"/>
                <w:color w:val="auto"/>
                <w:sz w:val="24"/>
                <w:szCs w:val="24"/>
              </w:rPr>
              <w:t>表D1</w:t>
            </w:r>
            <w:r>
              <w:rPr>
                <w:rFonts w:hint="eastAsia"/>
                <w:color w:val="auto"/>
                <w:sz w:val="24"/>
                <w:szCs w:val="24"/>
                <w:lang w:eastAsia="zh-CN"/>
              </w:rPr>
              <w:t>中的浓度参考限值（</w:t>
            </w:r>
            <w:r>
              <w:rPr>
                <w:rFonts w:hint="eastAsia" w:ascii="宋体" w:hAnsi="宋体" w:cs="宋体"/>
                <w:color w:val="auto"/>
                <w:kern w:val="0"/>
                <w:sz w:val="24"/>
                <w:szCs w:val="24"/>
                <w:lang w:bidi="ar"/>
              </w:rPr>
              <w:t>硫化氢</w:t>
            </w:r>
            <w:r>
              <w:rPr>
                <w:rFonts w:hint="eastAsia" w:ascii="宋体" w:hAnsi="宋体" w:cs="宋体"/>
                <w:color w:val="auto"/>
                <w:kern w:val="0"/>
                <w:sz w:val="24"/>
                <w:szCs w:val="24"/>
                <w:lang w:eastAsia="zh-CN" w:bidi="ar"/>
              </w:rPr>
              <w:t>浓度</w:t>
            </w:r>
            <w:r>
              <w:rPr>
                <w:rFonts w:hint="eastAsia"/>
                <w:color w:val="auto"/>
                <w:sz w:val="24"/>
                <w:szCs w:val="24"/>
                <w:lang w:eastAsia="zh-CN"/>
              </w:rPr>
              <w:t>小时值：</w:t>
            </w:r>
            <w:r>
              <w:rPr>
                <w:rFonts w:hint="eastAsia" w:ascii="宋体" w:hAnsi="宋体" w:cs="宋体"/>
                <w:color w:val="auto"/>
                <w:kern w:val="0"/>
                <w:sz w:val="24"/>
                <w:szCs w:val="24"/>
                <w:lang w:bidi="ar"/>
              </w:rPr>
              <w:t>氨</w:t>
            </w:r>
            <w:r>
              <w:rPr>
                <w:rFonts w:hint="eastAsia" w:ascii="宋体" w:hAnsi="宋体" w:cs="宋体"/>
                <w:color w:val="auto"/>
                <w:kern w:val="0"/>
                <w:sz w:val="24"/>
                <w:szCs w:val="24"/>
                <w:lang w:eastAsia="zh-CN" w:bidi="ar"/>
              </w:rPr>
              <w:t>浓度</w:t>
            </w:r>
            <w:r>
              <w:rPr>
                <w:rFonts w:hint="eastAsia"/>
                <w:color w:val="auto"/>
                <w:sz w:val="24"/>
                <w:szCs w:val="24"/>
                <w:lang w:val="en-US" w:eastAsia="zh-CN"/>
              </w:rPr>
              <w:t>10</w:t>
            </w:r>
            <w:r>
              <w:rPr>
                <w:rFonts w:hint="default" w:ascii="Times New Roman" w:hAnsi="Times New Roman" w:cs="Times New Roman"/>
                <w:color w:val="auto"/>
                <w:sz w:val="24"/>
                <w:szCs w:val="24"/>
                <w:lang w:val="en-US" w:eastAsia="zh-CN"/>
              </w:rPr>
              <w:t>μg/m</w:t>
            </w:r>
            <w:r>
              <w:rPr>
                <w:rFonts w:hint="default" w:ascii="Times New Roman" w:hAnsi="Times New Roman" w:cs="Times New Roman"/>
                <w:color w:val="auto"/>
                <w:sz w:val="24"/>
                <w:szCs w:val="24"/>
                <w:vertAlign w:val="superscript"/>
                <w:lang w:val="en-US" w:eastAsia="zh-CN"/>
              </w:rPr>
              <w:t>3</w:t>
            </w:r>
            <w:r>
              <w:rPr>
                <w:rFonts w:hint="eastAsia"/>
                <w:color w:val="auto"/>
                <w:sz w:val="24"/>
                <w:szCs w:val="24"/>
                <w:vertAlign w:val="baseline"/>
                <w:lang w:val="en-US" w:eastAsia="zh-CN"/>
              </w:rPr>
              <w:t>；小时值200</w:t>
            </w:r>
            <w:r>
              <w:rPr>
                <w:rFonts w:hint="default" w:ascii="Times New Roman" w:hAnsi="Times New Roman" w:cs="Times New Roman"/>
                <w:color w:val="auto"/>
                <w:sz w:val="24"/>
                <w:szCs w:val="24"/>
                <w:lang w:val="en-US" w:eastAsia="zh-CN"/>
              </w:rPr>
              <w:t>μg/m</w:t>
            </w:r>
            <w:r>
              <w:rPr>
                <w:rFonts w:hint="default" w:ascii="Times New Roman" w:hAnsi="Times New Roman" w:cs="Times New Roman"/>
                <w:color w:val="auto"/>
                <w:sz w:val="24"/>
                <w:szCs w:val="24"/>
                <w:vertAlign w:val="superscript"/>
                <w:lang w:val="en-US" w:eastAsia="zh-CN"/>
              </w:rPr>
              <w:t>3</w:t>
            </w:r>
            <w:r>
              <w:rPr>
                <w:rFonts w:hint="eastAsia"/>
                <w:color w:val="auto"/>
                <w:sz w:val="24"/>
                <w:szCs w:val="24"/>
                <w:lang w:eastAsia="zh-CN"/>
              </w:rPr>
              <w:t>）</w:t>
            </w:r>
            <w:r>
              <w:rPr>
                <w:rFonts w:hint="eastAsia" w:ascii="宋体" w:hAnsi="宋体" w:cs="宋体"/>
                <w:color w:val="auto"/>
                <w:kern w:val="0"/>
                <w:sz w:val="24"/>
                <w:szCs w:val="24"/>
                <w:lang w:bidi="ar"/>
              </w:rPr>
              <w:t>、臭气浓度</w:t>
            </w:r>
            <w:r>
              <w:rPr>
                <w:rFonts w:hint="eastAsia" w:ascii="宋体" w:hAnsi="宋体" w:cs="宋体"/>
                <w:color w:val="auto"/>
                <w:kern w:val="0"/>
                <w:sz w:val="24"/>
                <w:szCs w:val="24"/>
                <w:lang w:eastAsia="zh-CN" w:bidi="ar"/>
              </w:rPr>
              <w:t>满足</w:t>
            </w:r>
            <w:r>
              <w:rPr>
                <w:rFonts w:hint="eastAsia" w:ascii="宋体" w:hAnsi="宋体" w:cs="宋体"/>
                <w:color w:val="auto"/>
                <w:kern w:val="0"/>
                <w:sz w:val="24"/>
                <w:szCs w:val="24"/>
                <w:lang w:bidi="ar"/>
              </w:rPr>
              <w:t>《恶臭污染物排放标准》（</w:t>
            </w:r>
            <w:r>
              <w:rPr>
                <w:color w:val="auto"/>
                <w:kern w:val="0"/>
                <w:sz w:val="24"/>
                <w:szCs w:val="24"/>
                <w:lang w:bidi="ar"/>
              </w:rPr>
              <w:t>GB14554-93</w:t>
            </w:r>
            <w:r>
              <w:rPr>
                <w:rFonts w:hint="eastAsia" w:ascii="宋体" w:hAnsi="宋体" w:cs="宋体"/>
                <w:color w:val="auto"/>
                <w:kern w:val="0"/>
                <w:sz w:val="24"/>
                <w:szCs w:val="24"/>
                <w:lang w:bidi="ar"/>
              </w:rPr>
              <w:t>）中的二级标准。</w:t>
            </w:r>
          </w:p>
          <w:p w14:paraId="54D92AB9">
            <w:pPr>
              <w:adjustRightInd w:val="0"/>
              <w:snapToGrid w:val="0"/>
              <w:spacing w:line="360" w:lineRule="auto"/>
              <w:jc w:val="left"/>
              <w:rPr>
                <w:b/>
                <w:bCs/>
                <w:sz w:val="24"/>
              </w:rPr>
            </w:pPr>
            <w:r>
              <w:rPr>
                <w:b/>
                <w:bCs/>
                <w:sz w:val="24"/>
              </w:rPr>
              <w:t>2、</w:t>
            </w:r>
            <w:r>
              <w:rPr>
                <w:rFonts w:hint="eastAsia"/>
                <w:b/>
                <w:bCs/>
                <w:sz w:val="24"/>
              </w:rPr>
              <w:t>地表</w:t>
            </w:r>
            <w:r>
              <w:rPr>
                <w:b/>
                <w:bCs/>
                <w:sz w:val="24"/>
              </w:rPr>
              <w:t>水环境</w:t>
            </w:r>
          </w:p>
          <w:p w14:paraId="3ADAD7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根据宿州市2023年环境质量状况：</w:t>
            </w:r>
            <w:r>
              <w:rPr>
                <w:rFonts w:hint="default" w:ascii="Times New Roman" w:hAnsi="Times New Roman" w:eastAsia="宋体" w:cs="Times New Roman"/>
                <w:color w:val="auto"/>
                <w:kern w:val="0"/>
                <w:sz w:val="24"/>
                <w:szCs w:val="24"/>
                <w:lang w:val="en-US" w:eastAsia="zh-CN"/>
              </w:rPr>
              <w:t>水生态环境质量：2023年，我市水环境质量稳步改善，全市13个地表水国家考核断面中9个水质为Ⅲ类，水质优良比例为69.2%，较上年同比提升15.4个百分点，好于省年度考核目标7.7个百分点；10个地表水省考核断面中，4个断面水质为Ⅲ类，水质优良比例为40%，好于省年度考核目标10个百分点；9个县级及以上集中式饮用水水源地，水质达标率为100%。</w:t>
            </w:r>
          </w:p>
          <w:p w14:paraId="36CEAE39">
            <w:pPr>
              <w:adjustRightInd w:val="0"/>
              <w:snapToGrid w:val="0"/>
              <w:spacing w:line="360" w:lineRule="auto"/>
              <w:jc w:val="left"/>
              <w:rPr>
                <w:b/>
                <w:bCs/>
                <w:sz w:val="24"/>
              </w:rPr>
            </w:pPr>
            <w:r>
              <w:rPr>
                <w:b/>
                <w:bCs/>
                <w:sz w:val="24"/>
              </w:rPr>
              <w:t>3、声环境</w:t>
            </w:r>
          </w:p>
          <w:p w14:paraId="43CF44CE">
            <w:pPr>
              <w:widowControl/>
              <w:adjustRightInd w:val="0"/>
              <w:snapToGrid w:val="0"/>
              <w:spacing w:line="360" w:lineRule="auto"/>
              <w:ind w:firstLine="480" w:firstLineChars="200"/>
              <w:jc w:val="left"/>
              <w:rPr>
                <w:sz w:val="24"/>
              </w:rPr>
            </w:pPr>
            <w:r>
              <w:rPr>
                <w:kern w:val="0"/>
                <w:sz w:val="24"/>
              </w:rPr>
              <w:t>项目50m范围内无声环境保护目标，可不做现状监测。</w:t>
            </w:r>
          </w:p>
          <w:p w14:paraId="4A386A32">
            <w:pPr>
              <w:adjustRightInd w:val="0"/>
              <w:snapToGrid w:val="0"/>
              <w:spacing w:line="360" w:lineRule="auto"/>
              <w:jc w:val="left"/>
              <w:rPr>
                <w:b/>
                <w:bCs/>
                <w:sz w:val="24"/>
              </w:rPr>
            </w:pPr>
            <w:r>
              <w:rPr>
                <w:rFonts w:hint="eastAsia"/>
                <w:b/>
                <w:bCs/>
                <w:sz w:val="24"/>
              </w:rPr>
              <w:t>4、生态环境</w:t>
            </w:r>
          </w:p>
          <w:p w14:paraId="724F2646">
            <w:pPr>
              <w:adjustRightInd w:val="0"/>
              <w:snapToGrid w:val="0"/>
              <w:spacing w:line="360" w:lineRule="auto"/>
              <w:ind w:firstLine="480" w:firstLineChars="200"/>
              <w:jc w:val="left"/>
              <w:rPr>
                <w:sz w:val="24"/>
              </w:rPr>
            </w:pPr>
            <w:r>
              <w:rPr>
                <w:rFonts w:hint="eastAsia"/>
                <w:sz w:val="24"/>
              </w:rPr>
              <w:t>本项目位于</w:t>
            </w:r>
            <w:r>
              <w:rPr>
                <w:color w:val="000000" w:themeColor="text1"/>
                <w:kern w:val="0"/>
                <w:sz w:val="24"/>
                <w14:textFill>
                  <w14:solidFill>
                    <w14:schemeClr w14:val="tx1"/>
                  </w14:solidFill>
                </w14:textFill>
              </w:rPr>
              <w:t>安徽省宿州市埇桥区桃园镇浍光村</w:t>
            </w:r>
            <w:r>
              <w:rPr>
                <w:rFonts w:hint="eastAsia"/>
                <w:sz w:val="24"/>
              </w:rPr>
              <w:t>，</w:t>
            </w:r>
            <w:r>
              <w:rPr>
                <w:sz w:val="24"/>
              </w:rPr>
              <w:t>属于工业用地</w:t>
            </w:r>
            <w:r>
              <w:rPr>
                <w:rFonts w:hint="eastAsia"/>
                <w:sz w:val="24"/>
              </w:rPr>
              <w:t>，不涉及产业园区外新增用地，</w:t>
            </w:r>
            <w:r>
              <w:rPr>
                <w:kern w:val="0"/>
                <w:sz w:val="24"/>
              </w:rPr>
              <w:t>不存在生态环境保护目标，</w:t>
            </w:r>
            <w:r>
              <w:rPr>
                <w:rFonts w:hint="eastAsia"/>
                <w:kern w:val="0"/>
                <w:sz w:val="24"/>
              </w:rPr>
              <w:t>可</w:t>
            </w:r>
            <w:r>
              <w:rPr>
                <w:kern w:val="0"/>
                <w:sz w:val="24"/>
              </w:rPr>
              <w:t>不开展生态现状调查</w:t>
            </w:r>
            <w:r>
              <w:rPr>
                <w:rFonts w:hint="eastAsia"/>
                <w:sz w:val="24"/>
              </w:rPr>
              <w:t>。</w:t>
            </w:r>
          </w:p>
          <w:p w14:paraId="4FF03052">
            <w:pPr>
              <w:adjustRightInd w:val="0"/>
              <w:snapToGrid w:val="0"/>
              <w:spacing w:line="360" w:lineRule="auto"/>
              <w:jc w:val="left"/>
              <w:rPr>
                <w:b/>
                <w:bCs/>
                <w:sz w:val="24"/>
              </w:rPr>
            </w:pPr>
            <w:r>
              <w:rPr>
                <w:rFonts w:hint="eastAsia"/>
                <w:b/>
                <w:bCs/>
                <w:sz w:val="24"/>
              </w:rPr>
              <w:t>5、电磁辐射</w:t>
            </w:r>
          </w:p>
          <w:p w14:paraId="1974EAA2">
            <w:pPr>
              <w:adjustRightInd w:val="0"/>
              <w:snapToGrid w:val="0"/>
              <w:spacing w:line="360" w:lineRule="auto"/>
              <w:ind w:left="420" w:leftChars="200"/>
              <w:jc w:val="left"/>
              <w:rPr>
                <w:sz w:val="24"/>
              </w:rPr>
            </w:pPr>
            <w:r>
              <w:rPr>
                <w:rFonts w:hint="eastAsia"/>
                <w:sz w:val="24"/>
              </w:rPr>
              <w:t>本项目属于</w:t>
            </w:r>
            <w:r>
              <w:rPr>
                <w:rFonts w:hint="eastAsia" w:ascii="Times New Roman" w:hAnsi="Times New Roman" w:eastAsia="宋体" w:cs="Times New Roman"/>
                <w:sz w:val="24"/>
                <w:szCs w:val="24"/>
                <w:u w:val="none" w:color="auto"/>
                <w:lang w:eastAsia="zh-CN"/>
              </w:rPr>
              <w:t>固体废物治理</w:t>
            </w:r>
            <w:r>
              <w:rPr>
                <w:rFonts w:hint="eastAsia"/>
                <w:sz w:val="24"/>
              </w:rPr>
              <w:t>，不涉及电磁辐射类项目。</w:t>
            </w:r>
          </w:p>
          <w:p w14:paraId="67A7FF34">
            <w:pPr>
              <w:adjustRightInd w:val="0"/>
              <w:snapToGrid w:val="0"/>
              <w:spacing w:line="360" w:lineRule="auto"/>
              <w:jc w:val="left"/>
              <w:rPr>
                <w:b/>
                <w:bCs/>
                <w:sz w:val="24"/>
              </w:rPr>
            </w:pPr>
            <w:r>
              <w:rPr>
                <w:rFonts w:hint="eastAsia"/>
                <w:b/>
                <w:bCs/>
                <w:sz w:val="24"/>
              </w:rPr>
              <w:t>6、地下水、土壤环境</w:t>
            </w:r>
          </w:p>
          <w:p w14:paraId="2A0811D8">
            <w:pPr>
              <w:adjustRightInd w:val="0"/>
              <w:snapToGrid w:val="0"/>
              <w:spacing w:line="360" w:lineRule="auto"/>
              <w:ind w:firstLine="480" w:firstLineChars="200"/>
              <w:jc w:val="left"/>
              <w:rPr>
                <w:sz w:val="24"/>
              </w:rPr>
            </w:pPr>
            <w:r>
              <w:rPr>
                <w:sz w:val="24"/>
              </w:rPr>
              <w:t>项目为</w:t>
            </w:r>
            <w:r>
              <w:rPr>
                <w:rFonts w:hint="eastAsia" w:ascii="Times New Roman" w:hAnsi="Times New Roman" w:eastAsia="宋体" w:cs="Times New Roman"/>
                <w:sz w:val="24"/>
                <w:szCs w:val="24"/>
                <w:u w:val="none" w:color="auto"/>
                <w:lang w:eastAsia="zh-CN"/>
              </w:rPr>
              <w:t>固体废物治理</w:t>
            </w:r>
            <w:r>
              <w:rPr>
                <w:sz w:val="24"/>
              </w:rPr>
              <w:t>，厂区经分区防渗后，项目对地下水及土壤环境产生影响较小，根据《建设项目环境影响报告表编制技术指南（污染影响类）（试行）》规定</w:t>
            </w:r>
            <w:r>
              <w:rPr>
                <w:rFonts w:hint="eastAsia" w:ascii="宋体" w:hAnsi="宋体" w:cs="宋体"/>
                <w:sz w:val="24"/>
              </w:rPr>
              <w:t>“地下水、土壤环境。原则上不开展环境质量现状调查。”因</w:t>
            </w:r>
            <w:r>
              <w:rPr>
                <w:sz w:val="24"/>
              </w:rPr>
              <w:t>此可不进行地下水、土壤环境质量现状监测。</w:t>
            </w:r>
          </w:p>
          <w:p w14:paraId="3EDD89D4">
            <w:pPr>
              <w:adjustRightInd w:val="0"/>
              <w:snapToGrid w:val="0"/>
              <w:spacing w:line="360" w:lineRule="auto"/>
              <w:ind w:firstLine="480" w:firstLineChars="200"/>
              <w:jc w:val="left"/>
              <w:rPr>
                <w:kern w:val="0"/>
                <w:sz w:val="24"/>
              </w:rPr>
            </w:pPr>
          </w:p>
          <w:p w14:paraId="0A8A5EEF">
            <w:pPr>
              <w:rPr>
                <w:kern w:val="0"/>
                <w:sz w:val="24"/>
              </w:rPr>
            </w:pPr>
          </w:p>
          <w:p w14:paraId="6C876A62">
            <w:pPr>
              <w:pStyle w:val="33"/>
              <w:rPr>
                <w:color w:val="auto"/>
                <w:kern w:val="0"/>
              </w:rPr>
            </w:pPr>
          </w:p>
          <w:p w14:paraId="17D8FBDA">
            <w:pPr>
              <w:pStyle w:val="9"/>
              <w:rPr>
                <w:szCs w:val="24"/>
              </w:rPr>
            </w:pPr>
          </w:p>
          <w:p w14:paraId="2685D65F">
            <w:pPr>
              <w:rPr>
                <w:kern w:val="0"/>
                <w:sz w:val="24"/>
              </w:rPr>
            </w:pPr>
          </w:p>
          <w:p w14:paraId="1A4CD631">
            <w:pPr>
              <w:rPr>
                <w:kern w:val="0"/>
                <w:sz w:val="24"/>
              </w:rPr>
            </w:pPr>
          </w:p>
          <w:p w14:paraId="39995E7E">
            <w:pPr>
              <w:adjustRightInd w:val="0"/>
              <w:snapToGrid w:val="0"/>
              <w:spacing w:before="156" w:beforeLines="50" w:line="360" w:lineRule="auto"/>
              <w:rPr>
                <w:kern w:val="0"/>
                <w:szCs w:val="21"/>
              </w:rPr>
            </w:pPr>
          </w:p>
          <w:p w14:paraId="5E941B6D">
            <w:pPr>
              <w:adjustRightInd w:val="0"/>
              <w:snapToGrid w:val="0"/>
              <w:spacing w:before="156" w:beforeLines="50" w:line="360" w:lineRule="auto"/>
              <w:rPr>
                <w:kern w:val="0"/>
                <w:szCs w:val="21"/>
              </w:rPr>
            </w:pPr>
          </w:p>
          <w:p w14:paraId="45043917">
            <w:pPr>
              <w:adjustRightInd w:val="0"/>
              <w:snapToGrid w:val="0"/>
              <w:spacing w:before="156" w:beforeLines="50" w:line="360" w:lineRule="auto"/>
              <w:rPr>
                <w:kern w:val="0"/>
                <w:szCs w:val="21"/>
              </w:rPr>
            </w:pPr>
          </w:p>
          <w:p w14:paraId="01890D13">
            <w:pPr>
              <w:adjustRightInd w:val="0"/>
              <w:snapToGrid w:val="0"/>
              <w:spacing w:before="156" w:beforeLines="50" w:line="360" w:lineRule="auto"/>
              <w:rPr>
                <w:kern w:val="0"/>
                <w:szCs w:val="21"/>
              </w:rPr>
            </w:pPr>
          </w:p>
          <w:p w14:paraId="0B2B2BA1">
            <w:pPr>
              <w:adjustRightInd w:val="0"/>
              <w:snapToGrid w:val="0"/>
              <w:spacing w:before="156" w:beforeLines="50" w:line="360" w:lineRule="auto"/>
              <w:rPr>
                <w:kern w:val="0"/>
                <w:szCs w:val="21"/>
              </w:rPr>
            </w:pPr>
          </w:p>
          <w:p w14:paraId="45D4230C">
            <w:pPr>
              <w:adjustRightInd w:val="0"/>
              <w:snapToGrid w:val="0"/>
              <w:spacing w:before="156" w:beforeLines="50" w:line="360" w:lineRule="auto"/>
              <w:rPr>
                <w:kern w:val="0"/>
                <w:szCs w:val="21"/>
              </w:rPr>
            </w:pPr>
          </w:p>
          <w:p w14:paraId="2208F0D6">
            <w:pPr>
              <w:adjustRightInd w:val="0"/>
              <w:snapToGrid w:val="0"/>
              <w:spacing w:before="156" w:beforeLines="50" w:line="360" w:lineRule="auto"/>
              <w:rPr>
                <w:kern w:val="0"/>
                <w:szCs w:val="21"/>
              </w:rPr>
            </w:pPr>
          </w:p>
        </w:tc>
      </w:tr>
      <w:tr w14:paraId="5E872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67" w:type="dxa"/>
            <w:tcBorders>
              <w:tl2br w:val="nil"/>
              <w:tr2bl w:val="nil"/>
            </w:tcBorders>
            <w:vAlign w:val="center"/>
          </w:tcPr>
          <w:p w14:paraId="30181AA7">
            <w:pPr>
              <w:adjustRightInd w:val="0"/>
              <w:snapToGrid w:val="0"/>
              <w:jc w:val="center"/>
              <w:rPr>
                <w:kern w:val="0"/>
                <w:sz w:val="24"/>
              </w:rPr>
            </w:pPr>
            <w:r>
              <w:rPr>
                <w:kern w:val="0"/>
                <w:sz w:val="24"/>
              </w:rPr>
              <w:t>环境</w:t>
            </w:r>
          </w:p>
          <w:p w14:paraId="17683472">
            <w:pPr>
              <w:adjustRightInd w:val="0"/>
              <w:snapToGrid w:val="0"/>
              <w:jc w:val="center"/>
              <w:rPr>
                <w:kern w:val="0"/>
                <w:sz w:val="24"/>
              </w:rPr>
            </w:pPr>
            <w:r>
              <w:rPr>
                <w:kern w:val="0"/>
                <w:sz w:val="24"/>
              </w:rPr>
              <w:t>保护</w:t>
            </w:r>
          </w:p>
          <w:p w14:paraId="41080E45">
            <w:pPr>
              <w:adjustRightInd w:val="0"/>
              <w:snapToGrid w:val="0"/>
              <w:jc w:val="center"/>
              <w:rPr>
                <w:kern w:val="0"/>
                <w:szCs w:val="21"/>
              </w:rPr>
            </w:pPr>
            <w:r>
              <w:rPr>
                <w:kern w:val="0"/>
                <w:sz w:val="24"/>
              </w:rPr>
              <w:t>目标</w:t>
            </w:r>
          </w:p>
        </w:tc>
        <w:tc>
          <w:tcPr>
            <w:tcW w:w="8539" w:type="dxa"/>
            <w:tcBorders>
              <w:tl2br w:val="nil"/>
              <w:tr2bl w:val="nil"/>
            </w:tcBorders>
            <w:vAlign w:val="center"/>
          </w:tcPr>
          <w:p w14:paraId="64310F22">
            <w:pPr>
              <w:numPr>
                <w:ilvl w:val="0"/>
                <w:numId w:val="2"/>
              </w:numPr>
              <w:adjustRightInd w:val="0"/>
              <w:snapToGrid w:val="0"/>
              <w:spacing w:before="156" w:beforeLines="50" w:line="360" w:lineRule="auto"/>
              <w:rPr>
                <w:b/>
                <w:bCs/>
                <w:kern w:val="0"/>
                <w:sz w:val="24"/>
              </w:rPr>
            </w:pPr>
            <w:r>
              <w:rPr>
                <w:b/>
                <w:bCs/>
                <w:kern w:val="0"/>
                <w:sz w:val="24"/>
              </w:rPr>
              <w:t>大气环境</w:t>
            </w:r>
          </w:p>
          <w:p w14:paraId="01AA9721">
            <w:pPr>
              <w:keepNext w:val="0"/>
              <w:keepLines w:val="0"/>
              <w:pageBreakBefore w:val="0"/>
              <w:widowControl/>
              <w:kinsoku/>
              <w:wordWrap/>
              <w:overflowPunct/>
              <w:topLinePunct w:val="0"/>
              <w:autoSpaceDE/>
              <w:autoSpaceDN/>
              <w:bidi w:val="0"/>
              <w:snapToGrid w:val="0"/>
              <w:spacing w:line="360" w:lineRule="auto"/>
              <w:ind w:firstLine="0" w:firstLineChars="0"/>
              <w:jc w:val="center"/>
              <w:textAlignment w:val="auto"/>
              <w:rPr>
                <w:b/>
                <w:bCs/>
                <w:sz w:val="24"/>
                <w:szCs w:val="24"/>
              </w:rPr>
            </w:pPr>
            <w:r>
              <w:rPr>
                <w:b/>
                <w:bCs/>
                <w:sz w:val="24"/>
                <w:szCs w:val="24"/>
              </w:rPr>
              <w:t>表3</w:t>
            </w:r>
            <w:r>
              <w:rPr>
                <w:rFonts w:hint="eastAsia"/>
                <w:b/>
                <w:bCs/>
                <w:sz w:val="24"/>
                <w:szCs w:val="24"/>
                <w:lang w:val="en-US" w:eastAsia="zh-CN"/>
              </w:rPr>
              <w:t>-3</w:t>
            </w:r>
            <w:r>
              <w:rPr>
                <w:b/>
                <w:bCs/>
                <w:sz w:val="24"/>
                <w:szCs w:val="24"/>
              </w:rPr>
              <w:t xml:space="preserve">  主要环境保护目标一览表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09"/>
              <w:gridCol w:w="598"/>
              <w:gridCol w:w="578"/>
              <w:gridCol w:w="890"/>
              <w:gridCol w:w="1083"/>
              <w:gridCol w:w="1838"/>
              <w:gridCol w:w="895"/>
              <w:gridCol w:w="952"/>
            </w:tblGrid>
            <w:tr w14:paraId="5EA5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Merge w:val="restart"/>
                  <w:vAlign w:val="center"/>
                </w:tcPr>
                <w:p w14:paraId="3CE2C027">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序号</w:t>
                  </w:r>
                </w:p>
              </w:tc>
              <w:tc>
                <w:tcPr>
                  <w:tcW w:w="677" w:type="pct"/>
                  <w:vMerge w:val="restart"/>
                  <w:vAlign w:val="center"/>
                </w:tcPr>
                <w:p w14:paraId="2D5BEF12">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名称</w:t>
                  </w:r>
                </w:p>
              </w:tc>
              <w:tc>
                <w:tcPr>
                  <w:tcW w:w="782" w:type="pct"/>
                  <w:gridSpan w:val="2"/>
                  <w:vAlign w:val="center"/>
                </w:tcPr>
                <w:p w14:paraId="1B16A2E9">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坐标/m</w:t>
                  </w:r>
                </w:p>
              </w:tc>
              <w:tc>
                <w:tcPr>
                  <w:tcW w:w="574" w:type="pct"/>
                  <w:vMerge w:val="restart"/>
                  <w:vAlign w:val="center"/>
                </w:tcPr>
                <w:p w14:paraId="24740144">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保护对象</w:t>
                  </w:r>
                </w:p>
              </w:tc>
              <w:tc>
                <w:tcPr>
                  <w:tcW w:w="690" w:type="pct"/>
                  <w:vMerge w:val="restart"/>
                  <w:vAlign w:val="center"/>
                </w:tcPr>
                <w:p w14:paraId="67A60FBA">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保护内容</w:t>
                  </w:r>
                </w:p>
              </w:tc>
              <w:tc>
                <w:tcPr>
                  <w:tcW w:w="829" w:type="pct"/>
                  <w:vMerge w:val="restart"/>
                  <w:vAlign w:val="center"/>
                </w:tcPr>
                <w:p w14:paraId="5441B5A1">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环境功能区</w:t>
                  </w:r>
                </w:p>
              </w:tc>
              <w:tc>
                <w:tcPr>
                  <w:tcW w:w="576" w:type="pct"/>
                  <w:vMerge w:val="restart"/>
                  <w:vAlign w:val="center"/>
                </w:tcPr>
                <w:p w14:paraId="258A851C">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相对厂址方位</w:t>
                  </w:r>
                </w:p>
              </w:tc>
              <w:tc>
                <w:tcPr>
                  <w:tcW w:w="608" w:type="pct"/>
                  <w:vMerge w:val="restart"/>
                  <w:vAlign w:val="center"/>
                </w:tcPr>
                <w:p w14:paraId="572B6E8F">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相对厂界距离/m</w:t>
                  </w:r>
                </w:p>
              </w:tc>
            </w:tr>
            <w:tr w14:paraId="297A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Merge w:val="continue"/>
                  <w:vAlign w:val="center"/>
                </w:tcPr>
                <w:p w14:paraId="7742F279">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677" w:type="pct"/>
                  <w:vMerge w:val="continue"/>
                  <w:vAlign w:val="center"/>
                </w:tcPr>
                <w:p w14:paraId="10B72664">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397" w:type="pct"/>
                  <w:vAlign w:val="center"/>
                </w:tcPr>
                <w:p w14:paraId="1DF0BBF9">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X</w:t>
                  </w:r>
                </w:p>
              </w:tc>
              <w:tc>
                <w:tcPr>
                  <w:tcW w:w="385" w:type="pct"/>
                  <w:vAlign w:val="center"/>
                </w:tcPr>
                <w:p w14:paraId="392CC353">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Y</w:t>
                  </w:r>
                </w:p>
              </w:tc>
              <w:tc>
                <w:tcPr>
                  <w:tcW w:w="574" w:type="pct"/>
                  <w:vMerge w:val="continue"/>
                  <w:vAlign w:val="center"/>
                </w:tcPr>
                <w:p w14:paraId="1578F531">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690" w:type="pct"/>
                  <w:vMerge w:val="continue"/>
                  <w:vAlign w:val="center"/>
                </w:tcPr>
                <w:p w14:paraId="6C1B72B0">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829" w:type="pct"/>
                  <w:vMerge w:val="continue"/>
                  <w:vAlign w:val="center"/>
                </w:tcPr>
                <w:p w14:paraId="12907370">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576" w:type="pct"/>
                  <w:vMerge w:val="continue"/>
                  <w:vAlign w:val="center"/>
                </w:tcPr>
                <w:p w14:paraId="0F9891D6">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608" w:type="pct"/>
                  <w:vMerge w:val="continue"/>
                  <w:vAlign w:val="center"/>
                </w:tcPr>
                <w:p w14:paraId="116E66EA">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r>
            <w:tr w14:paraId="6E0F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Align w:val="center"/>
                </w:tcPr>
                <w:p w14:paraId="5BACF9E5">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1</w:t>
                  </w:r>
                </w:p>
              </w:tc>
              <w:tc>
                <w:tcPr>
                  <w:tcW w:w="677" w:type="pct"/>
                  <w:vAlign w:val="center"/>
                </w:tcPr>
                <w:p w14:paraId="042824B7">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雷楼</w:t>
                  </w:r>
                </w:p>
              </w:tc>
              <w:tc>
                <w:tcPr>
                  <w:tcW w:w="397" w:type="pct"/>
                  <w:vAlign w:val="center"/>
                </w:tcPr>
                <w:p w14:paraId="715CED00">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60</w:t>
                  </w:r>
                </w:p>
              </w:tc>
              <w:tc>
                <w:tcPr>
                  <w:tcW w:w="385" w:type="pct"/>
                  <w:vAlign w:val="center"/>
                </w:tcPr>
                <w:p w14:paraId="33B35E1E">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461</w:t>
                  </w:r>
                </w:p>
              </w:tc>
              <w:tc>
                <w:tcPr>
                  <w:tcW w:w="574" w:type="pct"/>
                  <w:vMerge w:val="restart"/>
                  <w:vAlign w:val="center"/>
                </w:tcPr>
                <w:p w14:paraId="6C69A1FE">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居民区</w:t>
                  </w:r>
                </w:p>
              </w:tc>
              <w:tc>
                <w:tcPr>
                  <w:tcW w:w="690" w:type="pct"/>
                  <w:vAlign w:val="center"/>
                </w:tcPr>
                <w:p w14:paraId="323F291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160</w:t>
                  </w:r>
                  <w:r>
                    <w:rPr>
                      <w:color w:val="auto"/>
                      <w:sz w:val="21"/>
                      <w:szCs w:val="21"/>
                    </w:rPr>
                    <w:t>户/</w:t>
                  </w:r>
                  <w:r>
                    <w:rPr>
                      <w:rFonts w:hint="eastAsia"/>
                      <w:color w:val="auto"/>
                      <w:sz w:val="21"/>
                      <w:szCs w:val="21"/>
                      <w:lang w:val="en-US" w:eastAsia="zh-CN"/>
                    </w:rPr>
                    <w:t>480</w:t>
                  </w:r>
                </w:p>
              </w:tc>
              <w:tc>
                <w:tcPr>
                  <w:tcW w:w="829" w:type="pct"/>
                  <w:vMerge w:val="restart"/>
                  <w:vAlign w:val="center"/>
                </w:tcPr>
                <w:p w14:paraId="7D75DC38">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（GB3095-2012）及其修改单中二级标准</w:t>
                  </w:r>
                </w:p>
              </w:tc>
              <w:tc>
                <w:tcPr>
                  <w:tcW w:w="576" w:type="pct"/>
                  <w:vAlign w:val="center"/>
                </w:tcPr>
                <w:p w14:paraId="3721EC7A">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东北</w:t>
                  </w:r>
                </w:p>
              </w:tc>
              <w:tc>
                <w:tcPr>
                  <w:tcW w:w="608" w:type="pct"/>
                  <w:vAlign w:val="center"/>
                </w:tcPr>
                <w:p w14:paraId="649F7D11">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443</w:t>
                  </w:r>
                </w:p>
              </w:tc>
            </w:tr>
            <w:tr w14:paraId="4C1B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1" w:type="pct"/>
                  <w:vAlign w:val="center"/>
                </w:tcPr>
                <w:p w14:paraId="3334C54F">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2</w:t>
                  </w:r>
                </w:p>
              </w:tc>
              <w:tc>
                <w:tcPr>
                  <w:tcW w:w="677" w:type="pct"/>
                  <w:vAlign w:val="center"/>
                </w:tcPr>
                <w:p w14:paraId="41B2439A">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大吴村</w:t>
                  </w:r>
                </w:p>
              </w:tc>
              <w:tc>
                <w:tcPr>
                  <w:tcW w:w="397" w:type="pct"/>
                  <w:vAlign w:val="center"/>
                </w:tcPr>
                <w:p w14:paraId="723E3019">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eastAsia"/>
                      <w:sz w:val="21"/>
                      <w:szCs w:val="21"/>
                    </w:rPr>
                    <w:t>0</w:t>
                  </w:r>
                </w:p>
              </w:tc>
              <w:tc>
                <w:tcPr>
                  <w:tcW w:w="385" w:type="pct"/>
                  <w:vAlign w:val="center"/>
                </w:tcPr>
                <w:p w14:paraId="71B33995">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rFonts w:hint="eastAsia"/>
                      <w:color w:val="auto"/>
                      <w:sz w:val="21"/>
                      <w:szCs w:val="21"/>
                    </w:rPr>
                    <w:t>488</w:t>
                  </w:r>
                </w:p>
              </w:tc>
              <w:tc>
                <w:tcPr>
                  <w:tcW w:w="574" w:type="pct"/>
                  <w:vMerge w:val="continue"/>
                  <w:vAlign w:val="center"/>
                </w:tcPr>
                <w:p w14:paraId="4255A161">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690" w:type="pct"/>
                  <w:vAlign w:val="center"/>
                </w:tcPr>
                <w:p w14:paraId="226FCD68">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rFonts w:hint="eastAsia"/>
                      <w:color w:val="auto"/>
                      <w:sz w:val="21"/>
                      <w:szCs w:val="21"/>
                      <w:lang w:val="en-US" w:eastAsia="zh-CN"/>
                    </w:rPr>
                    <w:t>155</w:t>
                  </w:r>
                  <w:r>
                    <w:rPr>
                      <w:rFonts w:hint="eastAsia"/>
                      <w:color w:val="auto"/>
                      <w:sz w:val="21"/>
                      <w:szCs w:val="21"/>
                    </w:rPr>
                    <w:t>户/</w:t>
                  </w:r>
                  <w:r>
                    <w:rPr>
                      <w:rFonts w:hint="eastAsia"/>
                      <w:color w:val="auto"/>
                      <w:sz w:val="21"/>
                      <w:szCs w:val="21"/>
                      <w:lang w:val="en-US" w:eastAsia="zh-CN"/>
                    </w:rPr>
                    <w:t>465</w:t>
                  </w:r>
                  <w:r>
                    <w:rPr>
                      <w:rFonts w:hint="eastAsia"/>
                      <w:color w:val="auto"/>
                      <w:sz w:val="21"/>
                      <w:szCs w:val="21"/>
                    </w:rPr>
                    <w:t>人</w:t>
                  </w:r>
                </w:p>
              </w:tc>
              <w:tc>
                <w:tcPr>
                  <w:tcW w:w="829" w:type="pct"/>
                  <w:vMerge w:val="continue"/>
                  <w:vAlign w:val="center"/>
                </w:tcPr>
                <w:p w14:paraId="0E268807">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p>
              </w:tc>
              <w:tc>
                <w:tcPr>
                  <w:tcW w:w="576" w:type="pct"/>
                  <w:vAlign w:val="center"/>
                </w:tcPr>
                <w:p w14:paraId="47AD17B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auto"/>
                      <w:sz w:val="21"/>
                      <w:szCs w:val="21"/>
                    </w:rPr>
                  </w:pPr>
                  <w:r>
                    <w:rPr>
                      <w:rFonts w:hint="eastAsia"/>
                      <w:color w:val="auto"/>
                      <w:sz w:val="21"/>
                      <w:szCs w:val="21"/>
                    </w:rPr>
                    <w:t>东</w:t>
                  </w:r>
                </w:p>
              </w:tc>
              <w:tc>
                <w:tcPr>
                  <w:tcW w:w="608" w:type="pct"/>
                  <w:vAlign w:val="center"/>
                </w:tcPr>
                <w:p w14:paraId="47C2FF2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473</w:t>
                  </w:r>
                </w:p>
              </w:tc>
            </w:tr>
            <w:tr w14:paraId="6666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14:paraId="726EDACD">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注：以企业所在区域对角线交点为坐标原点，以东西方向为X坐标轴（东方向为正方向），以南北方向为Y坐标轴（北方向为正方向）</w:t>
                  </w:r>
                </w:p>
              </w:tc>
            </w:tr>
          </w:tbl>
          <w:p w14:paraId="7ADEB4B8">
            <w:pPr>
              <w:adjustRightInd w:val="0"/>
              <w:snapToGrid w:val="0"/>
              <w:spacing w:before="156" w:beforeLines="50" w:line="360" w:lineRule="auto"/>
              <w:rPr>
                <w:b/>
                <w:bCs/>
                <w:kern w:val="0"/>
                <w:sz w:val="24"/>
              </w:rPr>
            </w:pPr>
            <w:r>
              <w:rPr>
                <w:b/>
                <w:bCs/>
                <w:kern w:val="0"/>
                <w:sz w:val="24"/>
              </w:rPr>
              <w:t>2、声环境</w:t>
            </w:r>
          </w:p>
          <w:p w14:paraId="65558EA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sz w:val="24"/>
                <w:szCs w:val="24"/>
              </w:rPr>
            </w:pPr>
            <w:r>
              <w:rPr>
                <w:sz w:val="24"/>
                <w:szCs w:val="24"/>
              </w:rPr>
              <w:t>项目50m范围内无声环境保护目标</w:t>
            </w:r>
            <w:r>
              <w:rPr>
                <w:rFonts w:hint="eastAsia"/>
                <w:sz w:val="24"/>
                <w:szCs w:val="24"/>
              </w:rPr>
              <w:t>。</w:t>
            </w:r>
          </w:p>
          <w:p w14:paraId="07BB462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4"/>
                <w:szCs w:val="24"/>
              </w:rPr>
            </w:pPr>
            <w:r>
              <w:rPr>
                <w:rFonts w:hint="eastAsia"/>
                <w:b/>
                <w:bCs/>
                <w:sz w:val="24"/>
                <w:szCs w:val="24"/>
              </w:rPr>
              <w:t>3</w:t>
            </w:r>
            <w:r>
              <w:rPr>
                <w:rFonts w:hint="eastAsia"/>
                <w:sz w:val="24"/>
                <w:szCs w:val="24"/>
              </w:rPr>
              <w:t>、</w:t>
            </w:r>
            <w:r>
              <w:rPr>
                <w:rFonts w:hint="eastAsia"/>
                <w:b/>
                <w:bCs/>
                <w:sz w:val="24"/>
                <w:szCs w:val="24"/>
              </w:rPr>
              <w:t>地表</w:t>
            </w:r>
            <w:r>
              <w:rPr>
                <w:b/>
                <w:bCs/>
                <w:sz w:val="24"/>
                <w:szCs w:val="24"/>
              </w:rPr>
              <w:t>水环境</w:t>
            </w:r>
          </w:p>
          <w:p w14:paraId="152716C7">
            <w:pPr>
              <w:keepNext w:val="0"/>
              <w:keepLines w:val="0"/>
              <w:pageBreakBefore w:val="0"/>
              <w:kinsoku/>
              <w:wordWrap/>
              <w:overflowPunct/>
              <w:topLinePunct w:val="0"/>
              <w:autoSpaceDE/>
              <w:autoSpaceDN/>
              <w:bidi w:val="0"/>
              <w:snapToGrid w:val="0"/>
              <w:spacing w:line="360" w:lineRule="auto"/>
              <w:ind w:firstLine="0" w:firstLineChars="0"/>
              <w:jc w:val="center"/>
              <w:textAlignment w:val="auto"/>
              <w:rPr>
                <w:sz w:val="24"/>
                <w:szCs w:val="24"/>
              </w:rPr>
            </w:pPr>
            <w:r>
              <w:rPr>
                <w:b/>
                <w:bCs/>
                <w:sz w:val="24"/>
                <w:szCs w:val="24"/>
              </w:rPr>
              <w:t>表3</w:t>
            </w:r>
            <w:r>
              <w:rPr>
                <w:rFonts w:hint="eastAsia"/>
                <w:b/>
                <w:bCs/>
                <w:sz w:val="24"/>
                <w:szCs w:val="24"/>
                <w:lang w:val="en-US" w:eastAsia="zh-CN"/>
              </w:rPr>
              <w:t>-4</w:t>
            </w:r>
            <w:r>
              <w:rPr>
                <w:b/>
                <w:bCs/>
                <w:sz w:val="24"/>
                <w:szCs w:val="24"/>
              </w:rPr>
              <w:t xml:space="preserve"> </w:t>
            </w:r>
            <w:r>
              <w:rPr>
                <w:rFonts w:hint="eastAsia"/>
                <w:b/>
                <w:bCs/>
                <w:sz w:val="24"/>
                <w:szCs w:val="24"/>
              </w:rPr>
              <w:t xml:space="preserve"> 地表</w:t>
            </w:r>
            <w:r>
              <w:rPr>
                <w:b/>
                <w:bCs/>
                <w:sz w:val="24"/>
                <w:szCs w:val="24"/>
              </w:rPr>
              <w:t>水环境保护目标一览表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068"/>
              <w:gridCol w:w="1095"/>
              <w:gridCol w:w="1055"/>
              <w:gridCol w:w="1301"/>
              <w:gridCol w:w="1479"/>
              <w:gridCol w:w="1486"/>
            </w:tblGrid>
            <w:tr w14:paraId="13CC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70" w:type="dxa"/>
                  <w:vAlign w:val="center"/>
                </w:tcPr>
                <w:p w14:paraId="4ACE77DD">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序号</w:t>
                  </w:r>
                </w:p>
              </w:tc>
              <w:tc>
                <w:tcPr>
                  <w:tcW w:w="1038" w:type="dxa"/>
                  <w:vAlign w:val="center"/>
                </w:tcPr>
                <w:p w14:paraId="26BDC7B1">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环境要素</w:t>
                  </w:r>
                </w:p>
              </w:tc>
              <w:tc>
                <w:tcPr>
                  <w:tcW w:w="1064" w:type="dxa"/>
                  <w:vAlign w:val="center"/>
                </w:tcPr>
                <w:p w14:paraId="35D60D1E">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环境敏感目标</w:t>
                  </w:r>
                </w:p>
              </w:tc>
              <w:tc>
                <w:tcPr>
                  <w:tcW w:w="1025" w:type="dxa"/>
                  <w:vAlign w:val="center"/>
                </w:tcPr>
                <w:p w14:paraId="0D65AADE">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方位</w:t>
                  </w:r>
                </w:p>
              </w:tc>
              <w:tc>
                <w:tcPr>
                  <w:tcW w:w="1264" w:type="dxa"/>
                  <w:vAlign w:val="center"/>
                </w:tcPr>
                <w:p w14:paraId="188C8BDD">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距厂界</w:t>
                  </w:r>
                  <w:r>
                    <w:rPr>
                      <w:rFonts w:hint="eastAsia"/>
                      <w:sz w:val="21"/>
                      <w:szCs w:val="21"/>
                    </w:rPr>
                    <w:t>/m</w:t>
                  </w:r>
                </w:p>
              </w:tc>
              <w:tc>
                <w:tcPr>
                  <w:tcW w:w="1437" w:type="dxa"/>
                  <w:vAlign w:val="center"/>
                </w:tcPr>
                <w:p w14:paraId="7F54184D">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规模</w:t>
                  </w:r>
                </w:p>
              </w:tc>
              <w:tc>
                <w:tcPr>
                  <w:tcW w:w="1444" w:type="dxa"/>
                  <w:vAlign w:val="center"/>
                </w:tcPr>
                <w:p w14:paraId="0EE30F75">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环境要求及保护级别</w:t>
                  </w:r>
                </w:p>
              </w:tc>
            </w:tr>
            <w:tr w14:paraId="15FE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70" w:type="dxa"/>
                  <w:vAlign w:val="center"/>
                </w:tcPr>
                <w:p w14:paraId="04A3953D">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rFonts w:hint="eastAsia"/>
                      <w:sz w:val="21"/>
                      <w:szCs w:val="21"/>
                    </w:rPr>
                    <w:t>1</w:t>
                  </w:r>
                </w:p>
              </w:tc>
              <w:tc>
                <w:tcPr>
                  <w:tcW w:w="1038" w:type="dxa"/>
                  <w:vAlign w:val="center"/>
                </w:tcPr>
                <w:p w14:paraId="701BCCDC">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sz w:val="21"/>
                      <w:szCs w:val="21"/>
                    </w:rPr>
                  </w:pPr>
                  <w:r>
                    <w:rPr>
                      <w:sz w:val="21"/>
                      <w:szCs w:val="21"/>
                    </w:rPr>
                    <w:t>水环境</w:t>
                  </w:r>
                </w:p>
              </w:tc>
              <w:tc>
                <w:tcPr>
                  <w:tcW w:w="1064" w:type="dxa"/>
                  <w:vAlign w:val="center"/>
                </w:tcPr>
                <w:p w14:paraId="6182007E">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color w:val="auto"/>
                      <w:sz w:val="21"/>
                      <w:szCs w:val="21"/>
                    </w:rPr>
                  </w:pPr>
                  <w:r>
                    <w:rPr>
                      <w:rFonts w:hint="eastAsia"/>
                      <w:color w:val="auto"/>
                      <w:sz w:val="21"/>
                      <w:szCs w:val="21"/>
                    </w:rPr>
                    <w:t>浍河</w:t>
                  </w:r>
                </w:p>
              </w:tc>
              <w:tc>
                <w:tcPr>
                  <w:tcW w:w="1025" w:type="dxa"/>
                  <w:vAlign w:val="center"/>
                </w:tcPr>
                <w:p w14:paraId="1B1BADE5">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color w:val="auto"/>
                      <w:sz w:val="21"/>
                      <w:szCs w:val="21"/>
                    </w:rPr>
                  </w:pPr>
                  <w:r>
                    <w:rPr>
                      <w:rFonts w:hint="eastAsia"/>
                      <w:color w:val="auto"/>
                      <w:sz w:val="21"/>
                      <w:szCs w:val="21"/>
                    </w:rPr>
                    <w:t>N</w:t>
                  </w:r>
                </w:p>
              </w:tc>
              <w:tc>
                <w:tcPr>
                  <w:tcW w:w="1264" w:type="dxa"/>
                  <w:vAlign w:val="center"/>
                </w:tcPr>
                <w:p w14:paraId="0912161B">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color w:val="auto"/>
                      <w:sz w:val="21"/>
                      <w:szCs w:val="21"/>
                    </w:rPr>
                  </w:pPr>
                  <w:r>
                    <w:rPr>
                      <w:rFonts w:hint="eastAsia"/>
                      <w:color w:val="auto"/>
                      <w:sz w:val="21"/>
                      <w:szCs w:val="21"/>
                    </w:rPr>
                    <w:t>981</w:t>
                  </w:r>
                </w:p>
              </w:tc>
              <w:tc>
                <w:tcPr>
                  <w:tcW w:w="1437" w:type="dxa"/>
                  <w:vAlign w:val="center"/>
                </w:tcPr>
                <w:p w14:paraId="57226E09">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color w:val="auto"/>
                      <w:sz w:val="21"/>
                      <w:szCs w:val="21"/>
                    </w:rPr>
                  </w:pPr>
                  <w:r>
                    <w:rPr>
                      <w:color w:val="auto"/>
                      <w:sz w:val="21"/>
                      <w:szCs w:val="21"/>
                    </w:rPr>
                    <w:t>小河</w:t>
                  </w:r>
                </w:p>
              </w:tc>
              <w:tc>
                <w:tcPr>
                  <w:tcW w:w="1444" w:type="dxa"/>
                  <w:vAlign w:val="center"/>
                </w:tcPr>
                <w:p w14:paraId="486114BC">
                  <w:pPr>
                    <w:keepNext w:val="0"/>
                    <w:keepLines w:val="0"/>
                    <w:pageBreakBefore w:val="0"/>
                    <w:kinsoku/>
                    <w:wordWrap/>
                    <w:overflowPunct/>
                    <w:topLinePunct w:val="0"/>
                    <w:autoSpaceDE/>
                    <w:autoSpaceDN/>
                    <w:bidi w:val="0"/>
                    <w:snapToGrid w:val="0"/>
                    <w:spacing w:before="62" w:beforeLines="20"/>
                    <w:ind w:firstLine="0" w:firstLineChars="0"/>
                    <w:jc w:val="center"/>
                    <w:textAlignment w:val="auto"/>
                    <w:rPr>
                      <w:color w:val="auto"/>
                      <w:sz w:val="21"/>
                      <w:szCs w:val="21"/>
                    </w:rPr>
                  </w:pPr>
                  <w:r>
                    <w:rPr>
                      <w:color w:val="auto"/>
                      <w:sz w:val="21"/>
                      <w:szCs w:val="21"/>
                    </w:rPr>
                    <w:t>GB3838-2002</w:t>
                  </w:r>
                </w:p>
                <w:p w14:paraId="6206175E">
                  <w:pPr>
                    <w:keepNext w:val="0"/>
                    <w:keepLines w:val="0"/>
                    <w:pageBreakBefore w:val="0"/>
                    <w:kinsoku/>
                    <w:wordWrap/>
                    <w:overflowPunct/>
                    <w:topLinePunct w:val="0"/>
                    <w:autoSpaceDE/>
                    <w:autoSpaceDN/>
                    <w:bidi w:val="0"/>
                    <w:ind w:firstLine="0" w:firstLineChars="0"/>
                    <w:jc w:val="center"/>
                    <w:textAlignment w:val="auto"/>
                    <w:rPr>
                      <w:color w:val="auto"/>
                      <w:sz w:val="21"/>
                      <w:szCs w:val="21"/>
                    </w:rPr>
                  </w:pPr>
                  <w:r>
                    <w:rPr>
                      <w:rFonts w:hint="default" w:ascii="Times New Roman" w:hAnsi="Times New Roman" w:cs="Times New Roman"/>
                      <w:color w:val="auto"/>
                      <w:sz w:val="21"/>
                      <w:szCs w:val="21"/>
                    </w:rPr>
                    <w:t>Ⅳ类</w:t>
                  </w:r>
                  <w:r>
                    <w:rPr>
                      <w:color w:val="auto"/>
                      <w:sz w:val="21"/>
                      <w:szCs w:val="21"/>
                    </w:rPr>
                    <w:t>标准</w:t>
                  </w:r>
                </w:p>
              </w:tc>
            </w:tr>
          </w:tbl>
          <w:p w14:paraId="65827587">
            <w:pPr>
              <w:keepNext w:val="0"/>
              <w:keepLines w:val="0"/>
              <w:pageBreakBefore w:val="0"/>
              <w:kinsoku/>
              <w:wordWrap/>
              <w:overflowPunct/>
              <w:topLinePunct w:val="0"/>
              <w:autoSpaceDE/>
              <w:autoSpaceDN/>
              <w:bidi w:val="0"/>
              <w:adjustRightInd w:val="0"/>
              <w:snapToGrid w:val="0"/>
              <w:spacing w:before="156" w:beforeLines="50" w:line="360" w:lineRule="auto"/>
              <w:ind w:firstLine="0" w:firstLineChars="0"/>
              <w:textAlignment w:val="auto"/>
              <w:rPr>
                <w:b/>
                <w:bCs/>
                <w:sz w:val="24"/>
                <w:szCs w:val="24"/>
              </w:rPr>
            </w:pPr>
            <w:r>
              <w:rPr>
                <w:rFonts w:hint="eastAsia"/>
                <w:b/>
                <w:bCs/>
                <w:sz w:val="24"/>
                <w:szCs w:val="24"/>
              </w:rPr>
              <w:t>4</w:t>
            </w:r>
            <w:r>
              <w:rPr>
                <w:b/>
                <w:bCs/>
                <w:sz w:val="24"/>
                <w:szCs w:val="24"/>
              </w:rPr>
              <w:t>、地下水环境</w:t>
            </w:r>
          </w:p>
          <w:p w14:paraId="4E59A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厂界外500m范围内无地下水集中式引用水水源和热水、矿泉水、温泉等特殊地下水资源。</w:t>
            </w:r>
          </w:p>
          <w:p w14:paraId="66938FA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b/>
                <w:bCs/>
                <w:sz w:val="24"/>
                <w:szCs w:val="24"/>
              </w:rPr>
            </w:pPr>
            <w:r>
              <w:rPr>
                <w:rFonts w:hint="eastAsia"/>
                <w:b/>
                <w:bCs/>
                <w:sz w:val="24"/>
                <w:szCs w:val="24"/>
              </w:rPr>
              <w:t>5、生态环境</w:t>
            </w:r>
          </w:p>
          <w:p w14:paraId="4A1AA8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本项目位于</w:t>
            </w:r>
            <w:r>
              <w:rPr>
                <w:sz w:val="24"/>
                <w:szCs w:val="24"/>
              </w:rPr>
              <w:t>安徽省宿州市埇桥区桃园镇浍光村</w:t>
            </w:r>
            <w:r>
              <w:rPr>
                <w:rFonts w:hint="eastAsia"/>
                <w:sz w:val="24"/>
                <w:szCs w:val="24"/>
              </w:rPr>
              <w:t>，属于工业用地，</w:t>
            </w:r>
            <w:r>
              <w:rPr>
                <w:sz w:val="24"/>
                <w:szCs w:val="24"/>
              </w:rPr>
              <w:t>不涉及产业园区外新增用地，不存在生态环境保护目标。</w:t>
            </w:r>
          </w:p>
          <w:p w14:paraId="4191B992">
            <w:pPr>
              <w:adjustRightInd w:val="0"/>
              <w:snapToGrid w:val="0"/>
              <w:spacing w:line="360" w:lineRule="auto"/>
              <w:ind w:firstLine="480" w:firstLineChars="200"/>
              <w:jc w:val="left"/>
              <w:rPr>
                <w:kern w:val="0"/>
                <w:sz w:val="24"/>
              </w:rPr>
            </w:pPr>
          </w:p>
          <w:p w14:paraId="0012F9B6">
            <w:pPr>
              <w:adjustRightInd w:val="0"/>
              <w:snapToGrid w:val="0"/>
              <w:spacing w:line="360" w:lineRule="auto"/>
              <w:ind w:firstLine="480" w:firstLineChars="200"/>
              <w:rPr>
                <w:kern w:val="0"/>
                <w:sz w:val="24"/>
              </w:rPr>
            </w:pPr>
          </w:p>
          <w:p w14:paraId="22CA22C2">
            <w:pPr>
              <w:adjustRightInd w:val="0"/>
              <w:snapToGrid w:val="0"/>
              <w:rPr>
                <w:kern w:val="0"/>
                <w:sz w:val="24"/>
              </w:rPr>
            </w:pPr>
          </w:p>
          <w:p w14:paraId="53DD6546">
            <w:pPr>
              <w:adjustRightInd w:val="0"/>
              <w:snapToGrid w:val="0"/>
              <w:rPr>
                <w:rFonts w:hint="eastAsia"/>
                <w:kern w:val="0"/>
                <w:sz w:val="24"/>
                <w:lang w:val="en-US" w:eastAsia="zh-CN"/>
              </w:rPr>
            </w:pPr>
          </w:p>
          <w:p w14:paraId="747B79E1">
            <w:pPr>
              <w:adjustRightInd w:val="0"/>
              <w:snapToGrid w:val="0"/>
              <w:rPr>
                <w:rFonts w:hint="eastAsia"/>
                <w:kern w:val="0"/>
                <w:sz w:val="24"/>
                <w:lang w:val="en-US" w:eastAsia="zh-CN"/>
              </w:rPr>
            </w:pPr>
          </w:p>
          <w:p w14:paraId="331FDD4C">
            <w:pPr>
              <w:adjustRightInd w:val="0"/>
              <w:snapToGrid w:val="0"/>
              <w:rPr>
                <w:rFonts w:hint="eastAsia"/>
                <w:kern w:val="0"/>
                <w:sz w:val="24"/>
                <w:lang w:val="en-US" w:eastAsia="zh-CN"/>
              </w:rPr>
            </w:pPr>
          </w:p>
          <w:p w14:paraId="3FBF71C6">
            <w:pPr>
              <w:adjustRightInd w:val="0"/>
              <w:snapToGrid w:val="0"/>
              <w:rPr>
                <w:rFonts w:hint="eastAsia"/>
                <w:kern w:val="0"/>
                <w:sz w:val="24"/>
                <w:lang w:val="en-US" w:eastAsia="zh-CN"/>
              </w:rPr>
            </w:pPr>
          </w:p>
          <w:p w14:paraId="48E46979">
            <w:pPr>
              <w:adjustRightInd w:val="0"/>
              <w:snapToGrid w:val="0"/>
              <w:rPr>
                <w:rFonts w:hint="eastAsia"/>
                <w:kern w:val="0"/>
                <w:sz w:val="24"/>
                <w:lang w:val="en-US" w:eastAsia="zh-CN"/>
              </w:rPr>
            </w:pPr>
          </w:p>
          <w:p w14:paraId="5F446B38">
            <w:pPr>
              <w:adjustRightInd w:val="0"/>
              <w:snapToGrid w:val="0"/>
              <w:rPr>
                <w:rFonts w:hint="eastAsia"/>
                <w:kern w:val="0"/>
                <w:sz w:val="24"/>
                <w:lang w:val="en-US" w:eastAsia="zh-CN"/>
              </w:rPr>
            </w:pPr>
          </w:p>
          <w:p w14:paraId="6A0CFA34">
            <w:pPr>
              <w:adjustRightInd w:val="0"/>
              <w:snapToGrid w:val="0"/>
              <w:rPr>
                <w:rFonts w:hint="eastAsia"/>
                <w:kern w:val="0"/>
                <w:sz w:val="24"/>
                <w:lang w:val="en-US" w:eastAsia="zh-CN"/>
              </w:rPr>
            </w:pPr>
          </w:p>
          <w:p w14:paraId="2ABD2306">
            <w:pPr>
              <w:adjustRightInd w:val="0"/>
              <w:snapToGrid w:val="0"/>
              <w:rPr>
                <w:rFonts w:hint="eastAsia"/>
                <w:kern w:val="0"/>
                <w:sz w:val="24"/>
                <w:lang w:val="en-US" w:eastAsia="zh-CN"/>
              </w:rPr>
            </w:pPr>
          </w:p>
          <w:p w14:paraId="7C85A989">
            <w:pPr>
              <w:adjustRightInd w:val="0"/>
              <w:snapToGrid w:val="0"/>
              <w:rPr>
                <w:rFonts w:hint="eastAsia"/>
                <w:kern w:val="0"/>
                <w:sz w:val="24"/>
                <w:lang w:val="en-US" w:eastAsia="zh-CN"/>
              </w:rPr>
            </w:pPr>
          </w:p>
          <w:p w14:paraId="7689AAE2">
            <w:pPr>
              <w:adjustRightInd w:val="0"/>
              <w:snapToGrid w:val="0"/>
              <w:rPr>
                <w:rFonts w:hint="eastAsia" w:eastAsia="宋体"/>
                <w:kern w:val="0"/>
                <w:sz w:val="24"/>
                <w:lang w:val="en-US" w:eastAsia="zh-CN"/>
              </w:rPr>
            </w:pPr>
          </w:p>
        </w:tc>
      </w:tr>
      <w:tr w14:paraId="445EF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567" w:type="dxa"/>
            <w:tcBorders>
              <w:tl2br w:val="nil"/>
              <w:tr2bl w:val="nil"/>
            </w:tcBorders>
            <w:tcMar>
              <w:left w:w="28" w:type="dxa"/>
              <w:right w:w="28" w:type="dxa"/>
            </w:tcMar>
            <w:vAlign w:val="center"/>
          </w:tcPr>
          <w:p w14:paraId="5BCF74F1">
            <w:pPr>
              <w:adjustRightInd w:val="0"/>
              <w:snapToGrid w:val="0"/>
              <w:jc w:val="center"/>
              <w:rPr>
                <w:kern w:val="0"/>
                <w:sz w:val="24"/>
              </w:rPr>
            </w:pPr>
            <w:r>
              <w:rPr>
                <w:kern w:val="0"/>
                <w:sz w:val="24"/>
              </w:rPr>
              <w:t>污</w:t>
            </w:r>
          </w:p>
          <w:p w14:paraId="6B377360">
            <w:pPr>
              <w:adjustRightInd w:val="0"/>
              <w:snapToGrid w:val="0"/>
              <w:jc w:val="center"/>
              <w:rPr>
                <w:kern w:val="0"/>
                <w:sz w:val="24"/>
              </w:rPr>
            </w:pPr>
            <w:r>
              <w:rPr>
                <w:kern w:val="0"/>
                <w:sz w:val="24"/>
              </w:rPr>
              <w:t>染</w:t>
            </w:r>
          </w:p>
          <w:p w14:paraId="38B5FF4A">
            <w:pPr>
              <w:adjustRightInd w:val="0"/>
              <w:snapToGrid w:val="0"/>
              <w:jc w:val="center"/>
              <w:rPr>
                <w:kern w:val="0"/>
                <w:sz w:val="24"/>
              </w:rPr>
            </w:pPr>
            <w:r>
              <w:rPr>
                <w:kern w:val="0"/>
                <w:sz w:val="24"/>
              </w:rPr>
              <w:t>物</w:t>
            </w:r>
          </w:p>
          <w:p w14:paraId="6BFF3AFF">
            <w:pPr>
              <w:adjustRightInd w:val="0"/>
              <w:snapToGrid w:val="0"/>
              <w:jc w:val="center"/>
              <w:rPr>
                <w:kern w:val="0"/>
                <w:sz w:val="24"/>
              </w:rPr>
            </w:pPr>
            <w:r>
              <w:rPr>
                <w:kern w:val="0"/>
                <w:sz w:val="24"/>
              </w:rPr>
              <w:t>排</w:t>
            </w:r>
          </w:p>
          <w:p w14:paraId="621EE0F1">
            <w:pPr>
              <w:adjustRightInd w:val="0"/>
              <w:snapToGrid w:val="0"/>
              <w:jc w:val="center"/>
              <w:rPr>
                <w:kern w:val="0"/>
                <w:sz w:val="24"/>
              </w:rPr>
            </w:pPr>
            <w:r>
              <w:rPr>
                <w:kern w:val="0"/>
                <w:sz w:val="24"/>
              </w:rPr>
              <w:t>放</w:t>
            </w:r>
          </w:p>
          <w:p w14:paraId="1A10869A">
            <w:pPr>
              <w:adjustRightInd w:val="0"/>
              <w:snapToGrid w:val="0"/>
              <w:jc w:val="center"/>
              <w:rPr>
                <w:kern w:val="0"/>
                <w:sz w:val="24"/>
              </w:rPr>
            </w:pPr>
            <w:r>
              <w:rPr>
                <w:kern w:val="0"/>
                <w:sz w:val="24"/>
              </w:rPr>
              <w:t>控</w:t>
            </w:r>
          </w:p>
          <w:p w14:paraId="0F0AA3A3">
            <w:pPr>
              <w:adjustRightInd w:val="0"/>
              <w:snapToGrid w:val="0"/>
              <w:jc w:val="center"/>
              <w:rPr>
                <w:kern w:val="0"/>
                <w:sz w:val="24"/>
              </w:rPr>
            </w:pPr>
            <w:r>
              <w:rPr>
                <w:kern w:val="0"/>
                <w:sz w:val="24"/>
              </w:rPr>
              <w:t>制</w:t>
            </w:r>
          </w:p>
          <w:p w14:paraId="3C023B0A">
            <w:pPr>
              <w:adjustRightInd w:val="0"/>
              <w:snapToGrid w:val="0"/>
              <w:jc w:val="center"/>
              <w:rPr>
                <w:kern w:val="0"/>
                <w:sz w:val="24"/>
              </w:rPr>
            </w:pPr>
            <w:r>
              <w:rPr>
                <w:kern w:val="0"/>
                <w:sz w:val="24"/>
              </w:rPr>
              <w:t>标</w:t>
            </w:r>
          </w:p>
          <w:p w14:paraId="436D40E8">
            <w:pPr>
              <w:adjustRightInd w:val="0"/>
              <w:snapToGrid w:val="0"/>
              <w:jc w:val="center"/>
              <w:rPr>
                <w:kern w:val="0"/>
                <w:szCs w:val="21"/>
              </w:rPr>
            </w:pPr>
            <w:r>
              <w:rPr>
                <w:kern w:val="0"/>
                <w:sz w:val="24"/>
              </w:rPr>
              <w:t>准</w:t>
            </w:r>
          </w:p>
        </w:tc>
        <w:tc>
          <w:tcPr>
            <w:tcW w:w="8539" w:type="dxa"/>
            <w:tcBorders>
              <w:tl2br w:val="nil"/>
              <w:tr2bl w:val="nil"/>
            </w:tcBorders>
            <w:vAlign w:val="center"/>
          </w:tcPr>
          <w:p w14:paraId="126C1852">
            <w:pPr>
              <w:adjustRightInd w:val="0"/>
              <w:snapToGrid w:val="0"/>
              <w:spacing w:before="156" w:beforeLines="50" w:line="360" w:lineRule="auto"/>
              <w:jc w:val="left"/>
              <w:rPr>
                <w:b/>
                <w:bCs/>
                <w:kern w:val="0"/>
                <w:sz w:val="24"/>
              </w:rPr>
            </w:pPr>
            <w:r>
              <w:rPr>
                <w:b/>
                <w:bCs/>
                <w:kern w:val="0"/>
                <w:sz w:val="24"/>
              </w:rPr>
              <w:t>1、废水排放标准</w:t>
            </w:r>
          </w:p>
          <w:p w14:paraId="0EBCE7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szCs w:val="24"/>
                <w:lang w:eastAsia="zh-CN"/>
              </w:rPr>
            </w:pPr>
            <w:r>
              <w:rPr>
                <w:sz w:val="24"/>
                <w:szCs w:val="24"/>
              </w:rPr>
              <w:t>项目</w:t>
            </w:r>
            <w:r>
              <w:rPr>
                <w:rFonts w:hint="eastAsia"/>
                <w:color w:val="auto"/>
                <w:sz w:val="24"/>
                <w:szCs w:val="24"/>
                <w:lang w:eastAsia="zh-CN"/>
              </w:rPr>
              <w:t>搅拌用水</w:t>
            </w:r>
            <w:r>
              <w:rPr>
                <w:rFonts w:hint="eastAsia"/>
                <w:color w:val="auto"/>
                <w:sz w:val="24"/>
                <w:szCs w:val="24"/>
              </w:rPr>
              <w:t>、固化剂配比用水</w:t>
            </w:r>
            <w:r>
              <w:rPr>
                <w:rFonts w:hint="eastAsia"/>
                <w:color w:val="auto"/>
                <w:sz w:val="24"/>
                <w:szCs w:val="24"/>
                <w:lang w:eastAsia="zh-CN"/>
              </w:rPr>
              <w:t>所用水全部进入物料，无废水外排；</w:t>
            </w:r>
            <w:r>
              <w:rPr>
                <w:rFonts w:hint="eastAsia"/>
                <w:color w:val="auto"/>
                <w:sz w:val="24"/>
                <w:szCs w:val="24"/>
              </w:rPr>
              <w:t>免烧砖养护用水自然蒸发不外排</w:t>
            </w:r>
            <w:r>
              <w:rPr>
                <w:rFonts w:hint="eastAsia"/>
                <w:color w:val="auto"/>
                <w:sz w:val="24"/>
                <w:szCs w:val="24"/>
                <w:lang w:eastAsia="zh-CN"/>
              </w:rPr>
              <w:t>；降尘用水</w:t>
            </w:r>
            <w:r>
              <w:rPr>
                <w:rFonts w:hint="eastAsia"/>
                <w:color w:val="auto"/>
                <w:sz w:val="24"/>
                <w:szCs w:val="24"/>
              </w:rPr>
              <w:t>自然蒸发不外排</w:t>
            </w:r>
            <w:r>
              <w:rPr>
                <w:rFonts w:hint="eastAsia"/>
                <w:color w:val="auto"/>
                <w:sz w:val="24"/>
                <w:szCs w:val="24"/>
                <w:lang w:eastAsia="zh-CN"/>
              </w:rPr>
              <w:t>；</w:t>
            </w:r>
            <w:r>
              <w:rPr>
                <w:rFonts w:hint="eastAsia"/>
                <w:color w:val="auto"/>
                <w:sz w:val="24"/>
                <w:szCs w:val="24"/>
                <w:lang w:val="en-US" w:eastAsia="zh-CN"/>
              </w:rPr>
              <w:t>设备</w:t>
            </w:r>
            <w:r>
              <w:rPr>
                <w:rFonts w:hint="eastAsia"/>
                <w:color w:val="auto"/>
                <w:sz w:val="24"/>
                <w:szCs w:val="24"/>
                <w:lang w:eastAsia="zh-CN"/>
              </w:rPr>
              <w:t>清洗</w:t>
            </w:r>
            <w:r>
              <w:rPr>
                <w:rFonts w:hint="eastAsia"/>
                <w:color w:val="auto"/>
                <w:sz w:val="24"/>
                <w:szCs w:val="24"/>
                <w:lang w:val="en-US" w:eastAsia="zh-CN"/>
              </w:rPr>
              <w:t>废</w:t>
            </w:r>
            <w:r>
              <w:rPr>
                <w:rFonts w:hint="eastAsia"/>
                <w:color w:val="auto"/>
                <w:sz w:val="24"/>
                <w:szCs w:val="24"/>
                <w:lang w:eastAsia="zh-CN"/>
              </w:rPr>
              <w:t>水、车辆清洗</w:t>
            </w:r>
            <w:r>
              <w:rPr>
                <w:rFonts w:hint="eastAsia"/>
                <w:color w:val="auto"/>
                <w:sz w:val="24"/>
                <w:szCs w:val="24"/>
                <w:lang w:val="en-US" w:eastAsia="zh-CN"/>
              </w:rPr>
              <w:t>废</w:t>
            </w:r>
            <w:r>
              <w:rPr>
                <w:rFonts w:hint="eastAsia"/>
                <w:color w:val="auto"/>
                <w:sz w:val="24"/>
                <w:szCs w:val="24"/>
                <w:lang w:eastAsia="zh-CN"/>
              </w:rPr>
              <w:t>水经沉淀池沉淀处理后回用于搅拌工序，无废水外排；</w:t>
            </w:r>
            <w:r>
              <w:rPr>
                <w:color w:val="auto"/>
                <w:sz w:val="24"/>
                <w:szCs w:val="24"/>
              </w:rPr>
              <w:t>生活污水</w:t>
            </w:r>
            <w:r>
              <w:rPr>
                <w:rFonts w:hint="eastAsia"/>
                <w:color w:val="auto"/>
                <w:sz w:val="24"/>
                <w:szCs w:val="24"/>
              </w:rPr>
              <w:t>经</w:t>
            </w:r>
            <w:r>
              <w:rPr>
                <w:color w:val="auto"/>
                <w:sz w:val="24"/>
                <w:szCs w:val="24"/>
              </w:rPr>
              <w:t>化粪池处理后定期清掏不外排</w:t>
            </w:r>
            <w:r>
              <w:rPr>
                <w:rFonts w:hint="eastAsia"/>
                <w:color w:val="auto"/>
                <w:sz w:val="24"/>
                <w:szCs w:val="24"/>
                <w:lang w:eastAsia="zh-CN"/>
              </w:rPr>
              <w:t>；初期雨水经收集后全部回用于搅拌工序。</w:t>
            </w:r>
          </w:p>
          <w:p w14:paraId="7FB7D3C0">
            <w:pPr>
              <w:adjustRightInd w:val="0"/>
              <w:snapToGrid w:val="0"/>
              <w:spacing w:before="156" w:beforeLines="50" w:line="360" w:lineRule="auto"/>
              <w:jc w:val="left"/>
              <w:rPr>
                <w:b/>
                <w:bCs/>
                <w:kern w:val="0"/>
                <w:sz w:val="24"/>
              </w:rPr>
            </w:pPr>
            <w:r>
              <w:rPr>
                <w:b/>
                <w:bCs/>
                <w:kern w:val="0"/>
                <w:sz w:val="24"/>
              </w:rPr>
              <w:t>2、大气污染物排放标准</w:t>
            </w:r>
          </w:p>
          <w:p w14:paraId="486FB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kern w:val="0"/>
                <w:sz w:val="24"/>
                <w:lang w:bidi="ar"/>
              </w:rPr>
            </w:pPr>
            <w:r>
              <w:rPr>
                <w:rFonts w:hint="eastAsia"/>
                <w:color w:val="auto"/>
                <w:sz w:val="24"/>
                <w:lang w:eastAsia="zh-CN"/>
              </w:rPr>
              <w:t>本项目破碎松散、搅拌、下料等生产所产生的</w:t>
            </w:r>
            <w:r>
              <w:rPr>
                <w:rFonts w:hint="eastAsia" w:ascii="宋体" w:hAnsi="宋体" w:cs="宋体"/>
                <w:color w:val="auto"/>
                <w:kern w:val="0"/>
                <w:sz w:val="24"/>
                <w:lang w:bidi="ar"/>
              </w:rPr>
              <w:t>颗粒物有组织排放浓度执行《</w:t>
            </w:r>
            <w:r>
              <w:rPr>
                <w:rFonts w:hint="eastAsia" w:ascii="宋体" w:hAnsi="宋体" w:cs="宋体"/>
                <w:color w:val="auto"/>
                <w:kern w:val="0"/>
                <w:sz w:val="24"/>
                <w:lang w:eastAsia="zh-CN" w:bidi="ar"/>
              </w:rPr>
              <w:t>砖瓦工业大气污染物排放标准</w:t>
            </w:r>
            <w:r>
              <w:rPr>
                <w:rFonts w:hint="eastAsia" w:ascii="宋体" w:hAnsi="宋体" w:cs="宋体"/>
                <w:color w:val="auto"/>
                <w:kern w:val="0"/>
                <w:sz w:val="24"/>
                <w:lang w:bidi="ar"/>
              </w:rPr>
              <w:t>》（</w:t>
            </w:r>
            <w:r>
              <w:rPr>
                <w:color w:val="auto"/>
                <w:kern w:val="0"/>
                <w:sz w:val="24"/>
                <w:lang w:bidi="ar"/>
              </w:rPr>
              <w:t>DB</w:t>
            </w:r>
            <w:r>
              <w:rPr>
                <w:rFonts w:hint="eastAsia"/>
                <w:color w:val="auto"/>
                <w:kern w:val="0"/>
                <w:sz w:val="24"/>
                <w:lang w:val="en-US" w:eastAsia="zh-CN" w:bidi="ar"/>
              </w:rPr>
              <w:t>34</w:t>
            </w:r>
            <w:r>
              <w:rPr>
                <w:color w:val="auto"/>
                <w:kern w:val="0"/>
                <w:sz w:val="24"/>
                <w:lang w:bidi="ar"/>
              </w:rPr>
              <w:t>/</w:t>
            </w:r>
            <w:r>
              <w:rPr>
                <w:rFonts w:hint="eastAsia"/>
                <w:color w:val="auto"/>
                <w:kern w:val="0"/>
                <w:sz w:val="24"/>
                <w:lang w:val="en-US" w:eastAsia="zh-CN" w:bidi="ar"/>
              </w:rPr>
              <w:t>4362-</w:t>
            </w:r>
            <w:r>
              <w:rPr>
                <w:color w:val="auto"/>
                <w:kern w:val="0"/>
                <w:sz w:val="24"/>
                <w:lang w:bidi="ar"/>
              </w:rPr>
              <w:t>20</w:t>
            </w:r>
            <w:r>
              <w:rPr>
                <w:rFonts w:hint="eastAsia"/>
                <w:color w:val="auto"/>
                <w:kern w:val="0"/>
                <w:sz w:val="24"/>
                <w:lang w:val="en-US" w:eastAsia="zh-CN" w:bidi="ar"/>
              </w:rPr>
              <w:t>23</w:t>
            </w:r>
            <w:r>
              <w:rPr>
                <w:rFonts w:hint="eastAsia" w:ascii="宋体" w:hAnsi="宋体" w:cs="宋体"/>
                <w:color w:val="auto"/>
                <w:kern w:val="0"/>
                <w:sz w:val="24"/>
                <w:lang w:bidi="ar"/>
              </w:rPr>
              <w:t>）表</w:t>
            </w:r>
            <w:r>
              <w:rPr>
                <w:rFonts w:hint="default" w:ascii="Times New Roman" w:hAnsi="Times New Roman" w:cs="Times New Roman"/>
                <w:color w:val="auto"/>
                <w:kern w:val="0"/>
                <w:sz w:val="24"/>
                <w:lang w:val="en-US" w:eastAsia="zh-CN" w:bidi="ar"/>
              </w:rPr>
              <w:t>2</w:t>
            </w:r>
            <w:r>
              <w:rPr>
                <w:rFonts w:hint="eastAsia" w:ascii="宋体" w:hAnsi="宋体" w:cs="宋体"/>
                <w:color w:val="auto"/>
                <w:kern w:val="0"/>
                <w:sz w:val="24"/>
                <w:lang w:val="en-US" w:eastAsia="zh-CN" w:bidi="ar"/>
              </w:rPr>
              <w:t>中</w:t>
            </w:r>
            <w:r>
              <w:rPr>
                <w:rFonts w:hint="eastAsia" w:ascii="宋体" w:hAnsi="宋体" w:cs="宋体"/>
                <w:color w:val="auto"/>
                <w:kern w:val="0"/>
                <w:sz w:val="24"/>
                <w:lang w:eastAsia="zh-CN" w:bidi="ar"/>
              </w:rPr>
              <w:t>现有与新建企业大气</w:t>
            </w:r>
            <w:r>
              <w:rPr>
                <w:rFonts w:hint="eastAsia" w:ascii="宋体" w:hAnsi="宋体" w:cs="宋体"/>
                <w:color w:val="auto"/>
                <w:kern w:val="0"/>
                <w:sz w:val="24"/>
                <w:lang w:bidi="ar"/>
              </w:rPr>
              <w:t>污染物</w:t>
            </w:r>
            <w:r>
              <w:rPr>
                <w:rFonts w:hint="eastAsia" w:ascii="宋体" w:hAnsi="宋体" w:cs="宋体"/>
                <w:color w:val="auto"/>
                <w:kern w:val="0"/>
                <w:sz w:val="24"/>
                <w:lang w:eastAsia="zh-CN" w:bidi="ar"/>
              </w:rPr>
              <w:t>最高允许</w:t>
            </w:r>
            <w:r>
              <w:rPr>
                <w:rFonts w:hint="eastAsia" w:ascii="宋体" w:hAnsi="宋体" w:cs="宋体"/>
                <w:color w:val="auto"/>
                <w:kern w:val="0"/>
                <w:sz w:val="24"/>
                <w:lang w:bidi="ar"/>
              </w:rPr>
              <w:t>排放浓度限值要求；</w:t>
            </w:r>
            <w:r>
              <w:rPr>
                <w:rFonts w:hint="eastAsia" w:ascii="宋体" w:hAnsi="宋体" w:cs="宋体"/>
                <w:color w:val="auto"/>
                <w:kern w:val="0"/>
                <w:sz w:val="24"/>
                <w:lang w:eastAsia="zh-CN" w:bidi="ar"/>
              </w:rPr>
              <w:t>草木灰筒仓呼吸废气执行</w:t>
            </w:r>
            <w:r>
              <w:rPr>
                <w:rFonts w:ascii="Times New Roman" w:hAnsi="Times New Roman"/>
                <w:color w:val="000000" w:themeColor="text1"/>
                <w:sz w:val="24"/>
                <w:szCs w:val="24"/>
                <w:highlight w:val="none"/>
                <w14:textFill>
                  <w14:solidFill>
                    <w14:schemeClr w14:val="tx1"/>
                  </w14:solidFill>
                </w14:textFill>
              </w:rPr>
              <w:t>《大气污染物综合排放标准》（GB16297-1996）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最高允许排放</w:t>
            </w:r>
            <w:r>
              <w:rPr>
                <w:rFonts w:hint="eastAsia" w:ascii="Times New Roman" w:hAnsi="Times New Roman" w:eastAsia="宋体" w:cs="Times New Roman"/>
                <w:color w:val="000000"/>
                <w:sz w:val="24"/>
                <w:szCs w:val="24"/>
                <w:lang w:val="en-US" w:eastAsia="zh-CN"/>
              </w:rPr>
              <w:t>浓度</w:t>
            </w:r>
            <w:r>
              <w:rPr>
                <w:rFonts w:hint="eastAsia" w:eastAsia="宋体" w:cs="Times New Roman"/>
                <w:color w:val="000000"/>
                <w:sz w:val="24"/>
                <w:szCs w:val="24"/>
                <w:lang w:val="en-US" w:eastAsia="zh-CN"/>
              </w:rPr>
              <w:t>，</w:t>
            </w:r>
            <w:r>
              <w:rPr>
                <w:rFonts w:hint="eastAsia" w:ascii="宋体" w:hAnsi="宋体" w:cs="宋体"/>
                <w:color w:val="auto"/>
                <w:kern w:val="0"/>
                <w:sz w:val="24"/>
                <w:lang w:bidi="ar"/>
              </w:rPr>
              <w:t>无组织颗粒物浓度执行《</w:t>
            </w:r>
            <w:r>
              <w:rPr>
                <w:rFonts w:hint="eastAsia" w:ascii="宋体" w:hAnsi="宋体" w:cs="宋体"/>
                <w:color w:val="auto"/>
                <w:kern w:val="0"/>
                <w:sz w:val="24"/>
                <w:lang w:eastAsia="zh-CN" w:bidi="ar"/>
              </w:rPr>
              <w:t>砖瓦工业大气污染物排放标准</w:t>
            </w:r>
            <w:r>
              <w:rPr>
                <w:rFonts w:hint="eastAsia" w:ascii="宋体" w:hAnsi="宋体" w:cs="宋体"/>
                <w:color w:val="auto"/>
                <w:kern w:val="0"/>
                <w:sz w:val="24"/>
                <w:lang w:bidi="ar"/>
              </w:rPr>
              <w:t>》（</w:t>
            </w:r>
            <w:r>
              <w:rPr>
                <w:color w:val="auto"/>
                <w:kern w:val="0"/>
                <w:sz w:val="24"/>
                <w:lang w:bidi="ar"/>
              </w:rPr>
              <w:t>DB</w:t>
            </w:r>
            <w:r>
              <w:rPr>
                <w:rFonts w:hint="eastAsia"/>
                <w:color w:val="auto"/>
                <w:kern w:val="0"/>
                <w:sz w:val="24"/>
                <w:lang w:val="en-US" w:eastAsia="zh-CN" w:bidi="ar"/>
              </w:rPr>
              <w:t>34</w:t>
            </w:r>
            <w:r>
              <w:rPr>
                <w:color w:val="auto"/>
                <w:kern w:val="0"/>
                <w:sz w:val="24"/>
                <w:lang w:bidi="ar"/>
              </w:rPr>
              <w:t>/</w:t>
            </w:r>
            <w:r>
              <w:rPr>
                <w:rFonts w:hint="eastAsia"/>
                <w:color w:val="auto"/>
                <w:kern w:val="0"/>
                <w:sz w:val="24"/>
                <w:lang w:val="en-US" w:eastAsia="zh-CN" w:bidi="ar"/>
              </w:rPr>
              <w:t>4362-</w:t>
            </w:r>
            <w:r>
              <w:rPr>
                <w:color w:val="auto"/>
                <w:kern w:val="0"/>
                <w:sz w:val="24"/>
                <w:lang w:bidi="ar"/>
              </w:rPr>
              <w:t>20</w:t>
            </w:r>
            <w:r>
              <w:rPr>
                <w:rFonts w:hint="eastAsia"/>
                <w:color w:val="auto"/>
                <w:kern w:val="0"/>
                <w:sz w:val="24"/>
                <w:lang w:val="en-US" w:eastAsia="zh-CN" w:bidi="ar"/>
              </w:rPr>
              <w:t>23</w:t>
            </w:r>
            <w:r>
              <w:rPr>
                <w:rFonts w:hint="eastAsia" w:ascii="宋体" w:hAnsi="宋体" w:cs="宋体"/>
                <w:color w:val="auto"/>
                <w:kern w:val="0"/>
                <w:sz w:val="24"/>
                <w:lang w:bidi="ar"/>
              </w:rPr>
              <w:t>）表</w:t>
            </w:r>
            <w:r>
              <w:rPr>
                <w:rFonts w:hint="default" w:ascii="Times New Roman" w:hAnsi="Times New Roman" w:cs="Times New Roman"/>
                <w:color w:val="auto"/>
                <w:kern w:val="0"/>
                <w:sz w:val="24"/>
                <w:lang w:val="en-US" w:eastAsia="zh-CN" w:bidi="ar"/>
              </w:rPr>
              <w:t>3</w:t>
            </w:r>
            <w:r>
              <w:rPr>
                <w:rFonts w:hint="eastAsia" w:ascii="宋体" w:hAnsi="宋体" w:cs="宋体"/>
                <w:color w:val="auto"/>
                <w:kern w:val="0"/>
                <w:sz w:val="24"/>
                <w:lang w:val="en-US" w:eastAsia="zh-CN" w:bidi="ar"/>
              </w:rPr>
              <w:t>中</w:t>
            </w:r>
            <w:r>
              <w:rPr>
                <w:rFonts w:hint="eastAsia" w:ascii="宋体" w:hAnsi="宋体" w:cs="宋体"/>
                <w:color w:val="auto"/>
                <w:kern w:val="0"/>
                <w:sz w:val="24"/>
                <w:lang w:bidi="ar"/>
              </w:rPr>
              <w:t>无组织监控浓度排放要求。硫化氢、氨气、臭气浓度执行《恶臭污染物排放标准》（</w:t>
            </w:r>
            <w:r>
              <w:rPr>
                <w:color w:val="auto"/>
                <w:kern w:val="0"/>
                <w:sz w:val="24"/>
                <w:lang w:bidi="ar"/>
              </w:rPr>
              <w:t>GB14554-93</w:t>
            </w:r>
            <w:r>
              <w:rPr>
                <w:rFonts w:hint="eastAsia" w:ascii="宋体" w:hAnsi="宋体" w:cs="宋体"/>
                <w:color w:val="auto"/>
                <w:kern w:val="0"/>
                <w:sz w:val="24"/>
                <w:lang w:bidi="ar"/>
              </w:rPr>
              <w:t>）中的二级标准。</w:t>
            </w:r>
          </w:p>
          <w:p w14:paraId="718F45CA">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bCs/>
                <w:color w:val="auto"/>
                <w:kern w:val="0"/>
                <w:sz w:val="24"/>
                <w:vertAlign w:val="baseline"/>
              </w:rPr>
            </w:pPr>
            <w:r>
              <w:rPr>
                <w:b/>
                <w:bCs/>
                <w:color w:val="auto"/>
                <w:kern w:val="0"/>
                <w:sz w:val="24"/>
              </w:rPr>
              <w:t>表3</w:t>
            </w:r>
            <w:r>
              <w:rPr>
                <w:rFonts w:hint="eastAsia"/>
                <w:b/>
                <w:bCs/>
                <w:color w:val="auto"/>
                <w:kern w:val="0"/>
                <w:sz w:val="24"/>
                <w:lang w:val="en-US" w:eastAsia="zh-CN"/>
              </w:rPr>
              <w:t>-4</w:t>
            </w:r>
            <w:r>
              <w:rPr>
                <w:b/>
                <w:bCs/>
                <w:color w:val="auto"/>
                <w:kern w:val="0"/>
                <w:sz w:val="24"/>
              </w:rPr>
              <w:t xml:space="preserve"> </w:t>
            </w:r>
            <w:r>
              <w:rPr>
                <w:rFonts w:hint="eastAsia"/>
                <w:b/>
                <w:bCs/>
                <w:color w:val="auto"/>
                <w:kern w:val="0"/>
                <w:sz w:val="24"/>
              </w:rPr>
              <w:t xml:space="preserve"> </w:t>
            </w:r>
            <w:r>
              <w:rPr>
                <w:rFonts w:hint="eastAsia" w:ascii="宋体" w:hAnsi="宋体" w:cs="宋体"/>
                <w:b/>
                <w:bCs/>
                <w:color w:val="auto"/>
                <w:kern w:val="0"/>
                <w:sz w:val="24"/>
                <w:lang w:eastAsia="zh-CN" w:bidi="ar"/>
              </w:rPr>
              <w:t>砖瓦工业大气污染物排放标准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4"/>
              <w:gridCol w:w="2352"/>
              <w:gridCol w:w="2621"/>
            </w:tblGrid>
            <w:tr w14:paraId="04F3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vMerge w:val="restart"/>
                  <w:vAlign w:val="center"/>
                </w:tcPr>
                <w:p w14:paraId="3C206A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b/>
                      <w:bCs/>
                      <w:color w:val="auto"/>
                      <w:kern w:val="0"/>
                      <w:sz w:val="24"/>
                      <w:vertAlign w:val="baseline"/>
                    </w:rPr>
                  </w:pPr>
                  <w:r>
                    <w:rPr>
                      <w:rFonts w:hint="eastAsia"/>
                      <w:color w:val="auto"/>
                      <w:sz w:val="21"/>
                      <w:szCs w:val="21"/>
                      <w:vertAlign w:val="baseline"/>
                      <w:lang w:eastAsia="zh-CN"/>
                    </w:rPr>
                    <w:t>生产过程</w:t>
                  </w:r>
                </w:p>
              </w:tc>
              <w:tc>
                <w:tcPr>
                  <w:tcW w:w="1420" w:type="pct"/>
                  <w:vAlign w:val="center"/>
                </w:tcPr>
                <w:p w14:paraId="43CE4A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b/>
                      <w:bCs/>
                      <w:color w:val="auto"/>
                      <w:kern w:val="0"/>
                      <w:sz w:val="24"/>
                      <w:vertAlign w:val="baseline"/>
                    </w:rPr>
                  </w:pPr>
                  <w:r>
                    <w:rPr>
                      <w:rFonts w:hint="eastAsia"/>
                      <w:color w:val="auto"/>
                      <w:sz w:val="21"/>
                      <w:szCs w:val="21"/>
                      <w:vertAlign w:val="baseline"/>
                      <w:lang w:eastAsia="zh-CN"/>
                    </w:rPr>
                    <w:t>最高允许排放浓度</w:t>
                  </w:r>
                </w:p>
              </w:tc>
              <w:tc>
                <w:tcPr>
                  <w:tcW w:w="1583" w:type="pct"/>
                  <w:vMerge w:val="restart"/>
                  <w:vAlign w:val="center"/>
                </w:tcPr>
                <w:p w14:paraId="4BC3BC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b/>
                      <w:bCs/>
                      <w:color w:val="auto"/>
                      <w:kern w:val="0"/>
                      <w:sz w:val="24"/>
                      <w:vertAlign w:val="baseline"/>
                    </w:rPr>
                  </w:pPr>
                  <w:r>
                    <w:rPr>
                      <w:rFonts w:hint="eastAsia"/>
                      <w:color w:val="auto"/>
                      <w:sz w:val="21"/>
                      <w:szCs w:val="21"/>
                      <w:vertAlign w:val="baseline"/>
                      <w:lang w:eastAsia="zh-CN"/>
                    </w:rPr>
                    <w:t>污染物排放监控位置</w:t>
                  </w:r>
                </w:p>
              </w:tc>
            </w:tr>
            <w:tr w14:paraId="7F08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vMerge w:val="continue"/>
                  <w:vAlign w:val="center"/>
                </w:tcPr>
                <w:p w14:paraId="53BBBF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bCs/>
                      <w:color w:val="auto"/>
                      <w:kern w:val="0"/>
                      <w:sz w:val="24"/>
                      <w:vertAlign w:val="baseline"/>
                    </w:rPr>
                  </w:pPr>
                </w:p>
              </w:tc>
              <w:tc>
                <w:tcPr>
                  <w:tcW w:w="1420" w:type="pct"/>
                  <w:vAlign w:val="center"/>
                </w:tcPr>
                <w:p w14:paraId="1B6B9E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b/>
                      <w:bCs/>
                      <w:color w:val="auto"/>
                      <w:kern w:val="0"/>
                      <w:sz w:val="24"/>
                      <w:vertAlign w:val="baseline"/>
                    </w:rPr>
                  </w:pPr>
                  <w:r>
                    <w:rPr>
                      <w:rFonts w:hint="eastAsia"/>
                      <w:color w:val="auto"/>
                      <w:sz w:val="21"/>
                      <w:szCs w:val="21"/>
                      <w:vertAlign w:val="baseline"/>
                      <w:lang w:eastAsia="zh-CN"/>
                    </w:rPr>
                    <w:t>颗粒物</w:t>
                  </w:r>
                </w:p>
              </w:tc>
              <w:tc>
                <w:tcPr>
                  <w:tcW w:w="1583" w:type="pct"/>
                  <w:vMerge w:val="continue"/>
                  <w:vAlign w:val="center"/>
                </w:tcPr>
                <w:p w14:paraId="0049CA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b/>
                      <w:bCs/>
                      <w:color w:val="auto"/>
                      <w:kern w:val="0"/>
                      <w:sz w:val="24"/>
                      <w:vertAlign w:val="baseline"/>
                    </w:rPr>
                  </w:pPr>
                </w:p>
              </w:tc>
            </w:tr>
            <w:tr w14:paraId="35B8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vAlign w:val="center"/>
                </w:tcPr>
                <w:p w14:paraId="1E4D10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b/>
                      <w:bCs/>
                      <w:color w:val="auto"/>
                      <w:kern w:val="0"/>
                      <w:sz w:val="24"/>
                      <w:vertAlign w:val="baseline"/>
                    </w:rPr>
                  </w:pPr>
                  <w:r>
                    <w:rPr>
                      <w:rFonts w:hint="eastAsia"/>
                      <w:color w:val="auto"/>
                      <w:sz w:val="21"/>
                      <w:szCs w:val="21"/>
                      <w:vertAlign w:val="baseline"/>
                      <w:lang w:eastAsia="zh-CN"/>
                    </w:rPr>
                    <w:t>投料、破碎松散、下料等工艺</w:t>
                  </w:r>
                </w:p>
              </w:tc>
              <w:tc>
                <w:tcPr>
                  <w:tcW w:w="1420" w:type="pct"/>
                  <w:vAlign w:val="center"/>
                </w:tcPr>
                <w:p w14:paraId="153EEF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b/>
                      <w:bCs/>
                      <w:color w:val="auto"/>
                      <w:kern w:val="0"/>
                      <w:sz w:val="24"/>
                      <w:vertAlign w:val="baseline"/>
                      <w:lang w:val="en-US"/>
                    </w:rPr>
                  </w:pPr>
                  <w:r>
                    <w:rPr>
                      <w:rFonts w:hint="eastAsia"/>
                      <w:color w:val="auto"/>
                      <w:sz w:val="21"/>
                      <w:szCs w:val="21"/>
                      <w:vertAlign w:val="baseline"/>
                      <w:lang w:val="en-US" w:eastAsia="zh-CN"/>
                    </w:rPr>
                    <w:t>10</w:t>
                  </w:r>
                </w:p>
              </w:tc>
              <w:tc>
                <w:tcPr>
                  <w:tcW w:w="1583" w:type="pct"/>
                  <w:vAlign w:val="center"/>
                </w:tcPr>
                <w:p w14:paraId="1E5173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b/>
                      <w:bCs/>
                      <w:color w:val="auto"/>
                      <w:kern w:val="0"/>
                      <w:sz w:val="24"/>
                      <w:vertAlign w:val="baseline"/>
                    </w:rPr>
                  </w:pPr>
                  <w:r>
                    <w:rPr>
                      <w:rFonts w:hint="eastAsia"/>
                      <w:color w:val="auto"/>
                      <w:sz w:val="21"/>
                      <w:szCs w:val="21"/>
                      <w:vertAlign w:val="baseline"/>
                      <w:lang w:eastAsia="zh-CN"/>
                    </w:rPr>
                    <w:t>车间或生产设施排气筒</w:t>
                  </w:r>
                </w:p>
              </w:tc>
            </w:tr>
            <w:tr w14:paraId="5B59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vAlign w:val="center"/>
                </w:tcPr>
                <w:p w14:paraId="680D5F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color w:val="auto"/>
                      <w:sz w:val="21"/>
                      <w:szCs w:val="21"/>
                      <w:vertAlign w:val="baseline"/>
                      <w:lang w:eastAsia="zh-CN"/>
                    </w:rPr>
                  </w:pPr>
                  <w:r>
                    <w:rPr>
                      <w:rFonts w:hAnsi="宋体"/>
                      <w:color w:val="auto"/>
                      <w:szCs w:val="21"/>
                    </w:rPr>
                    <w:t>企业边界浓度</w:t>
                  </w:r>
                  <w:r>
                    <w:rPr>
                      <w:rFonts w:hint="eastAsia" w:hAnsi="宋体"/>
                      <w:color w:val="auto"/>
                      <w:szCs w:val="21"/>
                    </w:rPr>
                    <w:t>限值（无组织排放）</w:t>
                  </w:r>
                </w:p>
              </w:tc>
              <w:tc>
                <w:tcPr>
                  <w:tcW w:w="1420" w:type="pct"/>
                  <w:vAlign w:val="center"/>
                </w:tcPr>
                <w:p w14:paraId="289EDEF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color w:val="auto"/>
                      <w:sz w:val="21"/>
                      <w:szCs w:val="21"/>
                      <w:vertAlign w:val="baseline"/>
                      <w:lang w:val="en-US" w:eastAsia="zh-CN"/>
                    </w:rPr>
                  </w:pPr>
                  <w:r>
                    <w:rPr>
                      <w:rFonts w:hint="eastAsia"/>
                      <w:color w:val="auto"/>
                      <w:sz w:val="21"/>
                      <w:szCs w:val="21"/>
                      <w:highlight w:val="none"/>
                      <w:shd w:val="clear"/>
                      <w:vertAlign w:val="baseline"/>
                      <w:lang w:val="en-US" w:eastAsia="zh-CN"/>
                    </w:rPr>
                    <w:t>1.0</w:t>
                  </w:r>
                </w:p>
              </w:tc>
              <w:tc>
                <w:tcPr>
                  <w:tcW w:w="1583" w:type="pct"/>
                  <w:vAlign w:val="center"/>
                </w:tcPr>
                <w:p w14:paraId="64396D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olor w:val="auto"/>
                      <w:sz w:val="21"/>
                      <w:szCs w:val="21"/>
                      <w:vertAlign w:val="baseline"/>
                      <w:lang w:val="en-US" w:eastAsia="zh-CN"/>
                    </w:rPr>
                  </w:pPr>
                  <w:r>
                    <w:rPr>
                      <w:rFonts w:hint="eastAsia"/>
                      <w:color w:val="auto"/>
                      <w:sz w:val="21"/>
                      <w:szCs w:val="21"/>
                      <w:vertAlign w:val="baseline"/>
                      <w:lang w:val="en-US" w:eastAsia="zh-CN"/>
                    </w:rPr>
                    <w:t>/</w:t>
                  </w:r>
                </w:p>
              </w:tc>
            </w:tr>
          </w:tbl>
          <w:p w14:paraId="16CD9C9A">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snapToGrid/>
                <w:color w:val="auto"/>
                <w:spacing w:val="0"/>
                <w:kern w:val="0"/>
                <w:position w:val="0"/>
                <w:sz w:val="24"/>
                <w:szCs w:val="24"/>
                <w:lang w:eastAsia="zh-CN"/>
              </w:rPr>
            </w:pPr>
            <w:r>
              <w:rPr>
                <w:rFonts w:hint="default" w:ascii="Times New Roman" w:hAnsi="Times New Roman" w:eastAsia="宋体" w:cs="Times New Roman"/>
                <w:b/>
                <w:bCs/>
                <w:snapToGrid/>
                <w:color w:val="auto"/>
                <w:spacing w:val="0"/>
                <w:kern w:val="0"/>
                <w:position w:val="0"/>
                <w:sz w:val="24"/>
                <w:szCs w:val="24"/>
                <w:lang w:eastAsia="zh-CN"/>
              </w:rPr>
              <w:t>表</w:t>
            </w:r>
            <w:r>
              <w:rPr>
                <w:rFonts w:hint="default" w:ascii="Times New Roman" w:hAnsi="Times New Roman" w:eastAsia="宋体" w:cs="Times New Roman"/>
                <w:b/>
                <w:bCs/>
                <w:snapToGrid/>
                <w:color w:val="auto"/>
                <w:spacing w:val="0"/>
                <w:kern w:val="0"/>
                <w:position w:val="0"/>
                <w:sz w:val="24"/>
                <w:szCs w:val="24"/>
                <w:lang w:val="en-US" w:eastAsia="zh-CN"/>
              </w:rPr>
              <w:t>3</w:t>
            </w:r>
            <w:r>
              <w:rPr>
                <w:rFonts w:hint="eastAsia" w:eastAsia="宋体" w:cs="Times New Roman"/>
                <w:b/>
                <w:bCs/>
                <w:snapToGrid/>
                <w:color w:val="auto"/>
                <w:spacing w:val="0"/>
                <w:kern w:val="0"/>
                <w:position w:val="0"/>
                <w:sz w:val="24"/>
                <w:szCs w:val="24"/>
                <w:lang w:val="en-US" w:eastAsia="zh-CN"/>
              </w:rPr>
              <w:t>-</w:t>
            </w:r>
            <w:r>
              <w:rPr>
                <w:rFonts w:hint="eastAsia" w:cs="Times New Roman"/>
                <w:b/>
                <w:bCs/>
                <w:snapToGrid/>
                <w:color w:val="auto"/>
                <w:spacing w:val="0"/>
                <w:kern w:val="0"/>
                <w:position w:val="0"/>
                <w:sz w:val="24"/>
                <w:szCs w:val="24"/>
                <w:lang w:val="en-US" w:eastAsia="zh-CN"/>
              </w:rPr>
              <w:t>5</w:t>
            </w:r>
            <w:r>
              <w:rPr>
                <w:rFonts w:hint="default" w:ascii="Times New Roman" w:hAnsi="Times New Roman" w:eastAsia="宋体" w:cs="Times New Roman"/>
                <w:b/>
                <w:bCs/>
                <w:snapToGrid/>
                <w:color w:val="auto"/>
                <w:spacing w:val="0"/>
                <w:kern w:val="0"/>
                <w:position w:val="0"/>
                <w:sz w:val="24"/>
                <w:szCs w:val="24"/>
                <w:lang w:val="en-US" w:eastAsia="zh-CN"/>
              </w:rPr>
              <w:t xml:space="preserve"> </w:t>
            </w:r>
            <w:r>
              <w:rPr>
                <w:rFonts w:hint="eastAsia" w:cs="Times New Roman"/>
                <w:b/>
                <w:bCs/>
                <w:snapToGrid/>
                <w:color w:val="auto"/>
                <w:spacing w:val="0"/>
                <w:kern w:val="0"/>
                <w:position w:val="0"/>
                <w:sz w:val="24"/>
                <w:szCs w:val="24"/>
                <w:lang w:val="en-US" w:eastAsia="zh-CN"/>
              </w:rPr>
              <w:t xml:space="preserve"> 《大气污染物综合排放标准》（GB16297-1996）</w:t>
            </w:r>
          </w:p>
          <w:tbl>
            <w:tblPr>
              <w:tblStyle w:val="27"/>
              <w:tblW w:w="8273" w:type="dxa"/>
              <w:jc w:val="center"/>
              <w:tblLayout w:type="autofit"/>
              <w:tblCellMar>
                <w:top w:w="0" w:type="dxa"/>
                <w:left w:w="108" w:type="dxa"/>
                <w:bottom w:w="0" w:type="dxa"/>
                <w:right w:w="108" w:type="dxa"/>
              </w:tblCellMar>
            </w:tblPr>
            <w:tblGrid>
              <w:gridCol w:w="1026"/>
              <w:gridCol w:w="1493"/>
              <w:gridCol w:w="952"/>
              <w:gridCol w:w="953"/>
              <w:gridCol w:w="1905"/>
              <w:gridCol w:w="1944"/>
            </w:tblGrid>
            <w:tr w14:paraId="5E8E0C6B">
              <w:tblPrEx>
                <w:tblCellMar>
                  <w:top w:w="0" w:type="dxa"/>
                  <w:left w:w="108" w:type="dxa"/>
                  <w:bottom w:w="0" w:type="dxa"/>
                  <w:right w:w="108" w:type="dxa"/>
                </w:tblCellMar>
              </w:tblPrEx>
              <w:trPr>
                <w:trHeight w:val="454" w:hRule="atLeast"/>
                <w:jc w:val="center"/>
              </w:trPr>
              <w:tc>
                <w:tcPr>
                  <w:tcW w:w="620" w:type="pct"/>
                  <w:vMerge w:val="restart"/>
                  <w:tcBorders>
                    <w:top w:val="single" w:color="000000" w:sz="4" w:space="0"/>
                    <w:left w:val="single" w:color="000000" w:sz="4" w:space="0"/>
                    <w:right w:val="single" w:color="000000" w:sz="4" w:space="0"/>
                  </w:tcBorders>
                  <w:noWrap w:val="0"/>
                  <w:vAlign w:val="center"/>
                </w:tcPr>
                <w:p w14:paraId="7A593CA9">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rPr>
                  </w:pPr>
                  <w:r>
                    <w:rPr>
                      <w:rFonts w:hint="default" w:ascii="Times New Roman" w:hAnsi="Times New Roman" w:eastAsia="宋体" w:cs="Times New Roman"/>
                      <w:snapToGrid/>
                      <w:color w:val="000000"/>
                      <w:spacing w:val="0"/>
                      <w:kern w:val="0"/>
                      <w:position w:val="0"/>
                      <w:sz w:val="21"/>
                      <w:szCs w:val="21"/>
                    </w:rPr>
                    <w:t>污染物</w:t>
                  </w:r>
                </w:p>
              </w:tc>
              <w:tc>
                <w:tcPr>
                  <w:tcW w:w="902" w:type="pct"/>
                  <w:vMerge w:val="restart"/>
                  <w:tcBorders>
                    <w:top w:val="single" w:color="000000" w:sz="4" w:space="0"/>
                    <w:left w:val="single" w:color="000000" w:sz="4" w:space="0"/>
                    <w:right w:val="single" w:color="000000" w:sz="4" w:space="0"/>
                  </w:tcBorders>
                  <w:noWrap w:val="0"/>
                  <w:vAlign w:val="center"/>
                </w:tcPr>
                <w:p w14:paraId="18FCACE4">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rPr>
                  </w:pPr>
                  <w:r>
                    <w:rPr>
                      <w:rFonts w:hint="eastAsia" w:cs="Times New Roman"/>
                      <w:snapToGrid/>
                      <w:color w:val="000000"/>
                      <w:spacing w:val="0"/>
                      <w:kern w:val="0"/>
                      <w:position w:val="0"/>
                      <w:sz w:val="21"/>
                      <w:szCs w:val="21"/>
                      <w:lang w:val="en-US" w:eastAsia="zh-CN"/>
                    </w:rPr>
                    <w:t>最高允许排放浓度</w:t>
                  </w:r>
                  <w:r>
                    <w:rPr>
                      <w:rFonts w:hint="default" w:ascii="Times New Roman" w:hAnsi="Times New Roman" w:eastAsia="宋体" w:cs="Times New Roman"/>
                      <w:snapToGrid/>
                      <w:color w:val="000000"/>
                      <w:spacing w:val="0"/>
                      <w:kern w:val="0"/>
                      <w:position w:val="0"/>
                      <w:sz w:val="21"/>
                      <w:szCs w:val="21"/>
                    </w:rPr>
                    <w:t>（mg/m</w:t>
                  </w:r>
                  <w:r>
                    <w:rPr>
                      <w:rFonts w:hint="default" w:ascii="Times New Roman" w:hAnsi="Times New Roman" w:eastAsia="宋体" w:cs="Times New Roman"/>
                      <w:snapToGrid/>
                      <w:color w:val="000000"/>
                      <w:spacing w:val="0"/>
                      <w:kern w:val="0"/>
                      <w:position w:val="0"/>
                      <w:sz w:val="21"/>
                      <w:szCs w:val="21"/>
                      <w:vertAlign w:val="superscript"/>
                    </w:rPr>
                    <w:t>3</w:t>
                  </w:r>
                  <w:r>
                    <w:rPr>
                      <w:rFonts w:hint="default" w:ascii="Times New Roman" w:hAnsi="Times New Roman" w:eastAsia="宋体" w:cs="Times New Roman"/>
                      <w:snapToGrid/>
                      <w:color w:val="000000"/>
                      <w:spacing w:val="0"/>
                      <w:kern w:val="0"/>
                      <w:position w:val="0"/>
                      <w:sz w:val="21"/>
                      <w:szCs w:val="21"/>
                    </w:rPr>
                    <w:t>）</w:t>
                  </w:r>
                </w:p>
              </w:tc>
              <w:tc>
                <w:tcPr>
                  <w:tcW w:w="1151" w:type="pct"/>
                  <w:gridSpan w:val="2"/>
                  <w:tcBorders>
                    <w:top w:val="single" w:color="000000" w:sz="4" w:space="0"/>
                    <w:left w:val="single" w:color="000000" w:sz="4" w:space="0"/>
                    <w:bottom w:val="single" w:color="auto" w:sz="4" w:space="0"/>
                    <w:right w:val="single" w:color="000000" w:sz="4" w:space="0"/>
                  </w:tcBorders>
                  <w:noWrap w:val="0"/>
                  <w:vAlign w:val="center"/>
                </w:tcPr>
                <w:p w14:paraId="28952850">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最高允许排放速率（kg/h）</w:t>
                  </w:r>
                </w:p>
              </w:tc>
              <w:tc>
                <w:tcPr>
                  <w:tcW w:w="1151" w:type="pct"/>
                  <w:vMerge w:val="restart"/>
                  <w:tcBorders>
                    <w:top w:val="single" w:color="000000" w:sz="4" w:space="0"/>
                    <w:left w:val="single" w:color="000000" w:sz="4" w:space="0"/>
                    <w:right w:val="single" w:color="000000" w:sz="4" w:space="0"/>
                  </w:tcBorders>
                  <w:noWrap w:val="0"/>
                  <w:vAlign w:val="center"/>
                </w:tcPr>
                <w:p w14:paraId="72975138">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rPr>
                  </w:pPr>
                  <w:r>
                    <w:rPr>
                      <w:rFonts w:hint="eastAsia" w:cs="Times New Roman"/>
                      <w:snapToGrid/>
                      <w:color w:val="000000"/>
                      <w:spacing w:val="0"/>
                      <w:kern w:val="0"/>
                      <w:position w:val="0"/>
                      <w:sz w:val="21"/>
                      <w:szCs w:val="21"/>
                      <w:lang w:val="en-US" w:eastAsia="zh-CN"/>
                    </w:rPr>
                    <w:t>无组织</w:t>
                  </w:r>
                  <w:r>
                    <w:rPr>
                      <w:rFonts w:hint="eastAsia" w:ascii="Times New Roman" w:hAnsi="Times New Roman" w:eastAsia="宋体" w:cs="Times New Roman"/>
                      <w:snapToGrid/>
                      <w:color w:val="000000"/>
                      <w:spacing w:val="0"/>
                      <w:kern w:val="0"/>
                      <w:position w:val="0"/>
                      <w:sz w:val="21"/>
                      <w:szCs w:val="21"/>
                      <w:lang w:val="en-US" w:eastAsia="zh-CN"/>
                    </w:rPr>
                    <w:t>浓度限值</w:t>
                  </w:r>
                  <w:r>
                    <w:rPr>
                      <w:rFonts w:hint="default" w:ascii="Times New Roman" w:hAnsi="Times New Roman" w:eastAsia="宋体" w:cs="Times New Roman"/>
                      <w:snapToGrid/>
                      <w:color w:val="000000"/>
                      <w:spacing w:val="0"/>
                      <w:kern w:val="0"/>
                      <w:position w:val="0"/>
                      <w:sz w:val="21"/>
                      <w:szCs w:val="21"/>
                    </w:rPr>
                    <w:t>（mg/m</w:t>
                  </w:r>
                  <w:r>
                    <w:rPr>
                      <w:rFonts w:hint="default" w:ascii="Times New Roman" w:hAnsi="Times New Roman" w:eastAsia="宋体" w:cs="Times New Roman"/>
                      <w:snapToGrid/>
                      <w:color w:val="000000"/>
                      <w:spacing w:val="0"/>
                      <w:kern w:val="0"/>
                      <w:position w:val="0"/>
                      <w:sz w:val="21"/>
                      <w:szCs w:val="21"/>
                      <w:vertAlign w:val="superscript"/>
                    </w:rPr>
                    <w:t>3</w:t>
                  </w:r>
                  <w:r>
                    <w:rPr>
                      <w:rFonts w:hint="default" w:ascii="Times New Roman" w:hAnsi="Times New Roman" w:eastAsia="宋体" w:cs="Times New Roman"/>
                      <w:snapToGrid/>
                      <w:color w:val="000000"/>
                      <w:spacing w:val="0"/>
                      <w:kern w:val="0"/>
                      <w:position w:val="0"/>
                      <w:sz w:val="21"/>
                      <w:szCs w:val="21"/>
                    </w:rPr>
                    <w:t>）</w:t>
                  </w:r>
                </w:p>
              </w:tc>
              <w:tc>
                <w:tcPr>
                  <w:tcW w:w="1174" w:type="pct"/>
                  <w:vMerge w:val="restart"/>
                  <w:tcBorders>
                    <w:top w:val="single" w:color="000000" w:sz="4" w:space="0"/>
                    <w:left w:val="single" w:color="000000" w:sz="4" w:space="0"/>
                    <w:right w:val="single" w:color="000000" w:sz="4" w:space="0"/>
                  </w:tcBorders>
                  <w:noWrap w:val="0"/>
                  <w:vAlign w:val="center"/>
                </w:tcPr>
                <w:p w14:paraId="7EFF687B">
                  <w:pPr>
                    <w:keepNext w:val="0"/>
                    <w:keepLines w:val="0"/>
                    <w:pageBreakBefore w:val="0"/>
                    <w:kinsoku/>
                    <w:wordWrap/>
                    <w:overflowPunct/>
                    <w:topLinePunct w:val="0"/>
                    <w:bidi w:val="0"/>
                    <w:adjustRightInd w:val="0"/>
                    <w:snapToGrid w:val="0"/>
                    <w:spacing w:line="240" w:lineRule="atLeast"/>
                    <w:jc w:val="center"/>
                    <w:rPr>
                      <w:rFonts w:hint="eastAsia" w:ascii="Times New Roman" w:hAnsi="Times New Roman" w:eastAsia="宋体" w:cs="Times New Roman"/>
                      <w:snapToGrid/>
                      <w:color w:val="000000"/>
                      <w:spacing w:val="0"/>
                      <w:kern w:val="0"/>
                      <w:position w:val="0"/>
                      <w:sz w:val="21"/>
                      <w:szCs w:val="21"/>
                      <w:lang w:eastAsia="zh-CN"/>
                    </w:rPr>
                  </w:pPr>
                  <w:r>
                    <w:rPr>
                      <w:rFonts w:hint="eastAsia" w:ascii="Times New Roman" w:hAnsi="Times New Roman" w:eastAsia="宋体" w:cs="Times New Roman"/>
                      <w:snapToGrid/>
                      <w:color w:val="000000"/>
                      <w:spacing w:val="0"/>
                      <w:kern w:val="0"/>
                      <w:position w:val="0"/>
                      <w:sz w:val="21"/>
                      <w:szCs w:val="21"/>
                      <w:lang w:eastAsia="zh-CN"/>
                    </w:rPr>
                    <w:t>标准来源</w:t>
                  </w:r>
                </w:p>
              </w:tc>
            </w:tr>
            <w:tr w14:paraId="51BE2ABD">
              <w:tblPrEx>
                <w:tblCellMar>
                  <w:top w:w="0" w:type="dxa"/>
                  <w:left w:w="108" w:type="dxa"/>
                  <w:bottom w:w="0" w:type="dxa"/>
                  <w:right w:w="108" w:type="dxa"/>
                </w:tblCellMar>
              </w:tblPrEx>
              <w:trPr>
                <w:trHeight w:val="454" w:hRule="atLeast"/>
                <w:jc w:val="center"/>
              </w:trPr>
              <w:tc>
                <w:tcPr>
                  <w:tcW w:w="620" w:type="pct"/>
                  <w:vMerge w:val="continue"/>
                  <w:tcBorders>
                    <w:left w:val="single" w:color="000000" w:sz="4" w:space="0"/>
                    <w:bottom w:val="single" w:color="000000" w:sz="4" w:space="0"/>
                    <w:right w:val="single" w:color="000000" w:sz="4" w:space="0"/>
                  </w:tcBorders>
                  <w:noWrap w:val="0"/>
                  <w:vAlign w:val="center"/>
                </w:tcPr>
                <w:p w14:paraId="2B0E2418">
                  <w:pPr>
                    <w:keepNext w:val="0"/>
                    <w:keepLines w:val="0"/>
                    <w:pageBreakBefore w:val="0"/>
                    <w:kinsoku/>
                    <w:wordWrap/>
                    <w:overflowPunct/>
                    <w:topLinePunct w:val="0"/>
                    <w:bidi w:val="0"/>
                    <w:adjustRightInd w:val="0"/>
                    <w:snapToGrid w:val="0"/>
                    <w:spacing w:line="240" w:lineRule="atLeast"/>
                    <w:jc w:val="center"/>
                  </w:pPr>
                </w:p>
              </w:tc>
              <w:tc>
                <w:tcPr>
                  <w:tcW w:w="902" w:type="pct"/>
                  <w:vMerge w:val="continue"/>
                  <w:tcBorders>
                    <w:left w:val="single" w:color="000000" w:sz="4" w:space="0"/>
                    <w:bottom w:val="single" w:color="000000" w:sz="4" w:space="0"/>
                    <w:right w:val="single" w:color="000000" w:sz="4" w:space="0"/>
                  </w:tcBorders>
                  <w:noWrap w:val="0"/>
                  <w:vAlign w:val="center"/>
                </w:tcPr>
                <w:p w14:paraId="675D0838">
                  <w:pPr>
                    <w:keepNext w:val="0"/>
                    <w:keepLines w:val="0"/>
                    <w:pageBreakBefore w:val="0"/>
                    <w:kinsoku/>
                    <w:wordWrap/>
                    <w:overflowPunct/>
                    <w:topLinePunct w:val="0"/>
                    <w:bidi w:val="0"/>
                    <w:adjustRightInd w:val="0"/>
                    <w:snapToGrid w:val="0"/>
                    <w:spacing w:line="240" w:lineRule="atLeast"/>
                    <w:jc w:val="center"/>
                  </w:pPr>
                </w:p>
              </w:tc>
              <w:tc>
                <w:tcPr>
                  <w:tcW w:w="575" w:type="pct"/>
                  <w:tcBorders>
                    <w:top w:val="single" w:color="000000" w:sz="4" w:space="0"/>
                    <w:left w:val="single" w:color="000000" w:sz="4" w:space="0"/>
                    <w:bottom w:val="single" w:color="auto" w:sz="4" w:space="0"/>
                    <w:right w:val="single" w:color="000000" w:sz="4" w:space="0"/>
                  </w:tcBorders>
                  <w:noWrap w:val="0"/>
                  <w:vAlign w:val="center"/>
                </w:tcPr>
                <w:p w14:paraId="636F19C1">
                  <w:pPr>
                    <w:keepNext w:val="0"/>
                    <w:keepLines w:val="0"/>
                    <w:pageBreakBefore w:val="0"/>
                    <w:kinsoku/>
                    <w:wordWrap/>
                    <w:overflowPunct/>
                    <w:topLinePunct w:val="0"/>
                    <w:bidi w:val="0"/>
                    <w:adjustRightInd w:val="0"/>
                    <w:snapToGrid w:val="0"/>
                    <w:spacing w:line="240" w:lineRule="atLeast"/>
                    <w:jc w:val="center"/>
                    <w:rPr>
                      <w:rFonts w:hint="default" w:cs="Times New Roman"/>
                      <w:snapToGrid/>
                      <w:color w:val="000000"/>
                      <w:spacing w:val="0"/>
                      <w:kern w:val="0"/>
                      <w:position w:val="0"/>
                      <w:sz w:val="21"/>
                      <w:szCs w:val="21"/>
                      <w:lang w:val="en-US" w:eastAsia="zh-CN"/>
                    </w:rPr>
                  </w:pPr>
                  <w:r>
                    <w:rPr>
                      <w:rFonts w:hint="default" w:cs="Times New Roman"/>
                      <w:snapToGrid/>
                      <w:color w:val="000000"/>
                      <w:spacing w:val="0"/>
                      <w:kern w:val="0"/>
                      <w:position w:val="0"/>
                      <w:sz w:val="21"/>
                      <w:szCs w:val="21"/>
                      <w:lang w:val="en-US" w:eastAsia="zh-CN"/>
                    </w:rPr>
                    <w:t>排气筒</w:t>
                  </w:r>
                  <w:r>
                    <w:rPr>
                      <w:rFonts w:hint="eastAsia" w:cs="Times New Roman"/>
                      <w:snapToGrid/>
                      <w:color w:val="000000"/>
                      <w:spacing w:val="0"/>
                      <w:kern w:val="0"/>
                      <w:position w:val="0"/>
                      <w:sz w:val="21"/>
                      <w:szCs w:val="21"/>
                      <w:lang w:val="en-US" w:eastAsia="zh-CN"/>
                    </w:rPr>
                    <w:t>高度</w:t>
                  </w:r>
                </w:p>
              </w:tc>
              <w:tc>
                <w:tcPr>
                  <w:tcW w:w="575" w:type="pct"/>
                  <w:tcBorders>
                    <w:top w:val="single" w:color="000000" w:sz="4" w:space="0"/>
                    <w:left w:val="single" w:color="000000" w:sz="4" w:space="0"/>
                    <w:bottom w:val="single" w:color="auto" w:sz="4" w:space="0"/>
                    <w:right w:val="single" w:color="000000" w:sz="4" w:space="0"/>
                  </w:tcBorders>
                  <w:noWrap w:val="0"/>
                  <w:vAlign w:val="center"/>
                </w:tcPr>
                <w:p w14:paraId="30212133">
                  <w:pPr>
                    <w:keepNext w:val="0"/>
                    <w:keepLines w:val="0"/>
                    <w:pageBreakBefore w:val="0"/>
                    <w:kinsoku/>
                    <w:wordWrap/>
                    <w:overflowPunct/>
                    <w:topLinePunct w:val="0"/>
                    <w:bidi w:val="0"/>
                    <w:adjustRightInd w:val="0"/>
                    <w:snapToGrid w:val="0"/>
                    <w:spacing w:line="240" w:lineRule="atLeast"/>
                    <w:jc w:val="center"/>
                    <w:rPr>
                      <w:rFonts w:hint="default"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二级</w:t>
                  </w:r>
                </w:p>
              </w:tc>
              <w:tc>
                <w:tcPr>
                  <w:tcW w:w="1151" w:type="pct"/>
                  <w:vMerge w:val="continue"/>
                  <w:tcBorders>
                    <w:left w:val="single" w:color="000000" w:sz="4" w:space="0"/>
                    <w:bottom w:val="single" w:color="auto" w:sz="4" w:space="0"/>
                    <w:right w:val="single" w:color="000000" w:sz="4" w:space="0"/>
                  </w:tcBorders>
                  <w:noWrap w:val="0"/>
                  <w:vAlign w:val="center"/>
                </w:tcPr>
                <w:p w14:paraId="09CE33A1">
                  <w:pPr>
                    <w:keepNext w:val="0"/>
                    <w:keepLines w:val="0"/>
                    <w:pageBreakBefore w:val="0"/>
                    <w:kinsoku/>
                    <w:wordWrap/>
                    <w:overflowPunct/>
                    <w:topLinePunct w:val="0"/>
                    <w:bidi w:val="0"/>
                    <w:adjustRightInd w:val="0"/>
                    <w:snapToGrid w:val="0"/>
                    <w:spacing w:line="240" w:lineRule="atLeast"/>
                    <w:jc w:val="center"/>
                    <w:rPr>
                      <w:rFonts w:hint="eastAsia" w:cs="Times New Roman"/>
                      <w:snapToGrid/>
                      <w:color w:val="000000"/>
                      <w:spacing w:val="0"/>
                      <w:kern w:val="0"/>
                      <w:position w:val="0"/>
                      <w:sz w:val="21"/>
                      <w:szCs w:val="21"/>
                      <w:lang w:val="en-US" w:eastAsia="zh-CN"/>
                    </w:rPr>
                  </w:pPr>
                </w:p>
              </w:tc>
              <w:tc>
                <w:tcPr>
                  <w:tcW w:w="1174" w:type="pct"/>
                  <w:vMerge w:val="continue"/>
                  <w:tcBorders>
                    <w:left w:val="single" w:color="000000" w:sz="4" w:space="0"/>
                    <w:bottom w:val="single" w:color="auto" w:sz="4" w:space="0"/>
                    <w:right w:val="single" w:color="000000" w:sz="4" w:space="0"/>
                  </w:tcBorders>
                  <w:noWrap w:val="0"/>
                  <w:vAlign w:val="center"/>
                </w:tcPr>
                <w:p w14:paraId="0CC4F8C8">
                  <w:pPr>
                    <w:keepNext w:val="0"/>
                    <w:keepLines w:val="0"/>
                    <w:pageBreakBefore w:val="0"/>
                    <w:kinsoku/>
                    <w:wordWrap/>
                    <w:overflowPunct/>
                    <w:topLinePunct w:val="0"/>
                    <w:bidi w:val="0"/>
                    <w:adjustRightInd w:val="0"/>
                    <w:snapToGrid w:val="0"/>
                    <w:spacing w:line="240" w:lineRule="atLeast"/>
                    <w:jc w:val="center"/>
                    <w:rPr>
                      <w:rFonts w:hint="eastAsia" w:cs="Times New Roman"/>
                      <w:snapToGrid/>
                      <w:color w:val="000000"/>
                      <w:spacing w:val="0"/>
                      <w:kern w:val="0"/>
                      <w:position w:val="0"/>
                      <w:sz w:val="21"/>
                      <w:szCs w:val="21"/>
                      <w:lang w:val="en-US" w:eastAsia="zh-CN"/>
                    </w:rPr>
                  </w:pPr>
                </w:p>
              </w:tc>
            </w:tr>
            <w:tr w14:paraId="7C92E33E">
              <w:tblPrEx>
                <w:tblCellMar>
                  <w:top w:w="0" w:type="dxa"/>
                  <w:left w:w="108" w:type="dxa"/>
                  <w:bottom w:w="0" w:type="dxa"/>
                  <w:right w:w="108" w:type="dxa"/>
                </w:tblCellMar>
              </w:tblPrEx>
              <w:trPr>
                <w:trHeight w:val="454" w:hRule="atLeast"/>
                <w:jc w:val="center"/>
              </w:trPr>
              <w:tc>
                <w:tcPr>
                  <w:tcW w:w="620" w:type="pct"/>
                  <w:tcBorders>
                    <w:top w:val="single" w:color="000000" w:sz="4" w:space="0"/>
                    <w:left w:val="single" w:color="000000" w:sz="4" w:space="0"/>
                    <w:bottom w:val="single" w:color="000000" w:sz="4" w:space="0"/>
                    <w:right w:val="single" w:color="000000" w:sz="4" w:space="0"/>
                  </w:tcBorders>
                  <w:noWrap w:val="0"/>
                  <w:vAlign w:val="center"/>
                </w:tcPr>
                <w:p w14:paraId="08145115">
                  <w:pPr>
                    <w:keepNext w:val="0"/>
                    <w:keepLines w:val="0"/>
                    <w:pageBreakBefore w:val="0"/>
                    <w:kinsoku/>
                    <w:wordWrap/>
                    <w:overflowPunct/>
                    <w:topLinePunct w:val="0"/>
                    <w:bidi w:val="0"/>
                    <w:adjustRightInd w:val="0"/>
                    <w:snapToGrid w:val="0"/>
                    <w:spacing w:line="240" w:lineRule="atLeast"/>
                    <w:jc w:val="center"/>
                    <w:rPr>
                      <w:rFonts w:hint="eastAsia" w:ascii="Times New Roman" w:hAnsi="Times New Roman" w:eastAsia="宋体"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颗粒物</w:t>
                  </w:r>
                </w:p>
              </w:tc>
              <w:tc>
                <w:tcPr>
                  <w:tcW w:w="902" w:type="pct"/>
                  <w:tcBorders>
                    <w:top w:val="single" w:color="000000" w:sz="4" w:space="0"/>
                    <w:left w:val="single" w:color="000000" w:sz="4" w:space="0"/>
                    <w:bottom w:val="single" w:color="000000" w:sz="4" w:space="0"/>
                    <w:right w:val="single" w:color="auto" w:sz="4" w:space="0"/>
                  </w:tcBorders>
                  <w:noWrap w:val="0"/>
                  <w:vAlign w:val="center"/>
                </w:tcPr>
                <w:p w14:paraId="375567B7">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120</w:t>
                  </w:r>
                </w:p>
              </w:tc>
              <w:tc>
                <w:tcPr>
                  <w:tcW w:w="575" w:type="pct"/>
                  <w:tcBorders>
                    <w:top w:val="single" w:color="auto" w:sz="4" w:space="0"/>
                    <w:left w:val="single" w:color="auto" w:sz="4" w:space="0"/>
                    <w:bottom w:val="single" w:color="auto" w:sz="4" w:space="0"/>
                    <w:right w:val="single" w:color="auto" w:sz="4" w:space="0"/>
                  </w:tcBorders>
                  <w:noWrap w:val="0"/>
                  <w:vAlign w:val="center"/>
                </w:tcPr>
                <w:p w14:paraId="7D22675A">
                  <w:pPr>
                    <w:keepNext w:val="0"/>
                    <w:keepLines w:val="0"/>
                    <w:pageBreakBefore w:val="0"/>
                    <w:kinsoku/>
                    <w:wordWrap/>
                    <w:overflowPunct/>
                    <w:topLinePunct w:val="0"/>
                    <w:bidi w:val="0"/>
                    <w:adjustRightInd w:val="0"/>
                    <w:snapToGrid w:val="0"/>
                    <w:spacing w:line="240" w:lineRule="atLeast"/>
                    <w:jc w:val="center"/>
                    <w:rPr>
                      <w:rFonts w:hint="default"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22</w:t>
                  </w:r>
                </w:p>
              </w:tc>
              <w:tc>
                <w:tcPr>
                  <w:tcW w:w="575" w:type="pct"/>
                  <w:tcBorders>
                    <w:top w:val="single" w:color="auto" w:sz="4" w:space="0"/>
                    <w:left w:val="single" w:color="auto" w:sz="4" w:space="0"/>
                    <w:bottom w:val="single" w:color="auto" w:sz="4" w:space="0"/>
                    <w:right w:val="single" w:color="auto" w:sz="4" w:space="0"/>
                  </w:tcBorders>
                  <w:noWrap w:val="0"/>
                  <w:vAlign w:val="center"/>
                </w:tcPr>
                <w:p w14:paraId="4BEA2966">
                  <w:pPr>
                    <w:keepNext w:val="0"/>
                    <w:keepLines w:val="0"/>
                    <w:pageBreakBefore w:val="0"/>
                    <w:kinsoku/>
                    <w:wordWrap/>
                    <w:overflowPunct/>
                    <w:topLinePunct w:val="0"/>
                    <w:bidi w:val="0"/>
                    <w:adjustRightInd w:val="0"/>
                    <w:snapToGrid w:val="0"/>
                    <w:spacing w:line="240" w:lineRule="atLeast"/>
                    <w:jc w:val="center"/>
                    <w:rPr>
                      <w:rFonts w:hint="default"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10.175</w:t>
                  </w:r>
                </w:p>
              </w:tc>
              <w:tc>
                <w:tcPr>
                  <w:tcW w:w="1151" w:type="pct"/>
                  <w:tcBorders>
                    <w:top w:val="single" w:color="auto" w:sz="4" w:space="0"/>
                    <w:left w:val="single" w:color="auto" w:sz="4" w:space="0"/>
                    <w:bottom w:val="single" w:color="auto" w:sz="4" w:space="0"/>
                    <w:right w:val="single" w:color="auto" w:sz="4" w:space="0"/>
                  </w:tcBorders>
                  <w:noWrap w:val="0"/>
                  <w:vAlign w:val="center"/>
                </w:tcPr>
                <w:p w14:paraId="78933B94">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lang w:val="en-US" w:eastAsia="zh-CN"/>
                    </w:rPr>
                  </w:pPr>
                  <w:r>
                    <w:rPr>
                      <w:rFonts w:hint="eastAsia" w:cs="Times New Roman"/>
                      <w:snapToGrid/>
                      <w:color w:val="000000"/>
                      <w:spacing w:val="0"/>
                      <w:kern w:val="0"/>
                      <w:position w:val="0"/>
                      <w:sz w:val="21"/>
                      <w:szCs w:val="21"/>
                      <w:lang w:val="en-US" w:eastAsia="zh-CN"/>
                    </w:rPr>
                    <w:t>1.0</w:t>
                  </w:r>
                </w:p>
              </w:tc>
              <w:tc>
                <w:tcPr>
                  <w:tcW w:w="1174" w:type="pct"/>
                  <w:tcBorders>
                    <w:top w:val="single" w:color="auto" w:sz="4" w:space="0"/>
                    <w:left w:val="single" w:color="auto" w:sz="4" w:space="0"/>
                    <w:bottom w:val="single" w:color="auto" w:sz="4" w:space="0"/>
                    <w:right w:val="single" w:color="auto" w:sz="4" w:space="0"/>
                  </w:tcBorders>
                  <w:noWrap w:val="0"/>
                  <w:vAlign w:val="center"/>
                </w:tcPr>
                <w:p w14:paraId="4649E599">
                  <w:pPr>
                    <w:keepNext w:val="0"/>
                    <w:keepLines w:val="0"/>
                    <w:pageBreakBefore w:val="0"/>
                    <w:kinsoku/>
                    <w:wordWrap/>
                    <w:overflowPunct/>
                    <w:topLinePunct w:val="0"/>
                    <w:bidi w:val="0"/>
                    <w:adjustRightInd w:val="0"/>
                    <w:snapToGrid w:val="0"/>
                    <w:spacing w:line="240" w:lineRule="atLeast"/>
                    <w:jc w:val="center"/>
                    <w:rPr>
                      <w:rFonts w:hint="default" w:ascii="Times New Roman" w:hAnsi="Times New Roman" w:eastAsia="宋体" w:cs="Times New Roman"/>
                      <w:snapToGrid/>
                      <w:color w:val="000000"/>
                      <w:spacing w:val="0"/>
                      <w:kern w:val="0"/>
                      <w:position w:val="0"/>
                      <w:sz w:val="21"/>
                      <w:szCs w:val="21"/>
                    </w:rPr>
                  </w:pPr>
                  <w:r>
                    <w:rPr>
                      <w:rFonts w:hint="default" w:ascii="Times New Roman" w:hAnsi="Times New Roman" w:eastAsia="宋体" w:cs="Times New Roman"/>
                      <w:snapToGrid/>
                      <w:color w:val="000000"/>
                      <w:spacing w:val="0"/>
                      <w:kern w:val="0"/>
                      <w:position w:val="0"/>
                      <w:sz w:val="21"/>
                      <w:szCs w:val="21"/>
                    </w:rPr>
                    <w:t>《大气污染物综合排放标准》（GB16297-1996）</w:t>
                  </w:r>
                </w:p>
              </w:tc>
            </w:tr>
          </w:tbl>
          <w:p w14:paraId="55A3698B">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bCs/>
                <w:kern w:val="0"/>
                <w:sz w:val="24"/>
              </w:rPr>
            </w:pPr>
            <w:r>
              <w:rPr>
                <w:b/>
                <w:bCs/>
                <w:kern w:val="0"/>
                <w:sz w:val="24"/>
              </w:rPr>
              <w:t>表3</w:t>
            </w:r>
            <w:r>
              <w:rPr>
                <w:rFonts w:hint="eastAsia"/>
                <w:b/>
                <w:bCs/>
                <w:kern w:val="0"/>
                <w:sz w:val="24"/>
                <w:lang w:val="en-US" w:eastAsia="zh-CN"/>
              </w:rPr>
              <w:t>-6</w:t>
            </w:r>
            <w:r>
              <w:rPr>
                <w:b/>
                <w:bCs/>
                <w:kern w:val="0"/>
                <w:sz w:val="24"/>
              </w:rPr>
              <w:t xml:space="preserve"> </w:t>
            </w:r>
            <w:r>
              <w:rPr>
                <w:rFonts w:hint="eastAsia"/>
                <w:b/>
                <w:bCs/>
                <w:kern w:val="0"/>
                <w:sz w:val="24"/>
              </w:rPr>
              <w:t xml:space="preserve"> </w:t>
            </w:r>
            <w:r>
              <w:rPr>
                <w:rFonts w:hint="eastAsia" w:ascii="宋体" w:hAnsi="宋体" w:cs="宋体"/>
                <w:b/>
                <w:bCs/>
                <w:color w:val="000000"/>
                <w:kern w:val="0"/>
                <w:sz w:val="24"/>
                <w:lang w:bidi="ar"/>
              </w:rPr>
              <w:t>恶臭污染物排放标准</w:t>
            </w:r>
          </w:p>
          <w:tbl>
            <w:tblPr>
              <w:tblStyle w:val="28"/>
              <w:tblW w:w="8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2"/>
              <w:gridCol w:w="2019"/>
              <w:gridCol w:w="1013"/>
              <w:gridCol w:w="1015"/>
              <w:gridCol w:w="1010"/>
              <w:gridCol w:w="1143"/>
            </w:tblGrid>
            <w:tr w14:paraId="7238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3" w:type="dxa"/>
                  <w:vMerge w:val="restart"/>
                  <w:vAlign w:val="center"/>
                </w:tcPr>
                <w:p w14:paraId="3D1847C2">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污染物</w:t>
                  </w:r>
                </w:p>
              </w:tc>
              <w:tc>
                <w:tcPr>
                  <w:tcW w:w="2053" w:type="dxa"/>
                  <w:vAlign w:val="center"/>
                </w:tcPr>
                <w:p w14:paraId="6B0C96D9">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最高允许排放浓度</w:t>
                  </w:r>
                </w:p>
              </w:tc>
              <w:tc>
                <w:tcPr>
                  <w:tcW w:w="2053" w:type="dxa"/>
                  <w:gridSpan w:val="2"/>
                  <w:vAlign w:val="center"/>
                </w:tcPr>
                <w:p w14:paraId="16CBB6E4">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最高允许排放速率（</w:t>
                  </w:r>
                  <w:r>
                    <w:rPr>
                      <w:color w:val="auto"/>
                      <w:kern w:val="0"/>
                      <w:szCs w:val="21"/>
                      <w:lang w:bidi="ar"/>
                    </w:rPr>
                    <w:t>kg/h</w:t>
                  </w:r>
                  <w:r>
                    <w:rPr>
                      <w:rFonts w:hint="eastAsia" w:ascii="宋体" w:hAnsi="宋体" w:cs="宋体"/>
                      <w:color w:val="auto"/>
                      <w:kern w:val="0"/>
                      <w:szCs w:val="21"/>
                      <w:lang w:bidi="ar"/>
                    </w:rPr>
                    <w:t>）</w:t>
                  </w:r>
                </w:p>
              </w:tc>
              <w:tc>
                <w:tcPr>
                  <w:tcW w:w="2053" w:type="dxa"/>
                  <w:gridSpan w:val="2"/>
                  <w:vAlign w:val="center"/>
                </w:tcPr>
                <w:p w14:paraId="4AF8C32F">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无组织排放监控标准</w:t>
                  </w:r>
                </w:p>
              </w:tc>
            </w:tr>
            <w:tr w14:paraId="43E5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3" w:type="dxa"/>
                  <w:vMerge w:val="continue"/>
                  <w:vAlign w:val="center"/>
                </w:tcPr>
                <w:p w14:paraId="79FCCE5D">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p>
              </w:tc>
              <w:tc>
                <w:tcPr>
                  <w:tcW w:w="2053" w:type="dxa"/>
                  <w:vAlign w:val="center"/>
                </w:tcPr>
                <w:p w14:paraId="70FC49D0">
                  <w:pPr>
                    <w:keepNext w:val="0"/>
                    <w:keepLines w:val="0"/>
                    <w:pageBreakBefore w:val="0"/>
                    <w:widowControl/>
                    <w:kinsoku/>
                    <w:wordWrap/>
                    <w:overflowPunct/>
                    <w:topLinePunct w:val="0"/>
                    <w:autoSpaceDE/>
                    <w:autoSpaceDN/>
                    <w:bidi w:val="0"/>
                    <w:adjustRightInd/>
                    <w:jc w:val="center"/>
                    <w:textAlignment w:val="auto"/>
                    <w:rPr>
                      <w:rFonts w:ascii="宋体" w:hAnsi="宋体" w:cs="宋体"/>
                      <w:color w:val="auto"/>
                      <w:kern w:val="0"/>
                      <w:szCs w:val="21"/>
                      <w:lang w:bidi="ar"/>
                    </w:rPr>
                  </w:pPr>
                  <w:r>
                    <w:rPr>
                      <w:rFonts w:hint="eastAsia" w:ascii="宋体" w:hAnsi="宋体" w:cs="宋体"/>
                      <w:color w:val="auto"/>
                      <w:kern w:val="0"/>
                      <w:szCs w:val="21"/>
                      <w:lang w:bidi="ar"/>
                    </w:rPr>
                    <w:t>排气筒高度（</w:t>
                  </w:r>
                  <w:r>
                    <w:rPr>
                      <w:color w:val="auto"/>
                      <w:kern w:val="0"/>
                      <w:szCs w:val="21"/>
                      <w:lang w:bidi="ar"/>
                    </w:rPr>
                    <w:t>m</w:t>
                  </w:r>
                  <w:r>
                    <w:rPr>
                      <w:rFonts w:hint="eastAsia" w:ascii="宋体" w:hAnsi="宋体" w:cs="宋体"/>
                      <w:color w:val="auto"/>
                      <w:kern w:val="0"/>
                      <w:szCs w:val="21"/>
                      <w:lang w:bidi="ar"/>
                    </w:rPr>
                    <w:t>）</w:t>
                  </w:r>
                </w:p>
              </w:tc>
              <w:tc>
                <w:tcPr>
                  <w:tcW w:w="2053" w:type="dxa"/>
                  <w:gridSpan w:val="2"/>
                  <w:vAlign w:val="center"/>
                </w:tcPr>
                <w:p w14:paraId="2ECE6CD1">
                  <w:pPr>
                    <w:keepNext w:val="0"/>
                    <w:keepLines w:val="0"/>
                    <w:pageBreakBefore w:val="0"/>
                    <w:widowControl/>
                    <w:kinsoku/>
                    <w:wordWrap/>
                    <w:overflowPunct/>
                    <w:topLinePunct w:val="0"/>
                    <w:autoSpaceDE/>
                    <w:autoSpaceDN/>
                    <w:bidi w:val="0"/>
                    <w:adjustRightInd/>
                    <w:jc w:val="center"/>
                    <w:textAlignment w:val="auto"/>
                    <w:rPr>
                      <w:color w:val="auto"/>
                      <w:kern w:val="0"/>
                      <w:szCs w:val="21"/>
                      <w:lang w:bidi="ar"/>
                    </w:rPr>
                  </w:pPr>
                  <w:r>
                    <w:rPr>
                      <w:rFonts w:hint="eastAsia" w:ascii="宋体" w:hAnsi="宋体" w:cs="宋体"/>
                      <w:color w:val="auto"/>
                      <w:kern w:val="0"/>
                      <w:szCs w:val="21"/>
                      <w:lang w:bidi="ar"/>
                    </w:rPr>
                    <w:t>二级</w:t>
                  </w:r>
                </w:p>
              </w:tc>
              <w:tc>
                <w:tcPr>
                  <w:tcW w:w="1026" w:type="dxa"/>
                  <w:vAlign w:val="center"/>
                </w:tcPr>
                <w:p w14:paraId="3CD2A1F7">
                  <w:pPr>
                    <w:keepNext w:val="0"/>
                    <w:keepLines w:val="0"/>
                    <w:pageBreakBefore w:val="0"/>
                    <w:widowControl/>
                    <w:kinsoku/>
                    <w:wordWrap/>
                    <w:overflowPunct/>
                    <w:topLinePunct w:val="0"/>
                    <w:autoSpaceDE/>
                    <w:autoSpaceDN/>
                    <w:bidi w:val="0"/>
                    <w:adjustRightInd/>
                    <w:jc w:val="center"/>
                    <w:textAlignment w:val="auto"/>
                    <w:rPr>
                      <w:rFonts w:ascii="宋体" w:hAnsi="宋体" w:cs="宋体"/>
                      <w:color w:val="auto"/>
                      <w:kern w:val="0"/>
                      <w:szCs w:val="21"/>
                      <w:lang w:bidi="ar"/>
                    </w:rPr>
                  </w:pPr>
                  <w:r>
                    <w:rPr>
                      <w:rFonts w:hint="eastAsia" w:ascii="宋体" w:hAnsi="宋体" w:cs="宋体"/>
                      <w:color w:val="auto"/>
                      <w:kern w:val="0"/>
                      <w:szCs w:val="21"/>
                      <w:lang w:bidi="ar"/>
                    </w:rPr>
                    <w:t>监控点</w:t>
                  </w:r>
                </w:p>
              </w:tc>
              <w:tc>
                <w:tcPr>
                  <w:tcW w:w="1027" w:type="dxa"/>
                  <w:vAlign w:val="center"/>
                </w:tcPr>
                <w:p w14:paraId="3BF1F2C0">
                  <w:pPr>
                    <w:keepNext w:val="0"/>
                    <w:keepLines w:val="0"/>
                    <w:pageBreakBefore w:val="0"/>
                    <w:widowControl/>
                    <w:kinsoku/>
                    <w:wordWrap/>
                    <w:overflowPunct/>
                    <w:topLinePunct w:val="0"/>
                    <w:autoSpaceDE/>
                    <w:autoSpaceDN/>
                    <w:bidi w:val="0"/>
                    <w:adjustRightInd/>
                    <w:jc w:val="center"/>
                    <w:textAlignment w:val="auto"/>
                    <w:rPr>
                      <w:rFonts w:ascii="宋体" w:hAnsi="宋体" w:cs="宋体"/>
                      <w:color w:val="auto"/>
                      <w:kern w:val="0"/>
                      <w:szCs w:val="21"/>
                      <w:lang w:bidi="ar"/>
                    </w:rPr>
                  </w:pPr>
                  <w:r>
                    <w:rPr>
                      <w:rFonts w:hint="eastAsia" w:ascii="宋体" w:hAnsi="宋体" w:cs="宋体"/>
                      <w:color w:val="auto"/>
                      <w:kern w:val="0"/>
                      <w:szCs w:val="21"/>
                      <w:lang w:bidi="ar"/>
                    </w:rPr>
                    <w:t>浓度</w:t>
                  </w:r>
                </w:p>
              </w:tc>
            </w:tr>
            <w:tr w14:paraId="702B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3" w:type="dxa"/>
                  <w:vAlign w:val="center"/>
                </w:tcPr>
                <w:p w14:paraId="4BB3C31C">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硫化氢</w:t>
                  </w:r>
                </w:p>
              </w:tc>
              <w:tc>
                <w:tcPr>
                  <w:tcW w:w="2053" w:type="dxa"/>
                  <w:vAlign w:val="center"/>
                </w:tcPr>
                <w:p w14:paraId="6DEAA764">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w:t>
                  </w:r>
                </w:p>
              </w:tc>
              <w:tc>
                <w:tcPr>
                  <w:tcW w:w="1026" w:type="dxa"/>
                  <w:vMerge w:val="restart"/>
                  <w:vAlign w:val="center"/>
                </w:tcPr>
                <w:p w14:paraId="41EAFB76">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15</w:t>
                  </w:r>
                </w:p>
              </w:tc>
              <w:tc>
                <w:tcPr>
                  <w:tcW w:w="1027" w:type="dxa"/>
                  <w:vAlign w:val="center"/>
                </w:tcPr>
                <w:p w14:paraId="6083B86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sz w:val="21"/>
                      <w:szCs w:val="21"/>
                    </w:rPr>
                  </w:pPr>
                  <w:r>
                    <w:rPr>
                      <w:rFonts w:hint="eastAsia"/>
                      <w:color w:val="auto"/>
                      <w:sz w:val="21"/>
                      <w:szCs w:val="21"/>
                    </w:rPr>
                    <w:t>0.33</w:t>
                  </w:r>
                </w:p>
              </w:tc>
              <w:tc>
                <w:tcPr>
                  <w:tcW w:w="1026" w:type="dxa"/>
                  <w:vMerge w:val="restart"/>
                  <w:vAlign w:val="center"/>
                </w:tcPr>
                <w:p w14:paraId="380C5473">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厂界外浓度</w:t>
                  </w:r>
                </w:p>
                <w:p w14:paraId="378A747A">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最高点</w:t>
                  </w:r>
                </w:p>
              </w:tc>
              <w:tc>
                <w:tcPr>
                  <w:tcW w:w="1027" w:type="dxa"/>
                  <w:vAlign w:val="center"/>
                </w:tcPr>
                <w:p w14:paraId="023ACF48">
                  <w:pPr>
                    <w:keepNext w:val="0"/>
                    <w:keepLines w:val="0"/>
                    <w:pageBreakBefore w:val="0"/>
                    <w:widowControl/>
                    <w:kinsoku/>
                    <w:wordWrap/>
                    <w:overflowPunct/>
                    <w:topLinePunct w:val="0"/>
                    <w:autoSpaceDE/>
                    <w:autoSpaceDN/>
                    <w:bidi w:val="0"/>
                    <w:adjustRightInd/>
                    <w:jc w:val="center"/>
                    <w:textAlignment w:val="auto"/>
                    <w:rPr>
                      <w:color w:val="auto"/>
                      <w:szCs w:val="21"/>
                    </w:rPr>
                  </w:pPr>
                  <w:r>
                    <w:rPr>
                      <w:color w:val="auto"/>
                      <w:kern w:val="0"/>
                      <w:szCs w:val="21"/>
                      <w:lang w:bidi="ar"/>
                    </w:rPr>
                    <w:t>0.06mg/m</w:t>
                  </w:r>
                  <w:r>
                    <w:rPr>
                      <w:color w:val="auto"/>
                      <w:kern w:val="0"/>
                      <w:szCs w:val="21"/>
                      <w:vertAlign w:val="superscript"/>
                      <w:lang w:bidi="ar"/>
                    </w:rPr>
                    <w:t>3</w:t>
                  </w:r>
                </w:p>
              </w:tc>
            </w:tr>
            <w:tr w14:paraId="7FEB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3" w:type="dxa"/>
                  <w:vAlign w:val="center"/>
                </w:tcPr>
                <w:p w14:paraId="35E8CCBD">
                  <w:pPr>
                    <w:keepNext w:val="0"/>
                    <w:keepLines w:val="0"/>
                    <w:pageBreakBefore w:val="0"/>
                    <w:widowControl/>
                    <w:kinsoku/>
                    <w:wordWrap/>
                    <w:overflowPunct/>
                    <w:topLinePunct w:val="0"/>
                    <w:autoSpaceDE/>
                    <w:autoSpaceDN/>
                    <w:bidi w:val="0"/>
                    <w:adjustRightInd/>
                    <w:jc w:val="center"/>
                    <w:textAlignment w:val="auto"/>
                    <w:rPr>
                      <w:color w:val="auto"/>
                      <w:szCs w:val="21"/>
                    </w:rPr>
                  </w:pPr>
                  <w:r>
                    <w:rPr>
                      <w:rFonts w:hint="eastAsia" w:ascii="宋体" w:hAnsi="宋体" w:cs="宋体"/>
                      <w:color w:val="auto"/>
                      <w:kern w:val="0"/>
                      <w:szCs w:val="21"/>
                      <w:lang w:bidi="ar"/>
                    </w:rPr>
                    <w:t>氨</w:t>
                  </w:r>
                </w:p>
              </w:tc>
              <w:tc>
                <w:tcPr>
                  <w:tcW w:w="2053" w:type="dxa"/>
                  <w:vAlign w:val="center"/>
                </w:tcPr>
                <w:p w14:paraId="485042E1">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w:t>
                  </w:r>
                </w:p>
              </w:tc>
              <w:tc>
                <w:tcPr>
                  <w:tcW w:w="1026" w:type="dxa"/>
                  <w:vMerge w:val="continue"/>
                  <w:vAlign w:val="center"/>
                </w:tcPr>
                <w:p w14:paraId="78EEA3FC">
                  <w:pPr>
                    <w:pStyle w:val="14"/>
                    <w:keepNext w:val="0"/>
                    <w:keepLines w:val="0"/>
                    <w:pageBreakBefore w:val="0"/>
                    <w:widowControl/>
                    <w:kinsoku/>
                    <w:wordWrap/>
                    <w:overflowPunct/>
                    <w:topLinePunct w:val="0"/>
                    <w:autoSpaceDE/>
                    <w:autoSpaceDN/>
                    <w:bidi w:val="0"/>
                    <w:adjustRightInd/>
                    <w:spacing w:line="240" w:lineRule="auto"/>
                    <w:textAlignment w:val="auto"/>
                    <w:rPr>
                      <w:color w:val="auto"/>
                      <w:sz w:val="21"/>
                      <w:szCs w:val="21"/>
                    </w:rPr>
                  </w:pPr>
                </w:p>
              </w:tc>
              <w:tc>
                <w:tcPr>
                  <w:tcW w:w="1027" w:type="dxa"/>
                  <w:vAlign w:val="center"/>
                </w:tcPr>
                <w:p w14:paraId="6265D6D3">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sz w:val="21"/>
                      <w:szCs w:val="21"/>
                    </w:rPr>
                  </w:pPr>
                  <w:r>
                    <w:rPr>
                      <w:rFonts w:hint="eastAsia"/>
                      <w:color w:val="auto"/>
                      <w:sz w:val="21"/>
                      <w:szCs w:val="21"/>
                    </w:rPr>
                    <w:t>4.9</w:t>
                  </w:r>
                </w:p>
              </w:tc>
              <w:tc>
                <w:tcPr>
                  <w:tcW w:w="1026" w:type="dxa"/>
                  <w:vMerge w:val="continue"/>
                  <w:vAlign w:val="center"/>
                </w:tcPr>
                <w:p w14:paraId="377D30F3">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p>
              </w:tc>
              <w:tc>
                <w:tcPr>
                  <w:tcW w:w="1027" w:type="dxa"/>
                  <w:vAlign w:val="center"/>
                </w:tcPr>
                <w:p w14:paraId="0D47389C">
                  <w:pPr>
                    <w:keepNext w:val="0"/>
                    <w:keepLines w:val="0"/>
                    <w:pageBreakBefore w:val="0"/>
                    <w:widowControl/>
                    <w:kinsoku/>
                    <w:wordWrap/>
                    <w:overflowPunct/>
                    <w:topLinePunct w:val="0"/>
                    <w:autoSpaceDE/>
                    <w:autoSpaceDN/>
                    <w:bidi w:val="0"/>
                    <w:adjustRightInd/>
                    <w:jc w:val="center"/>
                    <w:textAlignment w:val="auto"/>
                    <w:rPr>
                      <w:color w:val="auto"/>
                      <w:szCs w:val="21"/>
                    </w:rPr>
                  </w:pPr>
                  <w:r>
                    <w:rPr>
                      <w:color w:val="auto"/>
                      <w:kern w:val="0"/>
                      <w:szCs w:val="21"/>
                      <w:lang w:bidi="ar"/>
                    </w:rPr>
                    <w:t>1.5mg/m</w:t>
                  </w:r>
                  <w:r>
                    <w:rPr>
                      <w:color w:val="auto"/>
                      <w:kern w:val="0"/>
                      <w:szCs w:val="21"/>
                      <w:vertAlign w:val="superscript"/>
                      <w:lang w:bidi="ar"/>
                    </w:rPr>
                    <w:t>3</w:t>
                  </w:r>
                </w:p>
              </w:tc>
            </w:tr>
            <w:tr w14:paraId="26EE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3" w:type="dxa"/>
                  <w:vAlign w:val="center"/>
                </w:tcPr>
                <w:p w14:paraId="18A67E2E">
                  <w:pPr>
                    <w:keepNext w:val="0"/>
                    <w:keepLines w:val="0"/>
                    <w:pageBreakBefore w:val="0"/>
                    <w:widowControl/>
                    <w:kinsoku/>
                    <w:wordWrap/>
                    <w:overflowPunct/>
                    <w:topLinePunct w:val="0"/>
                    <w:autoSpaceDE/>
                    <w:autoSpaceDN/>
                    <w:bidi w:val="0"/>
                    <w:adjustRightInd/>
                    <w:jc w:val="center"/>
                    <w:textAlignment w:val="auto"/>
                    <w:rPr>
                      <w:rFonts w:ascii="宋体" w:hAnsi="宋体" w:cs="宋体"/>
                      <w:color w:val="auto"/>
                      <w:kern w:val="0"/>
                      <w:szCs w:val="21"/>
                      <w:lang w:bidi="ar"/>
                    </w:rPr>
                  </w:pPr>
                  <w:r>
                    <w:rPr>
                      <w:rFonts w:hint="eastAsia" w:ascii="宋体" w:hAnsi="宋体" w:cs="宋体"/>
                      <w:color w:val="auto"/>
                      <w:kern w:val="0"/>
                      <w:szCs w:val="21"/>
                      <w:lang w:bidi="ar"/>
                    </w:rPr>
                    <w:t>臭气浓度</w:t>
                  </w:r>
                </w:p>
              </w:tc>
              <w:tc>
                <w:tcPr>
                  <w:tcW w:w="2053" w:type="dxa"/>
                  <w:vAlign w:val="center"/>
                </w:tcPr>
                <w:p w14:paraId="5415A76B">
                  <w:pPr>
                    <w:keepNext w:val="0"/>
                    <w:keepLines w:val="0"/>
                    <w:pageBreakBefore w:val="0"/>
                    <w:widowControl/>
                    <w:kinsoku/>
                    <w:wordWrap/>
                    <w:overflowPunct/>
                    <w:topLinePunct w:val="0"/>
                    <w:autoSpaceDE/>
                    <w:autoSpaceDN/>
                    <w:bidi w:val="0"/>
                    <w:adjustRightInd/>
                    <w:jc w:val="center"/>
                    <w:textAlignment w:val="auto"/>
                    <w:rPr>
                      <w:color w:val="auto"/>
                      <w:szCs w:val="21"/>
                    </w:rPr>
                  </w:pPr>
                  <w:r>
                    <w:rPr>
                      <w:color w:val="auto"/>
                      <w:kern w:val="0"/>
                      <w:szCs w:val="21"/>
                      <w:lang w:bidi="ar"/>
                    </w:rPr>
                    <w:t>2000</w:t>
                  </w:r>
                  <w:r>
                    <w:rPr>
                      <w:rFonts w:hint="eastAsia" w:ascii="宋体" w:hAnsi="宋体" w:cs="宋体"/>
                      <w:color w:val="auto"/>
                      <w:kern w:val="0"/>
                      <w:szCs w:val="21"/>
                      <w:lang w:bidi="ar"/>
                    </w:rPr>
                    <w:t>无量纲</w:t>
                  </w:r>
                </w:p>
              </w:tc>
              <w:tc>
                <w:tcPr>
                  <w:tcW w:w="1026" w:type="dxa"/>
                  <w:vMerge w:val="continue"/>
                  <w:vAlign w:val="center"/>
                </w:tcPr>
                <w:p w14:paraId="0CA9E056">
                  <w:pPr>
                    <w:pStyle w:val="14"/>
                    <w:keepNext w:val="0"/>
                    <w:keepLines w:val="0"/>
                    <w:pageBreakBefore w:val="0"/>
                    <w:widowControl/>
                    <w:kinsoku/>
                    <w:wordWrap/>
                    <w:overflowPunct/>
                    <w:topLinePunct w:val="0"/>
                    <w:autoSpaceDE/>
                    <w:autoSpaceDN/>
                    <w:bidi w:val="0"/>
                    <w:adjustRightInd/>
                    <w:spacing w:line="240" w:lineRule="auto"/>
                    <w:textAlignment w:val="auto"/>
                    <w:rPr>
                      <w:color w:val="auto"/>
                      <w:sz w:val="21"/>
                      <w:szCs w:val="21"/>
                    </w:rPr>
                  </w:pPr>
                </w:p>
              </w:tc>
              <w:tc>
                <w:tcPr>
                  <w:tcW w:w="1027" w:type="dxa"/>
                  <w:vAlign w:val="center"/>
                </w:tcPr>
                <w:p w14:paraId="29CC20A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color w:val="auto"/>
                      <w:sz w:val="21"/>
                      <w:szCs w:val="21"/>
                    </w:rPr>
                  </w:pPr>
                  <w:r>
                    <w:rPr>
                      <w:rFonts w:hint="eastAsia"/>
                      <w:color w:val="auto"/>
                      <w:sz w:val="21"/>
                      <w:szCs w:val="21"/>
                    </w:rPr>
                    <w:t>/</w:t>
                  </w:r>
                </w:p>
              </w:tc>
              <w:tc>
                <w:tcPr>
                  <w:tcW w:w="1026" w:type="dxa"/>
                  <w:vMerge w:val="continue"/>
                  <w:vAlign w:val="center"/>
                </w:tcPr>
                <w:p w14:paraId="43BB5A36">
                  <w:pPr>
                    <w:pStyle w:val="14"/>
                    <w:keepNext w:val="0"/>
                    <w:keepLines w:val="0"/>
                    <w:pageBreakBefore w:val="0"/>
                    <w:widowControl/>
                    <w:kinsoku/>
                    <w:wordWrap/>
                    <w:overflowPunct/>
                    <w:topLinePunct w:val="0"/>
                    <w:autoSpaceDE/>
                    <w:autoSpaceDN/>
                    <w:bidi w:val="0"/>
                    <w:adjustRightInd/>
                    <w:spacing w:line="240" w:lineRule="auto"/>
                    <w:jc w:val="center"/>
                    <w:textAlignment w:val="auto"/>
                    <w:rPr>
                      <w:color w:val="auto"/>
                      <w:sz w:val="21"/>
                      <w:szCs w:val="21"/>
                    </w:rPr>
                  </w:pPr>
                </w:p>
              </w:tc>
              <w:tc>
                <w:tcPr>
                  <w:tcW w:w="1027" w:type="dxa"/>
                  <w:vAlign w:val="center"/>
                </w:tcPr>
                <w:p w14:paraId="1775D227">
                  <w:pPr>
                    <w:keepNext w:val="0"/>
                    <w:keepLines w:val="0"/>
                    <w:pageBreakBefore w:val="0"/>
                    <w:widowControl/>
                    <w:kinsoku/>
                    <w:wordWrap/>
                    <w:overflowPunct/>
                    <w:topLinePunct w:val="0"/>
                    <w:autoSpaceDE/>
                    <w:autoSpaceDN/>
                    <w:bidi w:val="0"/>
                    <w:adjustRightInd/>
                    <w:jc w:val="center"/>
                    <w:textAlignment w:val="auto"/>
                    <w:rPr>
                      <w:color w:val="auto"/>
                      <w:szCs w:val="21"/>
                    </w:rPr>
                  </w:pPr>
                  <w:r>
                    <w:rPr>
                      <w:color w:val="auto"/>
                      <w:kern w:val="0"/>
                      <w:szCs w:val="21"/>
                      <w:lang w:bidi="ar"/>
                    </w:rPr>
                    <w:t>20</w:t>
                  </w:r>
                  <w:r>
                    <w:rPr>
                      <w:rFonts w:hint="eastAsia" w:ascii="宋体" w:hAnsi="宋体" w:cs="宋体"/>
                      <w:color w:val="auto"/>
                      <w:kern w:val="0"/>
                      <w:szCs w:val="21"/>
                      <w:lang w:bidi="ar"/>
                    </w:rPr>
                    <w:t>无量纲</w:t>
                  </w:r>
                </w:p>
              </w:tc>
            </w:tr>
          </w:tbl>
          <w:p w14:paraId="1CB2FF75">
            <w:pPr>
              <w:adjustRightInd w:val="0"/>
              <w:snapToGrid w:val="0"/>
              <w:spacing w:before="156" w:beforeLines="50"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噪声排放标准</w:t>
            </w:r>
          </w:p>
          <w:p w14:paraId="749D478B">
            <w:pPr>
              <w:snapToGrid w:val="0"/>
              <w:spacing w:line="360" w:lineRule="auto"/>
              <w:ind w:firstLine="480" w:firstLineChars="200"/>
              <w:rPr>
                <w:sz w:val="24"/>
              </w:rPr>
            </w:pPr>
            <w:r>
              <w:rPr>
                <w:rFonts w:hint="eastAsia"/>
                <w:color w:val="000000" w:themeColor="text1"/>
                <w:sz w:val="24"/>
                <w14:textFill>
                  <w14:solidFill>
                    <w14:schemeClr w14:val="tx1"/>
                  </w14:solidFill>
                </w14:textFill>
              </w:rPr>
              <w:t>评级区域内施工期噪声执行《建筑施工场界环境噪声排放标准》（</w:t>
            </w:r>
            <w:r>
              <w:rPr>
                <w:rFonts w:hint="eastAsia"/>
                <w:sz w:val="24"/>
              </w:rPr>
              <w:t>GB12523-2011）中标准限值要求；运营</w:t>
            </w:r>
            <w:r>
              <w:rPr>
                <w:sz w:val="24"/>
              </w:rPr>
              <w:t>期噪声执行《工业企业厂界环境噪声排放标准》（GB12348-2008）中</w:t>
            </w:r>
            <w:r>
              <w:rPr>
                <w:rFonts w:hint="eastAsia"/>
                <w:sz w:val="24"/>
                <w:lang w:val="en-US" w:eastAsia="zh-CN"/>
              </w:rPr>
              <w:t>2</w:t>
            </w:r>
            <w:r>
              <w:rPr>
                <w:sz w:val="24"/>
              </w:rPr>
              <w:t>类标准</w:t>
            </w:r>
            <w:r>
              <w:rPr>
                <w:rFonts w:hint="eastAsia"/>
                <w:sz w:val="24"/>
              </w:rPr>
              <w:t>；</w:t>
            </w:r>
            <w:r>
              <w:rPr>
                <w:sz w:val="24"/>
              </w:rPr>
              <w:t>其标准限值见</w:t>
            </w:r>
            <w:r>
              <w:rPr>
                <w:rFonts w:hint="eastAsia"/>
                <w:sz w:val="24"/>
                <w:lang w:eastAsia="zh-CN"/>
              </w:rPr>
              <w:t>下</w:t>
            </w:r>
            <w:r>
              <w:rPr>
                <w:sz w:val="24"/>
              </w:rPr>
              <w:t>表。</w:t>
            </w:r>
          </w:p>
          <w:p w14:paraId="41DFFAB4">
            <w:pPr>
              <w:adjustRightInd w:val="0"/>
              <w:snapToGrid w:val="0"/>
              <w:spacing w:line="360" w:lineRule="auto"/>
              <w:jc w:val="center"/>
            </w:pPr>
            <w:r>
              <w:rPr>
                <w:rFonts w:hint="eastAsia"/>
                <w:b/>
                <w:bCs/>
                <w:sz w:val="24"/>
              </w:rPr>
              <w:t>表3</w:t>
            </w:r>
            <w:r>
              <w:rPr>
                <w:rFonts w:hint="eastAsia"/>
                <w:b/>
                <w:bCs/>
                <w:sz w:val="24"/>
                <w:lang w:val="en-US" w:eastAsia="zh-CN"/>
              </w:rPr>
              <w:t>-7</w:t>
            </w:r>
            <w:r>
              <w:rPr>
                <w:rFonts w:hint="eastAsia"/>
                <w:b/>
                <w:bCs/>
                <w:sz w:val="24"/>
              </w:rPr>
              <w:t xml:space="preserve">  建筑施工场界噪声排放标准单位：dB（A）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9"/>
              <w:gridCol w:w="4138"/>
            </w:tblGrid>
            <w:tr w14:paraId="0359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428" w:type="dxa"/>
                  <w:vAlign w:val="center"/>
                </w:tcPr>
                <w:p w14:paraId="03A803C8">
                  <w:pPr>
                    <w:adjustRightInd w:val="0"/>
                    <w:snapToGrid w:val="0"/>
                    <w:spacing w:before="93" w:beforeLines="30"/>
                    <w:jc w:val="center"/>
                    <w:rPr>
                      <w:szCs w:val="21"/>
                    </w:rPr>
                  </w:pPr>
                  <w:r>
                    <w:rPr>
                      <w:rFonts w:hint="eastAsia"/>
                      <w:szCs w:val="21"/>
                    </w:rPr>
                    <w:t>昼间</w:t>
                  </w:r>
                </w:p>
              </w:tc>
              <w:tc>
                <w:tcPr>
                  <w:tcW w:w="4427" w:type="dxa"/>
                  <w:vAlign w:val="center"/>
                </w:tcPr>
                <w:p w14:paraId="37AFCE5C">
                  <w:pPr>
                    <w:adjustRightInd w:val="0"/>
                    <w:snapToGrid w:val="0"/>
                    <w:spacing w:before="93" w:beforeLines="30"/>
                    <w:jc w:val="center"/>
                    <w:rPr>
                      <w:szCs w:val="21"/>
                    </w:rPr>
                  </w:pPr>
                  <w:r>
                    <w:rPr>
                      <w:rFonts w:hint="eastAsia"/>
                      <w:szCs w:val="21"/>
                    </w:rPr>
                    <w:t>夜间</w:t>
                  </w:r>
                </w:p>
              </w:tc>
            </w:tr>
            <w:tr w14:paraId="466E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28" w:type="dxa"/>
                  <w:vAlign w:val="center"/>
                </w:tcPr>
                <w:p w14:paraId="2B14CB9C">
                  <w:pPr>
                    <w:adjustRightInd w:val="0"/>
                    <w:snapToGrid w:val="0"/>
                    <w:spacing w:before="93" w:beforeLines="30"/>
                    <w:jc w:val="center"/>
                    <w:rPr>
                      <w:szCs w:val="21"/>
                    </w:rPr>
                  </w:pPr>
                  <w:r>
                    <w:rPr>
                      <w:rFonts w:hint="eastAsia"/>
                      <w:szCs w:val="21"/>
                    </w:rPr>
                    <w:t>70</w:t>
                  </w:r>
                </w:p>
              </w:tc>
              <w:tc>
                <w:tcPr>
                  <w:tcW w:w="4427" w:type="dxa"/>
                  <w:vAlign w:val="center"/>
                </w:tcPr>
                <w:p w14:paraId="6B630FD2">
                  <w:pPr>
                    <w:adjustRightInd w:val="0"/>
                    <w:snapToGrid w:val="0"/>
                    <w:spacing w:before="93" w:beforeLines="30"/>
                    <w:jc w:val="center"/>
                    <w:rPr>
                      <w:szCs w:val="21"/>
                    </w:rPr>
                  </w:pPr>
                  <w:r>
                    <w:rPr>
                      <w:rFonts w:hint="eastAsia"/>
                      <w:szCs w:val="21"/>
                    </w:rPr>
                    <w:t>55</w:t>
                  </w:r>
                </w:p>
              </w:tc>
            </w:tr>
          </w:tbl>
          <w:p w14:paraId="4EFBF08B">
            <w:pPr>
              <w:adjustRightInd w:val="0"/>
              <w:snapToGrid w:val="0"/>
              <w:spacing w:before="156" w:beforeLines="50" w:line="360" w:lineRule="auto"/>
              <w:jc w:val="center"/>
              <w:rPr>
                <w:b/>
                <w:sz w:val="24"/>
              </w:rPr>
            </w:pPr>
            <w:r>
              <w:rPr>
                <w:rFonts w:hint="eastAsia"/>
                <w:b/>
                <w:sz w:val="24"/>
              </w:rPr>
              <w:t>表3</w:t>
            </w:r>
            <w:r>
              <w:rPr>
                <w:rFonts w:hint="eastAsia"/>
                <w:b/>
                <w:sz w:val="24"/>
                <w:lang w:val="en-US" w:eastAsia="zh-CN"/>
              </w:rPr>
              <w:t>-8</w:t>
            </w:r>
            <w:r>
              <w:rPr>
                <w:rFonts w:hint="eastAsia"/>
                <w:b/>
                <w:sz w:val="24"/>
              </w:rPr>
              <w:t xml:space="preserve">  工业企业厂界环境噪声排放标准单位：dB（A）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771"/>
              <w:gridCol w:w="2474"/>
              <w:gridCol w:w="2042"/>
            </w:tblGrid>
            <w:tr w14:paraId="009938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37" w:type="dxa"/>
                  <w:tcBorders>
                    <w:top w:val="single" w:color="auto" w:sz="8" w:space="0"/>
                    <w:left w:val="single" w:color="auto" w:sz="8" w:space="0"/>
                    <w:bottom w:val="single" w:color="auto" w:sz="8" w:space="0"/>
                  </w:tcBorders>
                  <w:vAlign w:val="center"/>
                </w:tcPr>
                <w:p w14:paraId="342626F0">
                  <w:pPr>
                    <w:autoSpaceDE w:val="0"/>
                    <w:autoSpaceDN w:val="0"/>
                    <w:adjustRightInd w:val="0"/>
                    <w:snapToGrid w:val="0"/>
                    <w:spacing w:before="93" w:beforeLines="30"/>
                    <w:jc w:val="center"/>
                    <w:rPr>
                      <w:bCs/>
                      <w:szCs w:val="21"/>
                      <w:lang w:val="zh-CN"/>
                    </w:rPr>
                  </w:pPr>
                  <w:r>
                    <w:rPr>
                      <w:bCs/>
                      <w:szCs w:val="21"/>
                      <w:lang w:val="zh-CN"/>
                    </w:rPr>
                    <w:t>声环境功能区类别</w:t>
                  </w:r>
                </w:p>
              </w:tc>
              <w:tc>
                <w:tcPr>
                  <w:tcW w:w="2452" w:type="dxa"/>
                  <w:tcBorders>
                    <w:top w:val="single" w:color="auto" w:sz="8" w:space="0"/>
                    <w:bottom w:val="single" w:color="auto" w:sz="8" w:space="0"/>
                  </w:tcBorders>
                  <w:vAlign w:val="center"/>
                </w:tcPr>
                <w:p w14:paraId="22BEE4D3">
                  <w:pPr>
                    <w:autoSpaceDE w:val="0"/>
                    <w:autoSpaceDN w:val="0"/>
                    <w:adjustRightInd w:val="0"/>
                    <w:snapToGrid w:val="0"/>
                    <w:spacing w:before="93" w:beforeLines="30"/>
                    <w:jc w:val="center"/>
                    <w:rPr>
                      <w:bCs/>
                      <w:szCs w:val="21"/>
                      <w:lang w:val="zh-CN"/>
                    </w:rPr>
                  </w:pPr>
                  <w:r>
                    <w:rPr>
                      <w:bCs/>
                      <w:szCs w:val="21"/>
                      <w:lang w:val="zh-CN"/>
                    </w:rPr>
                    <w:t>昼间</w:t>
                  </w:r>
                </w:p>
              </w:tc>
              <w:tc>
                <w:tcPr>
                  <w:tcW w:w="2023" w:type="dxa"/>
                  <w:tcBorders>
                    <w:top w:val="single" w:color="auto" w:sz="8" w:space="0"/>
                    <w:bottom w:val="single" w:color="auto" w:sz="8" w:space="0"/>
                    <w:right w:val="single" w:color="auto" w:sz="8" w:space="0"/>
                  </w:tcBorders>
                  <w:vAlign w:val="center"/>
                </w:tcPr>
                <w:p w14:paraId="53BC0A77">
                  <w:pPr>
                    <w:autoSpaceDE w:val="0"/>
                    <w:autoSpaceDN w:val="0"/>
                    <w:adjustRightInd w:val="0"/>
                    <w:snapToGrid w:val="0"/>
                    <w:spacing w:before="93" w:beforeLines="30"/>
                    <w:jc w:val="center"/>
                    <w:rPr>
                      <w:bCs/>
                      <w:szCs w:val="21"/>
                      <w:lang w:val="zh-CN"/>
                    </w:rPr>
                  </w:pPr>
                  <w:r>
                    <w:rPr>
                      <w:bCs/>
                      <w:szCs w:val="21"/>
                      <w:lang w:val="zh-CN"/>
                    </w:rPr>
                    <w:t>夜间</w:t>
                  </w:r>
                </w:p>
              </w:tc>
            </w:tr>
            <w:tr w14:paraId="5E6E1A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737" w:type="dxa"/>
                  <w:tcBorders>
                    <w:top w:val="single" w:color="auto" w:sz="8" w:space="0"/>
                    <w:left w:val="single" w:color="auto" w:sz="8" w:space="0"/>
                    <w:bottom w:val="single" w:color="auto" w:sz="8" w:space="0"/>
                  </w:tcBorders>
                  <w:vAlign w:val="center"/>
                </w:tcPr>
                <w:p w14:paraId="6047B865">
                  <w:pPr>
                    <w:autoSpaceDE w:val="0"/>
                    <w:autoSpaceDN w:val="0"/>
                    <w:adjustRightInd w:val="0"/>
                    <w:snapToGrid w:val="0"/>
                    <w:jc w:val="center"/>
                    <w:rPr>
                      <w:bCs/>
                      <w:szCs w:val="21"/>
                    </w:rPr>
                  </w:pPr>
                  <w:r>
                    <w:rPr>
                      <w:rFonts w:hint="eastAsia"/>
                      <w:bCs/>
                      <w:szCs w:val="21"/>
                      <w:lang w:val="en-US" w:eastAsia="zh-CN"/>
                    </w:rPr>
                    <w:t>2</w:t>
                  </w:r>
                  <w:r>
                    <w:rPr>
                      <w:bCs/>
                      <w:szCs w:val="21"/>
                      <w:lang w:val="zh-CN"/>
                    </w:rPr>
                    <w:t>类</w:t>
                  </w:r>
                </w:p>
              </w:tc>
              <w:tc>
                <w:tcPr>
                  <w:tcW w:w="2452" w:type="dxa"/>
                  <w:tcBorders>
                    <w:top w:val="single" w:color="auto" w:sz="8" w:space="0"/>
                    <w:bottom w:val="single" w:color="auto" w:sz="8" w:space="0"/>
                  </w:tcBorders>
                  <w:vAlign w:val="center"/>
                </w:tcPr>
                <w:p w14:paraId="25A4B389">
                  <w:pPr>
                    <w:autoSpaceDE w:val="0"/>
                    <w:autoSpaceDN w:val="0"/>
                    <w:adjustRightInd w:val="0"/>
                    <w:snapToGrid w:val="0"/>
                    <w:jc w:val="center"/>
                    <w:rPr>
                      <w:rFonts w:hint="default" w:eastAsia="宋体"/>
                      <w:bCs/>
                      <w:szCs w:val="21"/>
                      <w:lang w:val="en-US" w:eastAsia="zh-CN"/>
                    </w:rPr>
                  </w:pPr>
                  <w:r>
                    <w:rPr>
                      <w:rFonts w:hint="eastAsia"/>
                      <w:bCs/>
                      <w:szCs w:val="21"/>
                      <w:lang w:val="en-US" w:eastAsia="zh-CN"/>
                    </w:rPr>
                    <w:t>60</w:t>
                  </w:r>
                </w:p>
              </w:tc>
              <w:tc>
                <w:tcPr>
                  <w:tcW w:w="2023" w:type="dxa"/>
                  <w:tcBorders>
                    <w:top w:val="single" w:color="auto" w:sz="8" w:space="0"/>
                    <w:bottom w:val="single" w:color="auto" w:sz="8" w:space="0"/>
                    <w:right w:val="single" w:color="auto" w:sz="8" w:space="0"/>
                  </w:tcBorders>
                  <w:vAlign w:val="center"/>
                </w:tcPr>
                <w:p w14:paraId="60956733">
                  <w:pPr>
                    <w:autoSpaceDE w:val="0"/>
                    <w:autoSpaceDN w:val="0"/>
                    <w:adjustRightInd w:val="0"/>
                    <w:snapToGrid w:val="0"/>
                    <w:jc w:val="center"/>
                    <w:rPr>
                      <w:rFonts w:hint="default" w:eastAsia="宋体"/>
                      <w:bCs/>
                      <w:szCs w:val="21"/>
                      <w:lang w:val="en-US" w:eastAsia="zh-CN"/>
                    </w:rPr>
                  </w:pPr>
                  <w:r>
                    <w:rPr>
                      <w:rFonts w:hint="eastAsia"/>
                      <w:bCs/>
                      <w:szCs w:val="21"/>
                      <w:lang w:val="en-US" w:eastAsia="zh-CN"/>
                    </w:rPr>
                    <w:t>50</w:t>
                  </w:r>
                </w:p>
              </w:tc>
            </w:tr>
          </w:tbl>
          <w:p w14:paraId="55E70A82">
            <w:pPr>
              <w:adjustRightInd w:val="0"/>
              <w:snapToGrid w:val="0"/>
              <w:spacing w:before="156" w:beforeLines="50" w:line="360" w:lineRule="auto"/>
              <w:jc w:val="left"/>
              <w:rPr>
                <w:b/>
                <w:bCs/>
                <w:kern w:val="0"/>
                <w:sz w:val="24"/>
              </w:rPr>
            </w:pPr>
            <w:r>
              <w:rPr>
                <w:b/>
                <w:bCs/>
                <w:kern w:val="0"/>
                <w:sz w:val="24"/>
              </w:rPr>
              <w:t>4、固废排放标准</w:t>
            </w:r>
          </w:p>
          <w:p w14:paraId="2890F132">
            <w:pPr>
              <w:adjustRightInd w:val="0"/>
              <w:snapToGrid w:val="0"/>
              <w:spacing w:line="360" w:lineRule="auto"/>
              <w:ind w:firstLine="480" w:firstLineChars="200"/>
              <w:jc w:val="left"/>
              <w:rPr>
                <w:kern w:val="0"/>
                <w:sz w:val="24"/>
              </w:rPr>
            </w:pPr>
            <w:r>
              <w:rPr>
                <w:kern w:val="0"/>
                <w:sz w:val="24"/>
              </w:rPr>
              <w:t>一般固废参照执行《一般工业固体废物贮存</w:t>
            </w:r>
            <w:r>
              <w:rPr>
                <w:rFonts w:hint="eastAsia"/>
                <w:kern w:val="0"/>
                <w:sz w:val="24"/>
              </w:rPr>
              <w:t>和填埋污染控制标准</w:t>
            </w:r>
            <w:r>
              <w:rPr>
                <w:kern w:val="0"/>
                <w:sz w:val="24"/>
              </w:rPr>
              <w:t>》（GB18599-20</w:t>
            </w:r>
            <w:r>
              <w:rPr>
                <w:rFonts w:hint="eastAsia"/>
                <w:kern w:val="0"/>
                <w:sz w:val="24"/>
              </w:rPr>
              <w:t>20</w:t>
            </w:r>
            <w:r>
              <w:rPr>
                <w:kern w:val="0"/>
                <w:sz w:val="24"/>
              </w:rPr>
              <w:t>）中的相关规定。危险废物执行《危险废物贮存污染控制标</w:t>
            </w:r>
            <w:r>
              <w:rPr>
                <w:rFonts w:hint="eastAsia"/>
                <w:kern w:val="0"/>
                <w:sz w:val="24"/>
              </w:rPr>
              <w:t>准》</w:t>
            </w:r>
            <w:r>
              <w:rPr>
                <w:kern w:val="0"/>
                <w:sz w:val="24"/>
              </w:rPr>
              <w:t>（GB18597-20</w:t>
            </w:r>
            <w:r>
              <w:rPr>
                <w:rFonts w:hint="eastAsia"/>
                <w:kern w:val="0"/>
                <w:sz w:val="24"/>
              </w:rPr>
              <w:t>23</w:t>
            </w:r>
            <w:r>
              <w:rPr>
                <w:kern w:val="0"/>
                <w:sz w:val="24"/>
              </w:rPr>
              <w:t>）中的相关规定。</w:t>
            </w:r>
          </w:p>
          <w:p w14:paraId="5C36CAF4">
            <w:pPr>
              <w:adjustRightInd w:val="0"/>
              <w:spacing w:line="360" w:lineRule="auto"/>
              <w:ind w:firstLine="480" w:firstLineChars="200"/>
              <w:rPr>
                <w:sz w:val="24"/>
              </w:rPr>
            </w:pPr>
          </w:p>
          <w:p w14:paraId="4C9DCCD5">
            <w:pPr>
              <w:adjustRightInd w:val="0"/>
              <w:snapToGrid w:val="0"/>
              <w:spacing w:line="360" w:lineRule="auto"/>
              <w:ind w:firstLine="480" w:firstLineChars="200"/>
              <w:jc w:val="left"/>
              <w:rPr>
                <w:kern w:val="0"/>
                <w:sz w:val="24"/>
              </w:rPr>
            </w:pPr>
          </w:p>
          <w:p w14:paraId="24A8CE94">
            <w:pPr>
              <w:adjustRightInd w:val="0"/>
              <w:snapToGrid w:val="0"/>
              <w:jc w:val="center"/>
              <w:rPr>
                <w:kern w:val="0"/>
                <w:szCs w:val="21"/>
              </w:rPr>
            </w:pPr>
          </w:p>
          <w:p w14:paraId="7D53DC77">
            <w:pPr>
              <w:adjustRightInd w:val="0"/>
              <w:snapToGrid w:val="0"/>
              <w:jc w:val="center"/>
              <w:rPr>
                <w:kern w:val="0"/>
                <w:szCs w:val="21"/>
              </w:rPr>
            </w:pPr>
          </w:p>
          <w:p w14:paraId="12F65DC4">
            <w:pPr>
              <w:adjustRightInd w:val="0"/>
              <w:snapToGrid w:val="0"/>
              <w:jc w:val="center"/>
              <w:rPr>
                <w:kern w:val="0"/>
                <w:szCs w:val="21"/>
              </w:rPr>
            </w:pPr>
          </w:p>
          <w:p w14:paraId="210CA782">
            <w:pPr>
              <w:adjustRightInd w:val="0"/>
              <w:snapToGrid w:val="0"/>
              <w:jc w:val="center"/>
              <w:rPr>
                <w:kern w:val="0"/>
                <w:szCs w:val="21"/>
              </w:rPr>
            </w:pPr>
          </w:p>
          <w:p w14:paraId="0D6DC3B8">
            <w:pPr>
              <w:adjustRightInd w:val="0"/>
              <w:snapToGrid w:val="0"/>
              <w:jc w:val="center"/>
              <w:rPr>
                <w:kern w:val="0"/>
                <w:szCs w:val="21"/>
              </w:rPr>
            </w:pPr>
          </w:p>
          <w:p w14:paraId="02871AC9">
            <w:pPr>
              <w:adjustRightInd w:val="0"/>
              <w:snapToGrid w:val="0"/>
              <w:jc w:val="center"/>
              <w:rPr>
                <w:kern w:val="0"/>
                <w:szCs w:val="21"/>
              </w:rPr>
            </w:pPr>
          </w:p>
          <w:p w14:paraId="252FAFD3">
            <w:pPr>
              <w:adjustRightInd w:val="0"/>
              <w:snapToGrid w:val="0"/>
              <w:jc w:val="center"/>
              <w:rPr>
                <w:kern w:val="0"/>
                <w:szCs w:val="21"/>
              </w:rPr>
            </w:pPr>
          </w:p>
          <w:p w14:paraId="39E7EA4C">
            <w:pPr>
              <w:pStyle w:val="33"/>
              <w:rPr>
                <w:color w:val="auto"/>
                <w:kern w:val="0"/>
                <w:szCs w:val="21"/>
              </w:rPr>
            </w:pPr>
          </w:p>
          <w:p w14:paraId="0DDFBF54">
            <w:pPr>
              <w:pStyle w:val="9"/>
              <w:rPr>
                <w:szCs w:val="21"/>
              </w:rPr>
            </w:pPr>
          </w:p>
          <w:p w14:paraId="61C1E445">
            <w:pPr>
              <w:rPr>
                <w:kern w:val="0"/>
                <w:szCs w:val="21"/>
              </w:rPr>
            </w:pPr>
          </w:p>
          <w:p w14:paraId="09BCFF08">
            <w:pPr>
              <w:pStyle w:val="33"/>
              <w:rPr>
                <w:color w:val="auto"/>
                <w:kern w:val="0"/>
                <w:szCs w:val="21"/>
              </w:rPr>
            </w:pPr>
          </w:p>
          <w:p w14:paraId="15888601">
            <w:pPr>
              <w:pStyle w:val="9"/>
              <w:rPr>
                <w:szCs w:val="21"/>
              </w:rPr>
            </w:pPr>
          </w:p>
          <w:p w14:paraId="48A536FA">
            <w:pPr>
              <w:rPr>
                <w:kern w:val="0"/>
                <w:szCs w:val="21"/>
              </w:rPr>
            </w:pPr>
          </w:p>
          <w:p w14:paraId="106665D3">
            <w:pPr>
              <w:pStyle w:val="33"/>
              <w:rPr>
                <w:color w:val="auto"/>
              </w:rPr>
            </w:pPr>
          </w:p>
          <w:p w14:paraId="08689099">
            <w:pPr>
              <w:adjustRightInd w:val="0"/>
              <w:snapToGrid w:val="0"/>
              <w:jc w:val="center"/>
              <w:rPr>
                <w:kern w:val="0"/>
                <w:szCs w:val="21"/>
              </w:rPr>
            </w:pPr>
          </w:p>
          <w:p w14:paraId="0775CFF6">
            <w:pPr>
              <w:adjustRightInd w:val="0"/>
              <w:snapToGrid w:val="0"/>
              <w:jc w:val="center"/>
              <w:rPr>
                <w:kern w:val="0"/>
                <w:szCs w:val="21"/>
              </w:rPr>
            </w:pPr>
          </w:p>
          <w:p w14:paraId="542BFF92">
            <w:pPr>
              <w:adjustRightInd w:val="0"/>
              <w:snapToGrid w:val="0"/>
              <w:jc w:val="center"/>
              <w:rPr>
                <w:kern w:val="0"/>
                <w:szCs w:val="21"/>
              </w:rPr>
            </w:pPr>
          </w:p>
          <w:p w14:paraId="21765595">
            <w:pPr>
              <w:adjustRightInd w:val="0"/>
              <w:snapToGrid w:val="0"/>
              <w:rPr>
                <w:kern w:val="0"/>
                <w:szCs w:val="21"/>
              </w:rPr>
            </w:pPr>
          </w:p>
        </w:tc>
      </w:tr>
      <w:tr w14:paraId="44C40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14" w:hRule="atLeast"/>
          <w:jc w:val="center"/>
        </w:trPr>
        <w:tc>
          <w:tcPr>
            <w:tcW w:w="567" w:type="dxa"/>
            <w:tcBorders>
              <w:tl2br w:val="nil"/>
              <w:tr2bl w:val="nil"/>
            </w:tcBorders>
            <w:vAlign w:val="center"/>
          </w:tcPr>
          <w:p w14:paraId="2B4490DE">
            <w:pPr>
              <w:adjustRightInd w:val="0"/>
              <w:snapToGrid w:val="0"/>
              <w:jc w:val="center"/>
              <w:rPr>
                <w:color w:val="auto"/>
                <w:kern w:val="0"/>
                <w:sz w:val="24"/>
                <w:highlight w:val="none"/>
              </w:rPr>
            </w:pPr>
            <w:r>
              <w:rPr>
                <w:color w:val="auto"/>
                <w:kern w:val="0"/>
                <w:sz w:val="24"/>
                <w:highlight w:val="none"/>
              </w:rPr>
              <w:t>总量</w:t>
            </w:r>
          </w:p>
          <w:p w14:paraId="16751813">
            <w:pPr>
              <w:adjustRightInd w:val="0"/>
              <w:snapToGrid w:val="0"/>
              <w:jc w:val="center"/>
              <w:rPr>
                <w:color w:val="auto"/>
                <w:kern w:val="0"/>
                <w:sz w:val="24"/>
                <w:highlight w:val="none"/>
              </w:rPr>
            </w:pPr>
            <w:r>
              <w:rPr>
                <w:color w:val="auto"/>
                <w:kern w:val="0"/>
                <w:sz w:val="24"/>
                <w:highlight w:val="none"/>
              </w:rPr>
              <w:t>控制</w:t>
            </w:r>
          </w:p>
          <w:p w14:paraId="4E7910FD">
            <w:pPr>
              <w:adjustRightInd w:val="0"/>
              <w:snapToGrid w:val="0"/>
              <w:jc w:val="center"/>
              <w:rPr>
                <w:color w:val="auto"/>
                <w:kern w:val="0"/>
                <w:sz w:val="24"/>
                <w:highlight w:val="none"/>
              </w:rPr>
            </w:pPr>
            <w:r>
              <w:rPr>
                <w:color w:val="auto"/>
                <w:kern w:val="0"/>
                <w:sz w:val="24"/>
                <w:highlight w:val="none"/>
              </w:rPr>
              <w:t>指标</w:t>
            </w:r>
          </w:p>
        </w:tc>
        <w:tc>
          <w:tcPr>
            <w:tcW w:w="8539" w:type="dxa"/>
            <w:tcBorders>
              <w:tl2br w:val="nil"/>
              <w:tr2bl w:val="nil"/>
            </w:tcBorders>
            <w:vAlign w:val="center"/>
          </w:tcPr>
          <w:p w14:paraId="1F2FCCEC">
            <w:pPr>
              <w:adjustRightInd w:val="0"/>
              <w:snapToGrid w:val="0"/>
              <w:spacing w:line="360" w:lineRule="auto"/>
              <w:ind w:firstLine="480" w:firstLineChars="200"/>
              <w:jc w:val="left"/>
              <w:rPr>
                <w:color w:val="auto"/>
                <w:sz w:val="24"/>
                <w:highlight w:val="none"/>
              </w:rPr>
            </w:pPr>
            <w:r>
              <w:rPr>
                <w:color w:val="auto"/>
                <w:sz w:val="24"/>
                <w:highlight w:val="none"/>
              </w:rPr>
              <w:t>《关于进一步加强建设项目新增大气主要污染物总量指标管理工作的通知》（安徽省环保厅（皖环发【2017】19号）：“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如下：</w:t>
            </w:r>
          </w:p>
          <w:p w14:paraId="22E00B33">
            <w:pPr>
              <w:adjustRightInd w:val="0"/>
              <w:snapToGrid w:val="0"/>
              <w:spacing w:line="360" w:lineRule="auto"/>
              <w:ind w:firstLine="480" w:firstLineChars="200"/>
              <w:rPr>
                <w:color w:val="auto"/>
                <w:sz w:val="24"/>
                <w:highlight w:val="none"/>
              </w:rPr>
            </w:pPr>
            <w:r>
              <w:rPr>
                <w:color w:val="auto"/>
                <w:sz w:val="24"/>
                <w:highlight w:val="none"/>
              </w:rPr>
              <w:t>自2017年04月起，新增大气主要污染物排放的建设项目环境影响评价文件审批前必须取得的总量指标从两项增加为四项。在二氧化硫（SO</w:t>
            </w:r>
            <w:r>
              <w:rPr>
                <w:color w:val="auto"/>
                <w:sz w:val="24"/>
                <w:highlight w:val="none"/>
                <w:vertAlign w:val="subscript"/>
              </w:rPr>
              <w:t>2</w:t>
            </w:r>
            <w:r>
              <w:rPr>
                <w:color w:val="auto"/>
                <w:sz w:val="24"/>
                <w:highlight w:val="none"/>
              </w:rPr>
              <w:t>）、氮氧化物（NO</w:t>
            </w:r>
            <w:r>
              <w:rPr>
                <w:color w:val="auto"/>
                <w:sz w:val="24"/>
                <w:highlight w:val="none"/>
                <w:vertAlign w:val="subscript"/>
              </w:rPr>
              <w:t>x</w:t>
            </w:r>
            <w:r>
              <w:rPr>
                <w:color w:val="auto"/>
                <w:sz w:val="24"/>
                <w:highlight w:val="none"/>
              </w:rPr>
              <w:t>）的基础上增加烟（粉）尘、挥发性有机物（VOCs）两项指标。</w:t>
            </w:r>
          </w:p>
          <w:p w14:paraId="46563414">
            <w:pPr>
              <w:snapToGrid w:val="0"/>
              <w:spacing w:line="360" w:lineRule="auto"/>
              <w:ind w:firstLine="480" w:firstLineChars="200"/>
              <w:rPr>
                <w:color w:val="auto"/>
                <w:sz w:val="24"/>
                <w:highlight w:val="none"/>
              </w:rPr>
            </w:pPr>
            <w:r>
              <w:rPr>
                <w:rFonts w:hint="eastAsia"/>
                <w:color w:val="auto"/>
                <w:sz w:val="24"/>
                <w:highlight w:val="none"/>
              </w:rPr>
              <w:t>项目搅拌用水、固化剂配比用水所用水全部进入物料，无废水外排；免烧砖自然养护用水自然蒸发不外排；</w:t>
            </w:r>
            <w:r>
              <w:rPr>
                <w:rFonts w:hint="eastAsia"/>
                <w:color w:val="auto"/>
                <w:sz w:val="24"/>
                <w:highlight w:val="none"/>
                <w:lang w:eastAsia="zh-CN"/>
              </w:rPr>
              <w:t>降尘</w:t>
            </w:r>
            <w:r>
              <w:rPr>
                <w:rFonts w:hint="eastAsia"/>
                <w:color w:val="auto"/>
                <w:sz w:val="24"/>
                <w:highlight w:val="none"/>
              </w:rPr>
              <w:t>用水自然蒸发不外排；设备清洗废水、车辆清洗废水经沉淀池沉淀处理后回用于搅拌工序，无废水外排；生活污水经化粪池处理后定期清掏不外排；初期雨水经收集后全部回用于搅拌工序。</w:t>
            </w:r>
          </w:p>
          <w:p w14:paraId="12BDAD45">
            <w:pPr>
              <w:snapToGrid w:val="0"/>
              <w:spacing w:line="360" w:lineRule="auto"/>
              <w:ind w:firstLine="480" w:firstLineChars="200"/>
              <w:rPr>
                <w:rFonts w:hint="default" w:eastAsia="宋体"/>
                <w:b/>
                <w:color w:val="auto"/>
                <w:sz w:val="24"/>
                <w:highlight w:val="none"/>
                <w:lang w:val="en-US" w:eastAsia="zh-CN"/>
              </w:rPr>
            </w:pPr>
            <w:r>
              <w:rPr>
                <w:color w:val="auto"/>
                <w:sz w:val="24"/>
                <w:highlight w:val="none"/>
              </w:rPr>
              <w:t>根据主要环境影响和保护措施分析计算，</w:t>
            </w:r>
            <w:r>
              <w:rPr>
                <w:rFonts w:hint="eastAsia"/>
                <w:color w:val="auto"/>
                <w:sz w:val="24"/>
                <w:highlight w:val="none"/>
              </w:rPr>
              <w:t>安徽红跃环保科技有限公司宿州分公司道路建养材料生产项目(年产4000万块高速护坡砖、1000万块各类生态路面环保砖)新增主要污染物排放总量控制目标为:颗粒物 1.22 吨/年。</w:t>
            </w:r>
            <w:r>
              <w:rPr>
                <w:rFonts w:hint="eastAsia"/>
                <w:color w:val="auto"/>
                <w:sz w:val="24"/>
                <w:highlight w:val="none"/>
                <w:lang w:val="en-US" w:eastAsia="zh-CN"/>
              </w:rPr>
              <w:t>道路建养材料生产项目工程实际排放量0.06t/a，经核算</w:t>
            </w:r>
            <w:r>
              <w:rPr>
                <w:rFonts w:hint="eastAsia" w:ascii="Times New Roman" w:hAnsi="Times New Roman" w:cs="Times New Roman"/>
                <w:color w:val="auto"/>
                <w:sz w:val="24"/>
                <w:highlight w:val="none"/>
                <w:lang w:eastAsia="zh-CN"/>
              </w:rPr>
              <w:t>道路建养材料技术改造项目需总量</w:t>
            </w:r>
            <w:r>
              <w:rPr>
                <w:rFonts w:hint="eastAsia" w:ascii="Times New Roman" w:hAnsi="Times New Roman" w:cs="Times New Roman"/>
                <w:color w:val="auto"/>
                <w:sz w:val="24"/>
                <w:highlight w:val="none"/>
                <w:lang w:val="en-US" w:eastAsia="zh-CN"/>
              </w:rPr>
              <w:t>0.4</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38t/a，故总量能满足需求。</w:t>
            </w:r>
          </w:p>
          <w:p w14:paraId="5C47E6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highlight w:val="none"/>
              </w:rPr>
            </w:pPr>
            <w:r>
              <w:rPr>
                <w:rFonts w:hint="default" w:ascii="Times New Roman" w:hAnsi="Times New Roman" w:eastAsia="宋体" w:cs="Times New Roman"/>
                <w:color w:val="auto"/>
                <w:kern w:val="0"/>
                <w:sz w:val="24"/>
                <w:szCs w:val="24"/>
                <w:highlight w:val="none"/>
                <w:lang w:eastAsia="zh-CN"/>
              </w:rPr>
              <w:t>项目已于</w:t>
            </w:r>
            <w:r>
              <w:rPr>
                <w:rFonts w:hint="eastAsia" w:cs="Times New Roman"/>
                <w:color w:val="auto"/>
                <w:kern w:val="0"/>
                <w:sz w:val="24"/>
                <w:szCs w:val="24"/>
                <w:highlight w:val="none"/>
                <w:lang w:val="en-US" w:eastAsia="zh-CN"/>
              </w:rPr>
              <w:t>2023</w:t>
            </w:r>
            <w:r>
              <w:rPr>
                <w:rFonts w:hint="default" w:ascii="Times New Roman" w:hAnsi="Times New Roman" w:eastAsia="宋体" w:cs="Times New Roman"/>
                <w:color w:val="auto"/>
                <w:kern w:val="0"/>
                <w:sz w:val="24"/>
                <w:szCs w:val="24"/>
                <w:highlight w:val="none"/>
                <w:lang w:val="en-US" w:eastAsia="zh-CN"/>
              </w:rPr>
              <w:t>年</w:t>
            </w:r>
            <w:r>
              <w:rPr>
                <w:rFonts w:hint="eastAsia"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月取得宿州市生态环境局核发的</w:t>
            </w:r>
            <w:r>
              <w:rPr>
                <w:rFonts w:hint="eastAsia" w:ascii="宋体" w:hAnsi="宋体" w:eastAsia="宋体" w:cs="宋体"/>
                <w:color w:val="auto"/>
                <w:kern w:val="0"/>
                <w:sz w:val="24"/>
                <w:szCs w:val="24"/>
                <w:highlight w:val="none"/>
                <w:lang w:val="en-US" w:eastAsia="zh-CN"/>
              </w:rPr>
              <w:t>“建设项目主要污染物排放总量指标核定表”，</w:t>
            </w:r>
            <w:r>
              <w:rPr>
                <w:color w:val="auto"/>
                <w:sz w:val="24"/>
                <w:highlight w:val="none"/>
              </w:rPr>
              <w:t>所需总量指标从</w:t>
            </w:r>
            <w:r>
              <w:rPr>
                <w:rFonts w:hint="eastAsia"/>
                <w:color w:val="auto"/>
                <w:sz w:val="24"/>
                <w:highlight w:val="none"/>
                <w:lang w:eastAsia="zh-CN"/>
              </w:rPr>
              <w:t>宿州市埇桥区桃园镇关闭的东坪窑厂中调剂</w:t>
            </w:r>
            <w:r>
              <w:rPr>
                <w:rFonts w:hint="eastAsia"/>
                <w:color w:val="auto"/>
                <w:sz w:val="24"/>
                <w:highlight w:val="none"/>
              </w:rPr>
              <w:t>，符合总量指标要求</w:t>
            </w:r>
            <w:r>
              <w:rPr>
                <w:color w:val="auto"/>
                <w:sz w:val="24"/>
                <w:highlight w:val="none"/>
              </w:rPr>
              <w:t>。</w:t>
            </w:r>
          </w:p>
          <w:p w14:paraId="468EDF90">
            <w:pPr>
              <w:pStyle w:val="14"/>
              <w:rPr>
                <w:color w:val="auto"/>
                <w:highlight w:val="none"/>
              </w:rPr>
            </w:pPr>
          </w:p>
        </w:tc>
      </w:tr>
    </w:tbl>
    <w:p w14:paraId="1635FA53">
      <w:pPr>
        <w:pStyle w:val="24"/>
        <w:snapToGrid w:val="0"/>
        <w:spacing w:before="0" w:beforeAutospacing="0" w:after="0" w:afterAutospacing="0" w:line="360" w:lineRule="auto"/>
        <w:jc w:val="center"/>
        <w:outlineLvl w:val="0"/>
        <w:rPr>
          <w:rFonts w:ascii="Times New Roman" w:hAnsi="Times New Roman"/>
          <w:b/>
          <w:bCs/>
          <w:sz w:val="30"/>
          <w:szCs w:val="30"/>
        </w:rPr>
      </w:pPr>
      <w:r>
        <w:rPr>
          <w:rFonts w:ascii="Times New Roman" w:hAnsi="Times New Roman"/>
          <w:sz w:val="36"/>
          <w:szCs w:val="36"/>
        </w:rPr>
        <w:br w:type="page"/>
      </w:r>
      <w:r>
        <w:rPr>
          <w:rFonts w:ascii="Times New Roman" w:hAnsi="Times New Roman"/>
          <w:b/>
          <w:bCs/>
          <w:sz w:val="30"/>
          <w:szCs w:val="30"/>
        </w:rPr>
        <w:t>四、主要环境影响和保护措施</w:t>
      </w:r>
    </w:p>
    <w:tbl>
      <w:tblPr>
        <w:tblStyle w:val="27"/>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437"/>
      </w:tblGrid>
      <w:tr w14:paraId="7DAD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47" w:hRule="atLeast"/>
          <w:jc w:val="center"/>
        </w:trPr>
        <w:tc>
          <w:tcPr>
            <w:tcW w:w="554" w:type="dxa"/>
            <w:tcBorders>
              <w:tl2br w:val="nil"/>
              <w:tr2bl w:val="nil"/>
            </w:tcBorders>
            <w:tcMar>
              <w:left w:w="28" w:type="dxa"/>
              <w:right w:w="28" w:type="dxa"/>
            </w:tcMar>
            <w:vAlign w:val="center"/>
          </w:tcPr>
          <w:p w14:paraId="0779F7A0">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施</w:t>
            </w:r>
          </w:p>
          <w:p w14:paraId="28278A3E">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w:t>
            </w:r>
          </w:p>
          <w:p w14:paraId="3CB2C1DE">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期</w:t>
            </w:r>
          </w:p>
          <w:p w14:paraId="206E6625">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环</w:t>
            </w:r>
          </w:p>
          <w:p w14:paraId="35E19F85">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境</w:t>
            </w:r>
          </w:p>
          <w:p w14:paraId="2A9B7CFD">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保</w:t>
            </w:r>
          </w:p>
          <w:p w14:paraId="4BD2A036">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护</w:t>
            </w:r>
          </w:p>
          <w:p w14:paraId="3EC0B117">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措</w:t>
            </w:r>
          </w:p>
          <w:p w14:paraId="34F23513">
            <w:pPr>
              <w:pStyle w:val="24"/>
              <w:adjustRightInd w:val="0"/>
              <w:snapToGrid w:val="0"/>
              <w:spacing w:before="0" w:beforeAutospacing="0" w:after="0" w:afterAutospacing="0"/>
              <w:jc w:val="center"/>
              <w:rPr>
                <w:rFonts w:ascii="Times New Roman" w:hAnsi="Times New Roman"/>
                <w:bCs/>
                <w:sz w:val="21"/>
                <w:szCs w:val="21"/>
              </w:rPr>
            </w:pPr>
            <w:r>
              <w:rPr>
                <w:rFonts w:ascii="Times New Roman" w:hAnsi="Times New Roman"/>
                <w:szCs w:val="24"/>
              </w:rPr>
              <w:t>施</w:t>
            </w:r>
          </w:p>
        </w:tc>
        <w:tc>
          <w:tcPr>
            <w:tcW w:w="8437" w:type="dxa"/>
            <w:tcBorders>
              <w:tl2br w:val="nil"/>
              <w:tr2bl w:val="nil"/>
            </w:tcBorders>
            <w:vAlign w:val="center"/>
          </w:tcPr>
          <w:p w14:paraId="7EC4B96A">
            <w:pPr>
              <w:keepNext w:val="0"/>
              <w:keepLines w:val="0"/>
              <w:pageBreakBefore w:val="0"/>
              <w:widowControl/>
              <w:kinsoku/>
              <w:wordWrap/>
              <w:overflowPunct/>
              <w:topLinePunct w:val="0"/>
              <w:autoSpaceDE/>
              <w:autoSpaceDN/>
              <w:bidi w:val="0"/>
              <w:adjustRightInd/>
              <w:snapToGrid w:val="0"/>
              <w:spacing w:before="157" w:beforeLines="5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color w:val="auto"/>
                <w:sz w:val="24"/>
              </w:rPr>
              <w:t>本项目厂房系租赁，主体工程已结束</w:t>
            </w:r>
            <w:r>
              <w:rPr>
                <w:rFonts w:hint="eastAsia"/>
                <w:color w:val="auto"/>
                <w:sz w:val="24"/>
                <w:lang w:eastAsia="zh-CN"/>
              </w:rPr>
              <w:t>，</w:t>
            </w:r>
            <w:r>
              <w:rPr>
                <w:rFonts w:hint="default" w:ascii="Times New Roman" w:hAnsi="Times New Roman" w:eastAsia="宋体" w:cs="Times New Roman"/>
                <w:color w:val="auto"/>
                <w:sz w:val="24"/>
                <w:szCs w:val="24"/>
                <w:lang w:val="en-US" w:eastAsia="zh-CN"/>
              </w:rPr>
              <w:t>项目施工期不涉及土建施工，仅进行简单的设备安装及各功能区布局，具体施工环境保护措施分析如下：</w:t>
            </w:r>
          </w:p>
          <w:p w14:paraId="0BCFCF8C">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1、废气防治措施</w:t>
            </w:r>
          </w:p>
          <w:p w14:paraId="3FAED978">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本项目不涉及土建工程，故施工过程中无施工扬尘，仅在施工过程中，施工机械会因为燃料的燃烧而产生一定的施工机械废气。一般施工机械燃料多为柴油，产生的废气中含有CO、NO、SO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等。该部分废气产生量极少，且产生时间有限。通过设备选型，控制燃料类型，选用清洁能源等方面，可有效减少施工机械废气产生。</w:t>
            </w:r>
          </w:p>
          <w:p w14:paraId="3C4AF1A8">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2、废水防治措施</w:t>
            </w:r>
          </w:p>
          <w:p w14:paraId="0F768BD3">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因涉及设备安装，故在施工期间，会产生施工人员生活污水。本项目施工期间，施工人数最多</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人，根据《建筑施工计算手册》中施工现场生活用水定额为20~60L/人·d，本项目取生活用水定额为40L/人·d，故施工期间生活用水量为0.</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/d，根据《给排水设计手册》，生活污水产生量按用水量的80%计，故施工过程中生活污水产生量为</w:t>
            </w:r>
            <w:r>
              <w:rPr>
                <w:rFonts w:hint="eastAsia" w:ascii="Times New Roman" w:hAnsi="Times New Roman" w:eastAsia="宋体" w:cs="Times New Roman"/>
                <w:color w:val="auto"/>
                <w:sz w:val="24"/>
                <w:szCs w:val="24"/>
                <w:highlight w:val="none"/>
                <w:lang w:val="en-US" w:eastAsia="zh-CN"/>
              </w:rPr>
              <w:t>0.256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/d，经化粪池处理后</w:t>
            </w:r>
            <w:r>
              <w:rPr>
                <w:rFonts w:hint="eastAsia" w:ascii="Times New Roman" w:hAnsi="Times New Roman" w:eastAsia="宋体" w:cs="Times New Roman"/>
                <w:color w:val="auto"/>
                <w:sz w:val="24"/>
                <w:szCs w:val="24"/>
                <w:highlight w:val="none"/>
                <w:lang w:val="en-US" w:eastAsia="zh-CN"/>
              </w:rPr>
              <w:t>进入市政管网</w:t>
            </w:r>
            <w:r>
              <w:rPr>
                <w:rFonts w:hint="default" w:ascii="Times New Roman" w:hAnsi="Times New Roman" w:eastAsia="宋体" w:cs="Times New Roman"/>
                <w:color w:val="auto"/>
                <w:sz w:val="24"/>
                <w:szCs w:val="24"/>
                <w:highlight w:val="none"/>
                <w:lang w:val="en-US" w:eastAsia="zh-CN"/>
              </w:rPr>
              <w:t>。</w:t>
            </w:r>
          </w:p>
          <w:p w14:paraId="4F131627">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3、噪声防治措施</w:t>
            </w:r>
          </w:p>
          <w:p w14:paraId="6FDDCB96">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本项目施工期不涉及基建项目，仅为简单的设备安装，故施工过程中的噪声为点焊接、吊车等，设备噪声源强较小，施工期场界噪声对周边影响较小。</w:t>
            </w:r>
          </w:p>
          <w:p w14:paraId="793595CB">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4、固体废物防治措施</w:t>
            </w:r>
          </w:p>
          <w:p w14:paraId="5CCE02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default" w:ascii="Times New Roman" w:hAnsi="Times New Roman" w:eastAsia="宋体" w:cs="Times New Roman"/>
                <w:color w:val="auto"/>
                <w:sz w:val="24"/>
                <w:szCs w:val="24"/>
                <w:lang w:val="en-US" w:eastAsia="zh-CN"/>
              </w:rPr>
              <w:t>施工期产生的固体废物主要是废弃的装修材料、设备安装边角料、材料包装箱、袋和生活垃圾等，上述垃圾由环卫统一清运处置，无随意倾倒现象，故不会对周围环境造成影响。</w:t>
            </w:r>
          </w:p>
          <w:p w14:paraId="3F14F760">
            <w:pPr>
              <w:adjustRightInd w:val="0"/>
              <w:snapToGrid w:val="0"/>
              <w:spacing w:line="360" w:lineRule="auto"/>
              <w:ind w:firstLine="420" w:firstLineChars="200"/>
              <w:jc w:val="left"/>
              <w:rPr>
                <w:bCs/>
                <w:kern w:val="0"/>
                <w:szCs w:val="21"/>
              </w:rPr>
            </w:pPr>
          </w:p>
        </w:tc>
      </w:tr>
      <w:tr w14:paraId="15A35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1" w:hRule="atLeast"/>
          <w:jc w:val="center"/>
        </w:trPr>
        <w:tc>
          <w:tcPr>
            <w:tcW w:w="554" w:type="dxa"/>
            <w:tcBorders>
              <w:tl2br w:val="nil"/>
              <w:tr2bl w:val="nil"/>
            </w:tcBorders>
            <w:tcMar>
              <w:left w:w="28" w:type="dxa"/>
              <w:right w:w="28" w:type="dxa"/>
            </w:tcMar>
            <w:vAlign w:val="center"/>
          </w:tcPr>
          <w:p w14:paraId="75697A6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运</w:t>
            </w:r>
          </w:p>
          <w:p w14:paraId="264B2A0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营</w:t>
            </w:r>
          </w:p>
          <w:p w14:paraId="77915AF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期</w:t>
            </w:r>
          </w:p>
          <w:p w14:paraId="2504823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w:t>
            </w:r>
          </w:p>
          <w:p w14:paraId="5F75FBF3">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境</w:t>
            </w:r>
          </w:p>
          <w:p w14:paraId="2F38E2F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影</w:t>
            </w:r>
          </w:p>
          <w:p w14:paraId="69F87E23">
            <w:pPr>
              <w:adjustRightInd w:val="0"/>
              <w:snapToGrid w:val="0"/>
              <w:jc w:val="center"/>
              <w:rPr>
                <w:rFonts w:hint="eastAsia"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响</w:t>
            </w:r>
          </w:p>
          <w:p w14:paraId="4C0FD85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和</w:t>
            </w:r>
          </w:p>
          <w:p w14:paraId="4296BB6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w:t>
            </w:r>
          </w:p>
          <w:p w14:paraId="5552159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护</w:t>
            </w:r>
          </w:p>
          <w:p w14:paraId="0F6ADA95">
            <w:pPr>
              <w:pStyle w:val="24"/>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措</w:t>
            </w:r>
          </w:p>
          <w:p w14:paraId="1E949D77">
            <w:pPr>
              <w:pStyle w:val="24"/>
              <w:adjustRightInd w:val="0"/>
              <w:snapToGrid w:val="0"/>
              <w:spacing w:before="0" w:beforeAutospacing="0" w:after="0" w:afterAutospacing="0"/>
              <w:jc w:val="center"/>
              <w:rPr>
                <w:rFonts w:ascii="Times New Roman" w:hAnsi="Times New Roman"/>
                <w:szCs w:val="24"/>
              </w:rPr>
            </w:pPr>
            <w:r>
              <w:rPr>
                <w:rFonts w:ascii="Times New Roman" w:hAnsi="Times New Roman"/>
                <w:color w:val="000000" w:themeColor="text1"/>
                <w:szCs w:val="24"/>
                <w14:textFill>
                  <w14:solidFill>
                    <w14:schemeClr w14:val="tx1"/>
                  </w14:solidFill>
                </w14:textFill>
              </w:rPr>
              <w:t>施</w:t>
            </w:r>
          </w:p>
        </w:tc>
        <w:tc>
          <w:tcPr>
            <w:tcW w:w="8437" w:type="dxa"/>
            <w:tcBorders>
              <w:tl2br w:val="nil"/>
              <w:tr2bl w:val="nil"/>
            </w:tcBorders>
          </w:tcPr>
          <w:p w14:paraId="52D64060">
            <w:pPr>
              <w:adjustRightInd w:val="0"/>
              <w:snapToGrid w:val="0"/>
              <w:spacing w:before="93" w:beforeLines="30" w:line="360" w:lineRule="auto"/>
              <w:jc w:val="left"/>
              <w:rPr>
                <w:b/>
                <w:bCs/>
                <w:sz w:val="24"/>
              </w:rPr>
            </w:pPr>
            <w:r>
              <w:rPr>
                <w:rFonts w:hint="eastAsia"/>
                <w:b/>
                <w:bCs/>
                <w:sz w:val="24"/>
              </w:rPr>
              <w:t>1、废气</w:t>
            </w:r>
          </w:p>
          <w:p w14:paraId="4516ED13">
            <w:pPr>
              <w:adjustRightInd w:val="0"/>
              <w:snapToGrid w:val="0"/>
              <w:spacing w:line="360" w:lineRule="auto"/>
              <w:ind w:firstLine="480" w:firstLineChars="200"/>
              <w:jc w:val="left"/>
              <w:rPr>
                <w:bCs/>
                <w:sz w:val="24"/>
              </w:rPr>
            </w:pPr>
            <w:r>
              <w:rPr>
                <w:sz w:val="24"/>
              </w:rPr>
              <w:t>本项目废气主要是来自</w:t>
            </w:r>
            <w:r>
              <w:rPr>
                <w:rFonts w:hint="eastAsia"/>
                <w:sz w:val="24"/>
                <w:lang w:eastAsia="zh-CN"/>
              </w:rPr>
              <w:t>原料装卸</w:t>
            </w:r>
            <w:r>
              <w:rPr>
                <w:sz w:val="24"/>
              </w:rPr>
              <w:t>废气</w:t>
            </w:r>
            <w:r>
              <w:rPr>
                <w:rFonts w:hint="eastAsia"/>
                <w:sz w:val="24"/>
              </w:rPr>
              <w:t>、</w:t>
            </w:r>
            <w:r>
              <w:rPr>
                <w:rFonts w:hint="eastAsia"/>
                <w:color w:val="auto"/>
                <w:sz w:val="24"/>
                <w:lang w:eastAsia="zh-CN"/>
              </w:rPr>
              <w:t>筒仓</w:t>
            </w:r>
            <w:r>
              <w:rPr>
                <w:rFonts w:hint="eastAsia"/>
                <w:color w:val="auto"/>
                <w:sz w:val="24"/>
              </w:rPr>
              <w:t>呼吸</w:t>
            </w:r>
            <w:r>
              <w:rPr>
                <w:rFonts w:hint="eastAsia"/>
                <w:color w:val="auto"/>
                <w:sz w:val="24"/>
                <w:lang w:eastAsia="zh-CN"/>
              </w:rPr>
              <w:t>废气</w:t>
            </w:r>
            <w:r>
              <w:rPr>
                <w:rFonts w:hint="eastAsia"/>
                <w:sz w:val="24"/>
              </w:rPr>
              <w:t>和</w:t>
            </w:r>
            <w:r>
              <w:rPr>
                <w:rFonts w:hint="eastAsia"/>
                <w:color w:val="auto"/>
                <w:sz w:val="24"/>
                <w:lang w:eastAsia="zh-CN"/>
              </w:rPr>
              <w:t>投料输送废气、搅拌废气、下料废气、破碎松散废气、不合格品破碎废气、污泥贮存废气等</w:t>
            </w:r>
            <w:r>
              <w:rPr>
                <w:rFonts w:hint="eastAsia"/>
                <w:sz w:val="24"/>
              </w:rPr>
              <w:t>。</w:t>
            </w:r>
          </w:p>
          <w:p w14:paraId="0920B36C">
            <w:pPr>
              <w:widowControl/>
              <w:adjustRightInd w:val="0"/>
              <w:snapToGrid w:val="0"/>
              <w:spacing w:line="360" w:lineRule="auto"/>
              <w:ind w:firstLine="482" w:firstLineChars="200"/>
              <w:rPr>
                <w:rFonts w:hint="default" w:ascii="Times New Roman" w:hAnsi="Times New Roman" w:eastAsia="宋体" w:cs="Times New Roman"/>
                <w:b/>
                <w:bCs w:val="0"/>
                <w:color w:val="auto"/>
                <w:sz w:val="24"/>
                <w:u w:val="none" w:color="auto"/>
              </w:rPr>
            </w:pPr>
            <w:r>
              <w:rPr>
                <w:rFonts w:hint="default" w:ascii="Times New Roman" w:hAnsi="Times New Roman" w:eastAsia="宋体" w:cs="Times New Roman"/>
                <w:b/>
                <w:bCs w:val="0"/>
                <w:color w:val="auto"/>
                <w:sz w:val="24"/>
                <w:u w:val="none" w:color="auto"/>
              </w:rPr>
              <w:t>（1）</w:t>
            </w:r>
            <w:r>
              <w:rPr>
                <w:rFonts w:hint="eastAsia" w:ascii="Times New Roman" w:hAnsi="Times New Roman" w:eastAsia="宋体" w:cs="Times New Roman"/>
                <w:b/>
                <w:bCs w:val="0"/>
                <w:color w:val="auto"/>
                <w:sz w:val="24"/>
                <w:u w:val="none" w:color="auto"/>
                <w:lang w:eastAsia="zh-CN"/>
              </w:rPr>
              <w:t>废气</w:t>
            </w:r>
            <w:r>
              <w:rPr>
                <w:rFonts w:hint="default" w:ascii="Times New Roman" w:hAnsi="Times New Roman" w:eastAsia="宋体" w:cs="Times New Roman"/>
                <w:b/>
                <w:bCs w:val="0"/>
                <w:color w:val="auto"/>
                <w:sz w:val="24"/>
                <w:u w:val="none" w:color="auto"/>
              </w:rPr>
              <w:t>污染物源强</w:t>
            </w:r>
          </w:p>
          <w:p w14:paraId="3324722E">
            <w:pPr>
              <w:adjustRightInd w:val="0"/>
              <w:snapToGrid w:val="0"/>
              <w:spacing w:line="348" w:lineRule="auto"/>
              <w:ind w:firstLine="480" w:firstLineChars="200"/>
              <w:rPr>
                <w:color w:val="auto"/>
                <w:sz w:val="24"/>
              </w:rPr>
            </w:pPr>
            <w:r>
              <w:rPr>
                <w:color w:val="auto"/>
                <w:sz w:val="24"/>
              </w:rPr>
              <w:t>本项目废气</w:t>
            </w:r>
            <w:r>
              <w:rPr>
                <w:rFonts w:hint="eastAsia"/>
                <w:color w:val="auto"/>
                <w:sz w:val="24"/>
              </w:rPr>
              <w:t>为</w:t>
            </w:r>
            <w:r>
              <w:rPr>
                <w:rFonts w:hint="eastAsia"/>
                <w:color w:val="auto"/>
                <w:sz w:val="24"/>
                <w:lang w:eastAsia="zh-CN"/>
              </w:rPr>
              <w:t>原料装卸废气</w:t>
            </w:r>
            <w:r>
              <w:rPr>
                <w:rFonts w:hint="eastAsia"/>
                <w:color w:val="auto"/>
                <w:sz w:val="24"/>
              </w:rPr>
              <w:t>、</w:t>
            </w:r>
            <w:r>
              <w:rPr>
                <w:rFonts w:hint="eastAsia"/>
                <w:color w:val="auto"/>
                <w:sz w:val="24"/>
                <w:lang w:eastAsia="zh-CN"/>
              </w:rPr>
              <w:t>投料输送废气、</w:t>
            </w:r>
            <w:r>
              <w:rPr>
                <w:rFonts w:hint="eastAsia"/>
                <w:color w:val="auto"/>
                <w:sz w:val="24"/>
              </w:rPr>
              <w:t>物料混合搅拌</w:t>
            </w:r>
            <w:r>
              <w:rPr>
                <w:rFonts w:hint="eastAsia"/>
                <w:color w:val="auto"/>
                <w:sz w:val="24"/>
                <w:lang w:eastAsia="zh-CN"/>
              </w:rPr>
              <w:t>废气、下料废气、破碎松散废气、污泥贮存废气</w:t>
            </w:r>
            <w:r>
              <w:rPr>
                <w:rFonts w:hint="eastAsia"/>
                <w:color w:val="auto"/>
                <w:sz w:val="24"/>
              </w:rPr>
              <w:t>、</w:t>
            </w:r>
            <w:r>
              <w:rPr>
                <w:rFonts w:hint="eastAsia"/>
                <w:color w:val="auto"/>
                <w:sz w:val="24"/>
                <w:lang w:eastAsia="zh-CN"/>
              </w:rPr>
              <w:t>运输扬尘</w:t>
            </w:r>
            <w:r>
              <w:rPr>
                <w:rFonts w:hint="eastAsia"/>
                <w:color w:val="auto"/>
                <w:sz w:val="24"/>
              </w:rPr>
              <w:t>。</w:t>
            </w:r>
          </w:p>
          <w:p w14:paraId="0182BEBF">
            <w:pPr>
              <w:spacing w:line="360" w:lineRule="auto"/>
              <w:ind w:firstLine="482" w:firstLineChars="200"/>
              <w:rPr>
                <w:rFonts w:hint="eastAsia" w:ascii="Times New Roman" w:hAnsi="Times New Roman" w:eastAsia="宋体" w:cs="Times New Roman"/>
                <w:b/>
                <w:bCs w:val="0"/>
                <w:color w:val="auto"/>
                <w:sz w:val="24"/>
                <w:u w:val="none" w:color="auto"/>
                <w:lang w:eastAsia="zh-CN"/>
              </w:rPr>
            </w:pPr>
            <w:r>
              <w:rPr>
                <w:rFonts w:hint="default" w:ascii="Times New Roman" w:hAnsi="Times New Roman" w:eastAsia="宋体" w:cs="Times New Roman"/>
                <w:b/>
                <w:bCs w:val="0"/>
                <w:color w:val="auto"/>
                <w:sz w:val="24"/>
                <w:u w:val="none" w:color="auto"/>
              </w:rPr>
              <w:t>①</w:t>
            </w:r>
            <w:r>
              <w:rPr>
                <w:rFonts w:hint="eastAsia" w:ascii="Times New Roman" w:hAnsi="Times New Roman" w:eastAsia="宋体" w:cs="Times New Roman"/>
                <w:b/>
                <w:bCs w:val="0"/>
                <w:color w:val="auto"/>
                <w:sz w:val="24"/>
                <w:u w:val="none" w:color="auto"/>
                <w:lang w:eastAsia="zh-CN"/>
              </w:rPr>
              <w:t>原料装卸废气</w:t>
            </w:r>
          </w:p>
          <w:p w14:paraId="0049FB02">
            <w:pPr>
              <w:adjustRightInd w:val="0"/>
              <w:snapToGrid w:val="0"/>
              <w:spacing w:line="348" w:lineRule="auto"/>
              <w:ind w:firstLine="480" w:firstLineChars="200"/>
              <w:jc w:val="left"/>
              <w:rPr>
                <w:color w:val="auto"/>
                <w:sz w:val="24"/>
              </w:rPr>
            </w:pPr>
            <w:r>
              <w:rPr>
                <w:rFonts w:hint="eastAsia"/>
                <w:color w:val="auto"/>
                <w:sz w:val="24"/>
              </w:rPr>
              <w:t>项目</w:t>
            </w:r>
            <w:r>
              <w:rPr>
                <w:rFonts w:hint="eastAsia"/>
                <w:color w:val="auto"/>
                <w:sz w:val="24"/>
                <w:lang w:eastAsia="zh-CN"/>
              </w:rPr>
              <w:t>在</w:t>
            </w:r>
            <w:r>
              <w:rPr>
                <w:color w:val="auto"/>
                <w:sz w:val="24"/>
              </w:rPr>
              <w:t>装卸过程中会产生扬尘，呈无组织排放，本项目</w:t>
            </w:r>
            <w:r>
              <w:rPr>
                <w:rFonts w:hint="eastAsia"/>
                <w:color w:val="auto"/>
                <w:sz w:val="24"/>
                <w:lang w:eastAsia="zh-CN"/>
              </w:rPr>
              <w:t>炉渣、污泥、尾矿堆放于封闭式原料仓库中</w:t>
            </w:r>
            <w:r>
              <w:rPr>
                <w:color w:val="auto"/>
                <w:sz w:val="24"/>
              </w:rPr>
              <w:t>，装卸扬尘采用山西环保科所、武汉水运工程学院提出的经验公式估算。虽然此公式主要使用于露天堆放的原材料情况，但由于目前国内并未出具其他相关经验公式，并根据</w:t>
            </w:r>
            <w:r>
              <w:rPr>
                <w:rFonts w:hint="eastAsia"/>
                <w:color w:val="auto"/>
                <w:sz w:val="24"/>
              </w:rPr>
              <w:t>设计单位</w:t>
            </w:r>
            <w:r>
              <w:rPr>
                <w:color w:val="auto"/>
                <w:sz w:val="24"/>
              </w:rPr>
              <w:t>经验值，将此公式中的风速适当进行减小。根据</w:t>
            </w:r>
            <w:r>
              <w:rPr>
                <w:rFonts w:hint="eastAsia"/>
                <w:color w:val="auto"/>
                <w:sz w:val="24"/>
                <w:lang w:eastAsia="zh-CN"/>
              </w:rPr>
              <w:t>室内</w:t>
            </w:r>
            <w:r>
              <w:rPr>
                <w:color w:val="auto"/>
                <w:sz w:val="24"/>
              </w:rPr>
              <w:t>平均风速进行估算。</w:t>
            </w:r>
          </w:p>
          <w:p w14:paraId="6E2F5B62">
            <w:pPr>
              <w:spacing w:line="348" w:lineRule="auto"/>
              <w:ind w:firstLine="480" w:firstLineChars="200"/>
              <w:jc w:val="left"/>
              <w:rPr>
                <w:color w:val="auto"/>
                <w:sz w:val="24"/>
              </w:rPr>
            </w:pPr>
            <w:r>
              <w:rPr>
                <w:color w:val="auto"/>
                <w:sz w:val="24"/>
              </w:rPr>
              <w:t>公式如下：</w:t>
            </w:r>
          </w:p>
          <w:p w14:paraId="5B2708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rPr>
            </w:pPr>
            <w:r>
              <w:rPr>
                <w:color w:val="auto"/>
                <w:position w:val="-24"/>
              </w:rPr>
              <w:object>
                <v:shape id="_x0000_i1031" o:spt="75" type="#_x0000_t75" style="height:31pt;width:77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20">
                  <o:LockedField>false</o:LockedField>
                </o:OLEObject>
              </w:object>
            </w:r>
          </w:p>
          <w:p w14:paraId="664ED014">
            <w:pPr>
              <w:adjustRightInd w:val="0"/>
              <w:snapToGrid w:val="0"/>
              <w:spacing w:line="348" w:lineRule="auto"/>
              <w:ind w:firstLine="480" w:firstLineChars="200"/>
              <w:jc w:val="left"/>
              <w:rPr>
                <w:color w:val="auto"/>
                <w:sz w:val="24"/>
              </w:rPr>
            </w:pPr>
            <w:r>
              <w:rPr>
                <w:color w:val="auto"/>
                <w:sz w:val="24"/>
              </w:rPr>
              <w:t>式中：</w:t>
            </w:r>
            <w:r>
              <w:rPr>
                <w:rFonts w:eastAsia="TimesNewRoman"/>
                <w:color w:val="auto"/>
                <w:sz w:val="24"/>
              </w:rPr>
              <w:t>Q——</w:t>
            </w:r>
            <w:r>
              <w:rPr>
                <w:color w:val="auto"/>
                <w:sz w:val="24"/>
              </w:rPr>
              <w:t>汽车卸料起尘量，</w:t>
            </w:r>
            <w:r>
              <w:rPr>
                <w:rFonts w:eastAsia="TimesNewRoman"/>
                <w:color w:val="auto"/>
                <w:sz w:val="24"/>
              </w:rPr>
              <w:t>g/</w:t>
            </w:r>
            <w:r>
              <w:rPr>
                <w:color w:val="auto"/>
                <w:sz w:val="24"/>
              </w:rPr>
              <w:t>次；</w:t>
            </w:r>
          </w:p>
          <w:p w14:paraId="2C2E0622">
            <w:pPr>
              <w:adjustRightInd w:val="0"/>
              <w:snapToGrid w:val="0"/>
              <w:spacing w:line="348" w:lineRule="auto"/>
              <w:ind w:firstLine="1200" w:firstLineChars="500"/>
              <w:jc w:val="left"/>
              <w:rPr>
                <w:color w:val="auto"/>
                <w:sz w:val="24"/>
              </w:rPr>
            </w:pPr>
            <w:r>
              <w:rPr>
                <w:rFonts w:eastAsia="TimesNewRoman"/>
                <w:color w:val="auto"/>
                <w:sz w:val="24"/>
              </w:rPr>
              <w:t>u——</w:t>
            </w:r>
            <w:r>
              <w:rPr>
                <w:color w:val="auto"/>
                <w:sz w:val="24"/>
              </w:rPr>
              <w:t>平均风速，</w:t>
            </w:r>
            <w:r>
              <w:rPr>
                <w:rFonts w:eastAsia="TimesNewRoman"/>
                <w:color w:val="auto"/>
                <w:sz w:val="24"/>
              </w:rPr>
              <w:t>m/s</w:t>
            </w:r>
            <w:r>
              <w:rPr>
                <w:color w:val="auto"/>
                <w:sz w:val="24"/>
              </w:rPr>
              <w:t>，室内平均取</w:t>
            </w:r>
            <w:r>
              <w:rPr>
                <w:rFonts w:eastAsia="TimesNewRoman"/>
                <w:color w:val="auto"/>
                <w:sz w:val="24"/>
              </w:rPr>
              <w:t>1.0m/s</w:t>
            </w:r>
            <w:r>
              <w:rPr>
                <w:color w:val="auto"/>
                <w:sz w:val="24"/>
              </w:rPr>
              <w:t>；</w:t>
            </w:r>
          </w:p>
          <w:p w14:paraId="50721CDB">
            <w:pPr>
              <w:adjustRightInd w:val="0"/>
              <w:snapToGrid w:val="0"/>
              <w:spacing w:line="348" w:lineRule="auto"/>
              <w:ind w:firstLine="1200" w:firstLineChars="500"/>
              <w:jc w:val="left"/>
              <w:rPr>
                <w:color w:val="auto"/>
                <w:sz w:val="24"/>
              </w:rPr>
            </w:pPr>
            <w:r>
              <w:rPr>
                <w:rFonts w:eastAsia="TimesNewRoman"/>
                <w:color w:val="auto"/>
                <w:sz w:val="24"/>
              </w:rPr>
              <w:t>M——</w:t>
            </w:r>
            <w:r>
              <w:rPr>
                <w:color w:val="auto"/>
                <w:sz w:val="24"/>
              </w:rPr>
              <w:t>汽车卸料量，</w:t>
            </w:r>
            <w:r>
              <w:rPr>
                <w:rFonts w:eastAsia="TimesNewRoman"/>
                <w:color w:val="auto"/>
                <w:sz w:val="24"/>
              </w:rPr>
              <w:t>t/</w:t>
            </w:r>
            <w:r>
              <w:rPr>
                <w:color w:val="auto"/>
                <w:sz w:val="24"/>
              </w:rPr>
              <w:t>次，取</w:t>
            </w:r>
            <w:r>
              <w:rPr>
                <w:rFonts w:eastAsia="TimesNewRoman"/>
                <w:color w:val="auto"/>
                <w:sz w:val="24"/>
              </w:rPr>
              <w:t>30t</w:t>
            </w:r>
            <w:r>
              <w:rPr>
                <w:color w:val="auto"/>
                <w:sz w:val="24"/>
              </w:rPr>
              <w:t>；</w:t>
            </w:r>
          </w:p>
          <w:p w14:paraId="3366D995">
            <w:pPr>
              <w:adjustRightInd w:val="0"/>
              <w:snapToGrid w:val="0"/>
              <w:spacing w:line="348" w:lineRule="auto"/>
              <w:ind w:firstLine="480" w:firstLineChars="200"/>
              <w:rPr>
                <w:color w:val="auto"/>
                <w:sz w:val="24"/>
              </w:rPr>
            </w:pPr>
            <w:r>
              <w:rPr>
                <w:color w:val="auto"/>
                <w:sz w:val="24"/>
              </w:rPr>
              <w:t>计算出卸料起尘量为</w:t>
            </w:r>
            <w:r>
              <w:rPr>
                <w:rFonts w:eastAsia="TimesNewRoman"/>
                <w:color w:val="auto"/>
                <w:sz w:val="24"/>
              </w:rPr>
              <w:t>4.0</w:t>
            </w:r>
            <w:r>
              <w:rPr>
                <w:rFonts w:hint="eastAsia"/>
                <w:color w:val="auto"/>
                <w:sz w:val="24"/>
              </w:rPr>
              <w:t>9</w:t>
            </w:r>
            <w:r>
              <w:rPr>
                <w:rFonts w:eastAsia="TimesNewRoman"/>
                <w:color w:val="auto"/>
                <w:sz w:val="24"/>
              </w:rPr>
              <w:t>g/</w:t>
            </w:r>
            <w:r>
              <w:rPr>
                <w:color w:val="auto"/>
                <w:sz w:val="24"/>
              </w:rPr>
              <w:t>次，</w:t>
            </w:r>
            <w:r>
              <w:rPr>
                <w:rFonts w:hint="eastAsia"/>
                <w:color w:val="auto"/>
                <w:sz w:val="24"/>
                <w:lang w:eastAsia="zh-CN"/>
              </w:rPr>
              <w:t>原料卸料</w:t>
            </w:r>
            <w:r>
              <w:rPr>
                <w:color w:val="auto"/>
                <w:sz w:val="24"/>
              </w:rPr>
              <w:t>运输约有</w:t>
            </w:r>
            <w:r>
              <w:rPr>
                <w:rFonts w:hint="eastAsia"/>
                <w:color w:val="auto"/>
                <w:sz w:val="24"/>
                <w:lang w:val="en-US" w:eastAsia="zh-CN"/>
              </w:rPr>
              <w:t>5000</w:t>
            </w:r>
            <w:r>
              <w:rPr>
                <w:color w:val="auto"/>
                <w:sz w:val="24"/>
              </w:rPr>
              <w:t>次</w:t>
            </w:r>
            <w:r>
              <w:rPr>
                <w:rFonts w:eastAsia="TimesNewRoman"/>
                <w:color w:val="auto"/>
                <w:sz w:val="24"/>
              </w:rPr>
              <w:t>/</w:t>
            </w:r>
            <w:r>
              <w:rPr>
                <w:color w:val="auto"/>
                <w:sz w:val="24"/>
              </w:rPr>
              <w:t>年，则卸料起尘量为</w:t>
            </w:r>
            <w:r>
              <w:rPr>
                <w:rFonts w:hint="eastAsia"/>
                <w:color w:val="auto"/>
                <w:sz w:val="24"/>
              </w:rPr>
              <w:t>0.02</w:t>
            </w:r>
            <w:r>
              <w:rPr>
                <w:rFonts w:hint="eastAsia"/>
                <w:color w:val="auto"/>
                <w:sz w:val="24"/>
                <w:lang w:val="en-US" w:eastAsia="zh-CN"/>
              </w:rPr>
              <w:t>1</w:t>
            </w:r>
            <w:r>
              <w:rPr>
                <w:rFonts w:eastAsia="TimesNewRoman"/>
                <w:color w:val="auto"/>
                <w:sz w:val="24"/>
              </w:rPr>
              <w:t>t/a</w:t>
            </w:r>
            <w:r>
              <w:rPr>
                <w:color w:val="auto"/>
                <w:sz w:val="24"/>
              </w:rPr>
              <w:t>，平均每天卸料以</w:t>
            </w:r>
            <w:r>
              <w:rPr>
                <w:rFonts w:hint="eastAsia"/>
                <w:color w:val="auto"/>
                <w:sz w:val="24"/>
              </w:rPr>
              <w:t>3</w:t>
            </w:r>
            <w:r>
              <w:rPr>
                <w:rFonts w:eastAsia="TimesNewRoman"/>
                <w:color w:val="auto"/>
                <w:sz w:val="24"/>
              </w:rPr>
              <w:t>h</w:t>
            </w:r>
            <w:r>
              <w:rPr>
                <w:color w:val="auto"/>
                <w:sz w:val="24"/>
              </w:rPr>
              <w:t>计，卸料扬尘产生速率为</w:t>
            </w:r>
            <w:r>
              <w:rPr>
                <w:rFonts w:eastAsia="TimesNewRoman"/>
                <w:color w:val="auto"/>
                <w:sz w:val="24"/>
              </w:rPr>
              <w:t>0.</w:t>
            </w:r>
            <w:r>
              <w:rPr>
                <w:rFonts w:hint="eastAsia"/>
                <w:color w:val="auto"/>
                <w:sz w:val="24"/>
              </w:rPr>
              <w:t>0</w:t>
            </w:r>
            <w:r>
              <w:rPr>
                <w:rFonts w:hint="eastAsia"/>
                <w:color w:val="auto"/>
                <w:sz w:val="24"/>
                <w:lang w:val="en-US" w:eastAsia="zh-CN"/>
              </w:rPr>
              <w:t>23</w:t>
            </w:r>
            <w:r>
              <w:rPr>
                <w:rFonts w:eastAsia="TimesNewRoman"/>
                <w:color w:val="auto"/>
                <w:sz w:val="24"/>
              </w:rPr>
              <w:t>kg/h</w:t>
            </w:r>
            <w:r>
              <w:rPr>
                <w:color w:val="auto"/>
                <w:sz w:val="24"/>
              </w:rPr>
              <w:t>。项目</w:t>
            </w:r>
            <w:r>
              <w:rPr>
                <w:rFonts w:hint="eastAsia"/>
                <w:color w:val="auto"/>
                <w:sz w:val="24"/>
                <w:lang w:eastAsia="zh-CN"/>
              </w:rPr>
              <w:t>炉渣、污泥、尾矿</w:t>
            </w:r>
            <w:r>
              <w:rPr>
                <w:color w:val="auto"/>
                <w:sz w:val="24"/>
              </w:rPr>
              <w:t>在</w:t>
            </w:r>
            <w:r>
              <w:rPr>
                <w:rFonts w:hint="eastAsia"/>
                <w:color w:val="auto"/>
                <w:sz w:val="24"/>
                <w:lang w:eastAsia="zh-CN"/>
              </w:rPr>
              <w:t>封闭的</w:t>
            </w:r>
            <w:r>
              <w:rPr>
                <w:color w:val="auto"/>
                <w:sz w:val="24"/>
              </w:rPr>
              <w:t>原料库内进行装卸操作，且装卸过程中开启雾炮进行洒水降尘，装卸时降低物料抛洒高度。</w:t>
            </w:r>
            <w:r>
              <w:rPr>
                <w:rFonts w:hint="eastAsia"/>
                <w:color w:val="auto"/>
                <w:sz w:val="24"/>
                <w:lang w:eastAsia="zh-CN"/>
              </w:rPr>
              <w:t>炉渣、污泥、尾矿</w:t>
            </w:r>
            <w:r>
              <w:rPr>
                <w:color w:val="auto"/>
                <w:sz w:val="24"/>
              </w:rPr>
              <w:t>装卸扬尘采取治理措施后，扬尘去除率可达</w:t>
            </w:r>
            <w:r>
              <w:rPr>
                <w:rFonts w:hint="eastAsia" w:eastAsia="TimesNewRoman"/>
                <w:color w:val="auto"/>
                <w:sz w:val="24"/>
              </w:rPr>
              <w:t>80</w:t>
            </w:r>
            <w:r>
              <w:rPr>
                <w:rFonts w:eastAsia="TimesNewRoman"/>
                <w:color w:val="auto"/>
                <w:sz w:val="24"/>
              </w:rPr>
              <w:t>%</w:t>
            </w:r>
            <w:r>
              <w:rPr>
                <w:color w:val="auto"/>
                <w:sz w:val="24"/>
              </w:rPr>
              <w:t>，</w:t>
            </w:r>
            <w:r>
              <w:rPr>
                <w:rFonts w:hint="eastAsia"/>
                <w:color w:val="auto"/>
                <w:sz w:val="24"/>
                <w:lang w:eastAsia="zh-CN"/>
              </w:rPr>
              <w:t>炉渣、污泥、尾矿</w:t>
            </w:r>
            <w:r>
              <w:rPr>
                <w:color w:val="auto"/>
                <w:sz w:val="24"/>
              </w:rPr>
              <w:t>装卸</w:t>
            </w:r>
            <w:r>
              <w:rPr>
                <w:rFonts w:hint="eastAsia"/>
                <w:color w:val="auto"/>
                <w:sz w:val="24"/>
                <w:lang w:eastAsia="zh-CN"/>
              </w:rPr>
              <w:t>起尘</w:t>
            </w:r>
            <w:r>
              <w:rPr>
                <w:color w:val="auto"/>
                <w:sz w:val="24"/>
              </w:rPr>
              <w:t>最终排放量为0.0</w:t>
            </w:r>
            <w:r>
              <w:rPr>
                <w:rFonts w:hint="eastAsia"/>
                <w:color w:val="auto"/>
                <w:sz w:val="24"/>
              </w:rPr>
              <w:t>0</w:t>
            </w:r>
            <w:r>
              <w:rPr>
                <w:rFonts w:hint="eastAsia"/>
                <w:color w:val="auto"/>
                <w:sz w:val="24"/>
                <w:lang w:val="en-US" w:eastAsia="zh-CN"/>
              </w:rPr>
              <w:t>42</w:t>
            </w:r>
            <w:r>
              <w:rPr>
                <w:color w:val="auto"/>
                <w:sz w:val="24"/>
              </w:rPr>
              <w:t>t/a，排放速率</w:t>
            </w:r>
            <w:r>
              <w:rPr>
                <w:rFonts w:eastAsia="TimesNewRoman"/>
                <w:color w:val="auto"/>
                <w:sz w:val="24"/>
              </w:rPr>
              <w:t>0.0</w:t>
            </w:r>
            <w:r>
              <w:rPr>
                <w:rFonts w:hint="eastAsia"/>
                <w:color w:val="auto"/>
                <w:sz w:val="24"/>
              </w:rPr>
              <w:t>0</w:t>
            </w:r>
            <w:r>
              <w:rPr>
                <w:rFonts w:hint="eastAsia"/>
                <w:color w:val="auto"/>
                <w:sz w:val="24"/>
                <w:lang w:val="en-US" w:eastAsia="zh-CN"/>
              </w:rPr>
              <w:t>5</w:t>
            </w:r>
            <w:r>
              <w:rPr>
                <w:rFonts w:eastAsia="TimesNewRoman"/>
                <w:color w:val="auto"/>
                <w:sz w:val="24"/>
              </w:rPr>
              <w:t>kg/h</w:t>
            </w:r>
            <w:r>
              <w:rPr>
                <w:color w:val="auto"/>
                <w:sz w:val="24"/>
              </w:rPr>
              <w:t>，以无组织形式排放</w:t>
            </w:r>
            <w:r>
              <w:rPr>
                <w:bCs/>
                <w:color w:val="auto"/>
                <w:sz w:val="24"/>
              </w:rPr>
              <w:t>。</w:t>
            </w:r>
          </w:p>
          <w:p w14:paraId="65CE9B50">
            <w:pPr>
              <w:spacing w:line="360" w:lineRule="auto"/>
              <w:ind w:firstLine="482" w:firstLineChars="200"/>
              <w:rPr>
                <w:rFonts w:hint="default" w:ascii="Times New Roman" w:hAnsi="Times New Roman" w:eastAsia="宋体" w:cs="Times New Roman"/>
                <w:b/>
                <w:bCs/>
                <w:color w:val="auto"/>
                <w:sz w:val="24"/>
                <w:u w:val="none" w:color="auto"/>
                <w:lang w:val="en-US" w:eastAsia="zh-CN"/>
              </w:rPr>
            </w:pPr>
            <w:r>
              <w:rPr>
                <w:rFonts w:hint="default" w:ascii="Times New Roman" w:hAnsi="Times New Roman" w:eastAsia="宋体" w:cs="Times New Roman"/>
                <w:b/>
                <w:bCs/>
                <w:color w:val="auto"/>
                <w:sz w:val="24"/>
                <w:u w:val="none" w:color="auto"/>
              </w:rPr>
              <w:fldChar w:fldCharType="begin"/>
            </w:r>
            <w:r>
              <w:rPr>
                <w:rFonts w:hint="default" w:ascii="Times New Roman" w:hAnsi="Times New Roman" w:eastAsia="宋体" w:cs="Times New Roman"/>
                <w:b/>
                <w:bCs/>
                <w:color w:val="auto"/>
                <w:sz w:val="24"/>
                <w:u w:val="none" w:color="auto"/>
              </w:rPr>
              <w:instrText xml:space="preserve"> = 2 \* GB3 \* MERGEFORMAT </w:instrText>
            </w:r>
            <w:r>
              <w:rPr>
                <w:rFonts w:hint="default" w:ascii="Times New Roman" w:hAnsi="Times New Roman" w:eastAsia="宋体" w:cs="Times New Roman"/>
                <w:b/>
                <w:bCs/>
                <w:color w:val="auto"/>
                <w:sz w:val="24"/>
                <w:u w:val="none" w:color="auto"/>
              </w:rPr>
              <w:fldChar w:fldCharType="separate"/>
            </w:r>
            <w:r>
              <w:rPr>
                <w:rFonts w:hint="default" w:ascii="Times New Roman" w:hAnsi="Times New Roman" w:eastAsia="宋体" w:cs="Times New Roman"/>
                <w:b/>
                <w:bCs/>
                <w:color w:val="auto"/>
                <w:sz w:val="24"/>
                <w:u w:val="none" w:color="auto"/>
              </w:rPr>
              <w:t>②</w:t>
            </w:r>
            <w:r>
              <w:rPr>
                <w:rFonts w:hint="default" w:ascii="Times New Roman" w:hAnsi="Times New Roman" w:eastAsia="宋体" w:cs="Times New Roman"/>
                <w:b/>
                <w:bCs/>
                <w:color w:val="auto"/>
                <w:sz w:val="24"/>
                <w:u w:val="none" w:color="auto"/>
              </w:rPr>
              <w:fldChar w:fldCharType="end"/>
            </w:r>
            <w:r>
              <w:rPr>
                <w:rFonts w:hint="eastAsia" w:ascii="Times New Roman" w:hAnsi="Times New Roman" w:eastAsia="宋体" w:cs="Times New Roman"/>
                <w:b/>
                <w:bCs/>
                <w:color w:val="auto"/>
                <w:sz w:val="24"/>
                <w:u w:val="none" w:color="auto"/>
                <w:lang w:eastAsia="zh-CN"/>
              </w:rPr>
              <w:t>投料</w:t>
            </w:r>
            <w:r>
              <w:rPr>
                <w:rFonts w:hint="eastAsia" w:ascii="Times New Roman" w:hAnsi="Times New Roman" w:eastAsia="宋体" w:cs="Times New Roman"/>
                <w:b/>
                <w:bCs/>
                <w:color w:val="auto"/>
                <w:sz w:val="24"/>
                <w:u w:val="none" w:color="auto"/>
                <w:lang w:val="en-US" w:eastAsia="zh-CN"/>
              </w:rPr>
              <w:t>输送废气</w:t>
            </w:r>
          </w:p>
          <w:p w14:paraId="50438D63">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投料输送工序设置于封闭生产车间，投料后使用密闭皮带机进行输送，本项目污泥含水率较高，污泥投料后皮带机运输基本无粉尘产生。其他物料如</w:t>
            </w:r>
            <w:r>
              <w:rPr>
                <w:rFonts w:hint="eastAsia"/>
                <w:color w:val="auto"/>
                <w:sz w:val="24"/>
                <w:lang w:eastAsia="zh-CN"/>
              </w:rPr>
              <w:t>炉渣、秸秆灰、尾矿</w:t>
            </w:r>
            <w:r>
              <w:rPr>
                <w:rFonts w:hint="eastAsia" w:ascii="Times New Roman" w:hAnsi="Times New Roman" w:eastAsia="宋体" w:cs="Times New Roman"/>
                <w:color w:val="auto"/>
                <w:sz w:val="24"/>
                <w:szCs w:val="24"/>
                <w:lang w:val="en-US" w:eastAsia="zh-CN"/>
              </w:rPr>
              <w:t>投料后通过皮带机运输过程产生颗粒物（粉尘）。</w:t>
            </w:r>
          </w:p>
          <w:p w14:paraId="3FC32807">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投料输送粉尘参考《排放源统计调查产排污核算方法和系数手册》302水泥制品制造行业系数手册中3021水泥制品制造（含3022砼结构构件、3029其他水泥类似制品制造）行业系数表中物料输送储存：颗粒物0.19kg/t-产品。</w:t>
            </w:r>
          </w:p>
          <w:p w14:paraId="34260DCE">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本项目物料年投料运输量</w:t>
            </w:r>
            <w:r>
              <w:rPr>
                <w:rFonts w:hint="eastAsia" w:cs="Times New Roman"/>
                <w:color w:val="auto"/>
                <w:sz w:val="24"/>
                <w:szCs w:val="24"/>
                <w:lang w:val="en-US" w:eastAsia="zh-CN"/>
              </w:rPr>
              <w:t>2.5</w:t>
            </w:r>
            <w:r>
              <w:rPr>
                <w:rFonts w:hint="eastAsia" w:ascii="Times New Roman" w:hAnsi="Times New Roman" w:eastAsia="宋体" w:cs="Times New Roman"/>
                <w:color w:val="auto"/>
                <w:sz w:val="24"/>
                <w:szCs w:val="24"/>
                <w:lang w:val="en-US" w:eastAsia="zh-CN"/>
              </w:rPr>
              <w:t>万吨，</w:t>
            </w:r>
            <w:r>
              <w:rPr>
                <w:rFonts w:hint="eastAsia" w:ascii="Times New Roman" w:hAnsi="Times New Roman" w:eastAsia="宋体" w:cs="Times New Roman"/>
                <w:color w:val="auto"/>
                <w:sz w:val="24"/>
                <w:u w:val="none" w:color="auto"/>
                <w:lang w:val="en-US" w:eastAsia="zh-CN"/>
              </w:rPr>
              <w:t>投料输送工序年工作时间2400h，则投料输送粉尘产生量为</w:t>
            </w:r>
            <w:r>
              <w:rPr>
                <w:rFonts w:hint="eastAsia" w:cs="Times New Roman"/>
                <w:color w:val="auto"/>
                <w:sz w:val="24"/>
                <w:u w:val="none" w:color="auto"/>
                <w:lang w:val="en-US" w:eastAsia="zh-CN"/>
              </w:rPr>
              <w:t>4.75</w:t>
            </w:r>
            <w:r>
              <w:rPr>
                <w:rFonts w:hint="eastAsia" w:ascii="Times New Roman" w:hAnsi="Times New Roman" w:eastAsia="宋体" w:cs="Times New Roman"/>
                <w:color w:val="auto"/>
                <w:sz w:val="24"/>
                <w:szCs w:val="24"/>
                <w:highlight w:val="none"/>
                <w:lang w:val="en-US" w:eastAsia="zh-CN"/>
              </w:rPr>
              <w:t>t/a，产生速率</w:t>
            </w:r>
            <w:r>
              <w:rPr>
                <w:rFonts w:hint="eastAsia" w:cs="Times New Roman"/>
                <w:color w:val="auto"/>
                <w:sz w:val="24"/>
                <w:szCs w:val="24"/>
                <w:highlight w:val="none"/>
                <w:lang w:val="en-US" w:eastAsia="zh-CN"/>
              </w:rPr>
              <w:t>1.98</w:t>
            </w:r>
            <w:r>
              <w:rPr>
                <w:rFonts w:hint="eastAsia" w:ascii="Times New Roman" w:hAnsi="Times New Roman" w:eastAsia="宋体" w:cs="Times New Roman"/>
                <w:color w:val="auto"/>
                <w:sz w:val="24"/>
                <w:szCs w:val="24"/>
                <w:lang w:val="en-US" w:eastAsia="zh-CN"/>
              </w:rPr>
              <w:t>kg/h。投料口上方处设喷雾除尘装置，皮带输送全密闭，投料输送粉尘经喷雾降尘处理后经封闭厂房进一步降尘，可有效降低粉尘产生。</w:t>
            </w:r>
          </w:p>
          <w:p w14:paraId="2531FA99">
            <w:pPr>
              <w:spacing w:line="360" w:lineRule="auto"/>
              <w:ind w:firstLine="480" w:firstLineChars="200"/>
              <w:rPr>
                <w:rFonts w:hint="default" w:ascii="Times New Roman" w:hAnsi="Times New Roman" w:eastAsia="宋体" w:cs="Times New Roman"/>
                <w:b/>
                <w:bCs w:val="0"/>
                <w:color w:val="auto"/>
                <w:sz w:val="24"/>
                <w:u w:val="none" w:color="auto"/>
                <w:lang w:val="en-US"/>
              </w:rPr>
            </w:pPr>
            <w:r>
              <w:rPr>
                <w:rFonts w:hint="eastAsia" w:ascii="Times New Roman" w:hAnsi="Times New Roman" w:eastAsia="宋体" w:cs="Times New Roman"/>
                <w:color w:val="auto"/>
                <w:sz w:val="24"/>
                <w:szCs w:val="24"/>
                <w:lang w:val="en-US" w:eastAsia="zh-CN"/>
              </w:rPr>
              <w:t>皮带机密闭抑尘效率98%，喷雾除尘效率为80%，则无组织排放量为</w:t>
            </w:r>
            <w:r>
              <w:rPr>
                <w:rFonts w:hint="eastAsia" w:cs="Times New Roman"/>
                <w:color w:val="auto"/>
                <w:sz w:val="24"/>
                <w:szCs w:val="24"/>
                <w:lang w:val="en-US" w:eastAsia="zh-CN"/>
              </w:rPr>
              <w:t>0.019</w:t>
            </w:r>
            <w:r>
              <w:rPr>
                <w:rFonts w:hint="eastAsia" w:ascii="Times New Roman" w:hAnsi="Times New Roman" w:eastAsia="宋体" w:cs="Times New Roman"/>
                <w:color w:val="auto"/>
                <w:sz w:val="24"/>
                <w:szCs w:val="24"/>
                <w:lang w:val="en-US" w:eastAsia="zh-CN"/>
              </w:rPr>
              <w:t>t/a，排放速率为0.0</w:t>
            </w:r>
            <w:r>
              <w:rPr>
                <w:rFonts w:hint="eastAsia" w:cs="Times New Roman"/>
                <w:color w:val="auto"/>
                <w:sz w:val="24"/>
                <w:szCs w:val="24"/>
                <w:lang w:val="en-US" w:eastAsia="zh-CN"/>
              </w:rPr>
              <w:t>08</w:t>
            </w:r>
            <w:r>
              <w:rPr>
                <w:rFonts w:hint="eastAsia" w:ascii="Times New Roman" w:hAnsi="Times New Roman" w:eastAsia="宋体" w:cs="Times New Roman"/>
                <w:color w:val="auto"/>
                <w:sz w:val="24"/>
                <w:szCs w:val="24"/>
                <w:lang w:val="en-US" w:eastAsia="zh-CN"/>
              </w:rPr>
              <w:t>kg/h。</w:t>
            </w:r>
          </w:p>
          <w:p w14:paraId="2B99A6CE">
            <w:pPr>
              <w:adjustRightInd w:val="0"/>
              <w:snapToGrid w:val="0"/>
              <w:spacing w:line="348" w:lineRule="auto"/>
              <w:ind w:firstLine="482" w:firstLineChars="200"/>
              <w:rPr>
                <w:rFonts w:hint="default" w:eastAsia="宋体"/>
                <w:b/>
                <w:bCs/>
                <w:color w:val="auto"/>
                <w:sz w:val="24"/>
                <w:lang w:val="en-US" w:eastAsia="zh-CN"/>
              </w:rPr>
            </w:pPr>
            <w:r>
              <w:rPr>
                <w:rFonts w:hint="eastAsia"/>
                <w:b/>
                <w:bCs/>
                <w:color w:val="auto"/>
                <w:sz w:val="24"/>
                <w:lang w:eastAsia="zh-CN"/>
              </w:rPr>
              <w:t>③</w:t>
            </w:r>
            <w:r>
              <w:rPr>
                <w:rFonts w:hint="eastAsia"/>
                <w:b/>
                <w:bCs/>
                <w:color w:val="auto"/>
                <w:sz w:val="24"/>
              </w:rPr>
              <w:t>物料混合搅拌</w:t>
            </w:r>
            <w:r>
              <w:rPr>
                <w:rFonts w:hint="eastAsia"/>
                <w:b/>
                <w:bCs/>
                <w:color w:val="auto"/>
                <w:sz w:val="24"/>
                <w:lang w:eastAsia="zh-CN"/>
              </w:rPr>
              <w:t>和下料废气</w:t>
            </w:r>
          </w:p>
          <w:p w14:paraId="646D7B52">
            <w:pPr>
              <w:adjustRightInd w:val="0"/>
              <w:snapToGrid w:val="0"/>
              <w:spacing w:line="348" w:lineRule="auto"/>
              <w:ind w:firstLine="480" w:firstLineChars="200"/>
              <w:rPr>
                <w:rFonts w:hint="eastAsia"/>
                <w:color w:val="auto"/>
                <w:sz w:val="24"/>
              </w:rPr>
            </w:pPr>
            <w:r>
              <w:rPr>
                <w:rFonts w:hint="eastAsia"/>
                <w:color w:val="auto"/>
                <w:sz w:val="24"/>
              </w:rPr>
              <w:t>本项目各种物料进入搅拌机时</w:t>
            </w:r>
            <w:r>
              <w:rPr>
                <w:rFonts w:hint="eastAsia"/>
                <w:color w:val="auto"/>
                <w:sz w:val="24"/>
                <w:lang w:eastAsia="zh-CN"/>
              </w:rPr>
              <w:t>和搅拌机出料时</w:t>
            </w:r>
            <w:r>
              <w:rPr>
                <w:rFonts w:hint="eastAsia"/>
                <w:color w:val="auto"/>
                <w:sz w:val="24"/>
              </w:rPr>
              <w:t>，小粒径颗粒物会飘散形成</w:t>
            </w:r>
            <w:r>
              <w:rPr>
                <w:rFonts w:hint="eastAsia"/>
                <w:color w:val="auto"/>
                <w:sz w:val="24"/>
                <w:lang w:eastAsia="zh-CN"/>
              </w:rPr>
              <w:t>颗粒物</w:t>
            </w:r>
            <w:r>
              <w:rPr>
                <w:rFonts w:hint="eastAsia"/>
                <w:color w:val="auto"/>
                <w:sz w:val="24"/>
              </w:rPr>
              <w:t>。</w:t>
            </w:r>
            <w:r>
              <w:rPr>
                <w:rFonts w:hint="eastAsia" w:ascii="Times New Roman" w:hAnsi="Times New Roman" w:eastAsia="宋体" w:cs="Times New Roman"/>
                <w:color w:val="auto"/>
                <w:sz w:val="24"/>
                <w:lang w:val="en-US" w:eastAsia="zh-CN"/>
              </w:rPr>
              <w:t>年工作时长2400h。</w:t>
            </w:r>
          </w:p>
          <w:p w14:paraId="7EA84C8E">
            <w:pPr>
              <w:adjustRightInd w:val="0"/>
              <w:snapToGrid w:val="0"/>
              <w:spacing w:line="348" w:lineRule="auto"/>
              <w:ind w:firstLine="480" w:firstLineChars="200"/>
              <w:rPr>
                <w:rFonts w:hint="eastAsia"/>
                <w:color w:val="auto"/>
                <w:sz w:val="24"/>
              </w:rPr>
            </w:pPr>
            <w:r>
              <w:rPr>
                <w:rFonts w:hint="eastAsia" w:ascii="Times New Roman" w:hAnsi="Times New Roman" w:eastAsia="宋体" w:cs="Times New Roman"/>
                <w:color w:val="000000"/>
                <w:sz w:val="24"/>
                <w:szCs w:val="24"/>
                <w:lang w:val="en-US" w:eastAsia="zh-CN"/>
              </w:rPr>
              <w:t>参考《排放源统计调查产排污核算方法和系数手册》302水泥制品制造行业系数手册中3021水泥制品制造（含3022砼结构构件、3029其他水泥类似制品制造）行业系数表中</w:t>
            </w:r>
            <w:r>
              <w:rPr>
                <w:rFonts w:hint="eastAsia"/>
                <w:color w:val="auto"/>
                <w:sz w:val="24"/>
                <w:lang w:eastAsia="zh-CN"/>
              </w:rPr>
              <w:t>物料混合搅拌废气</w:t>
            </w:r>
            <w:r>
              <w:rPr>
                <w:rFonts w:hint="eastAsia"/>
                <w:color w:val="auto"/>
                <w:sz w:val="24"/>
              </w:rPr>
              <w:t>产生量0.523kg/吨-产品，本项目</w:t>
            </w:r>
            <w:r>
              <w:rPr>
                <w:rFonts w:hint="eastAsia"/>
                <w:color w:val="auto"/>
                <w:sz w:val="24"/>
                <w:lang w:eastAsia="zh-CN"/>
              </w:rPr>
              <w:t>固化土</w:t>
            </w:r>
            <w:r>
              <w:rPr>
                <w:rFonts w:hint="eastAsia"/>
                <w:color w:val="auto"/>
                <w:sz w:val="24"/>
                <w:lang w:val="en-US" w:eastAsia="zh-CN"/>
              </w:rPr>
              <w:t>3万吨/年</w:t>
            </w:r>
            <w:r>
              <w:rPr>
                <w:rFonts w:hint="eastAsia"/>
                <w:color w:val="auto"/>
                <w:sz w:val="24"/>
                <w:lang w:eastAsia="zh-CN"/>
              </w:rPr>
              <w:t>、回填土</w:t>
            </w:r>
            <w:r>
              <w:rPr>
                <w:rFonts w:hint="eastAsia"/>
                <w:color w:val="auto"/>
                <w:sz w:val="24"/>
                <w:lang w:val="en-US" w:eastAsia="zh-CN"/>
              </w:rPr>
              <w:t>3万吨/年、绿化营养土2万吨/年，</w:t>
            </w:r>
            <w:r>
              <w:rPr>
                <w:rFonts w:hint="eastAsia"/>
                <w:color w:val="auto"/>
                <w:sz w:val="24"/>
              </w:rPr>
              <w:t>则</w:t>
            </w:r>
            <w:r>
              <w:rPr>
                <w:rFonts w:hint="eastAsia"/>
                <w:color w:val="auto"/>
                <w:sz w:val="24"/>
                <w:lang w:eastAsia="zh-CN"/>
              </w:rPr>
              <w:t>颗粒物</w:t>
            </w:r>
            <w:r>
              <w:rPr>
                <w:rFonts w:hint="eastAsia"/>
                <w:color w:val="auto"/>
                <w:sz w:val="24"/>
              </w:rPr>
              <w:t>产生量为</w:t>
            </w:r>
            <w:r>
              <w:rPr>
                <w:rFonts w:hint="eastAsia"/>
                <w:color w:val="auto"/>
                <w:sz w:val="24"/>
                <w:lang w:val="en-US" w:eastAsia="zh-CN"/>
              </w:rPr>
              <w:t>41.84</w:t>
            </w:r>
            <w:r>
              <w:rPr>
                <w:rFonts w:hint="eastAsia"/>
                <w:color w:val="auto"/>
                <w:sz w:val="24"/>
              </w:rPr>
              <w:t>t/a。</w:t>
            </w:r>
          </w:p>
          <w:p w14:paraId="20792F57">
            <w:pPr>
              <w:adjustRightInd w:val="0"/>
              <w:snapToGrid w:val="0"/>
              <w:spacing w:line="348" w:lineRule="auto"/>
              <w:ind w:firstLine="480" w:firstLineChars="200"/>
              <w:rPr>
                <w:rFonts w:hint="eastAsia"/>
                <w:color w:val="auto"/>
                <w:sz w:val="24"/>
                <w:lang w:eastAsia="zh-CN"/>
              </w:rPr>
            </w:pPr>
            <w:r>
              <w:rPr>
                <w:rFonts w:hint="eastAsia"/>
                <w:color w:val="auto"/>
                <w:sz w:val="24"/>
              </w:rPr>
              <w:t>搅拌机位于密闭的搅拌罐内，四周全封闭，</w:t>
            </w:r>
            <w:r>
              <w:rPr>
                <w:rFonts w:hint="eastAsia"/>
                <w:color w:val="auto"/>
                <w:sz w:val="24"/>
                <w:lang w:eastAsia="zh-CN"/>
              </w:rPr>
              <w:t>搅拌机下料口处设集气罩进行下料粉尘收集，</w:t>
            </w:r>
            <w:r>
              <w:rPr>
                <w:rFonts w:hint="eastAsia"/>
                <w:color w:val="auto"/>
                <w:sz w:val="24"/>
              </w:rPr>
              <w:t>搅拌</w:t>
            </w:r>
            <w:r>
              <w:rPr>
                <w:rFonts w:hint="eastAsia"/>
                <w:color w:val="auto"/>
                <w:sz w:val="24"/>
                <w:lang w:eastAsia="zh-CN"/>
              </w:rPr>
              <w:t>颗粒物</w:t>
            </w:r>
            <w:r>
              <w:rPr>
                <w:rFonts w:hint="eastAsia"/>
                <w:color w:val="auto"/>
                <w:sz w:val="24"/>
              </w:rPr>
              <w:t>经风机收集后由管道输送至除尘器处理，脉冲</w:t>
            </w:r>
            <w:r>
              <w:rPr>
                <w:rFonts w:hint="eastAsia"/>
                <w:color w:val="auto"/>
                <w:sz w:val="24"/>
                <w:lang w:eastAsia="zh-CN"/>
              </w:rPr>
              <w:t>布袋</w:t>
            </w:r>
            <w:r>
              <w:rPr>
                <w:rFonts w:hint="eastAsia"/>
                <w:color w:val="auto"/>
                <w:sz w:val="24"/>
              </w:rPr>
              <w:t>除尘器</w:t>
            </w:r>
            <w:r>
              <w:rPr>
                <w:rFonts w:hint="eastAsia" w:cs="Times New Roman"/>
                <w:color w:val="auto"/>
                <w:sz w:val="24"/>
                <w:lang w:eastAsia="zh-CN"/>
              </w:rPr>
              <w:t>收集效率</w:t>
            </w:r>
            <w:r>
              <w:rPr>
                <w:rFonts w:hint="eastAsia" w:cs="Times New Roman"/>
                <w:color w:val="auto"/>
                <w:sz w:val="24"/>
                <w:lang w:val="en-US" w:eastAsia="zh-CN"/>
              </w:rPr>
              <w:t>90%，</w:t>
            </w:r>
            <w:r>
              <w:rPr>
                <w:rFonts w:hint="eastAsia"/>
                <w:color w:val="auto"/>
                <w:sz w:val="24"/>
              </w:rPr>
              <w:t>处理效率为99%，物料混合搅拌</w:t>
            </w:r>
            <w:r>
              <w:rPr>
                <w:rFonts w:hint="eastAsia"/>
                <w:color w:val="auto"/>
                <w:sz w:val="24"/>
                <w:lang w:eastAsia="zh-CN"/>
              </w:rPr>
              <w:t>粉尘、下料粉尘</w:t>
            </w:r>
            <w:r>
              <w:rPr>
                <w:rFonts w:hint="eastAsia"/>
                <w:color w:val="auto"/>
                <w:sz w:val="24"/>
              </w:rPr>
              <w:t>经布袋</w:t>
            </w:r>
            <w:r>
              <w:rPr>
                <w:rFonts w:hint="eastAsia"/>
                <w:color w:val="auto"/>
                <w:sz w:val="24"/>
                <w:lang w:eastAsia="zh-CN"/>
              </w:rPr>
              <w:t>除尘器</w:t>
            </w:r>
            <w:r>
              <w:rPr>
                <w:rFonts w:hint="eastAsia"/>
                <w:color w:val="auto"/>
                <w:sz w:val="24"/>
              </w:rPr>
              <w:t>处理后由15米高的排气筒（DA00</w:t>
            </w:r>
            <w:r>
              <w:rPr>
                <w:rFonts w:hint="eastAsia"/>
                <w:color w:val="auto"/>
                <w:sz w:val="24"/>
                <w:lang w:val="en-US" w:eastAsia="zh-CN"/>
              </w:rPr>
              <w:t>3</w:t>
            </w:r>
            <w:r>
              <w:rPr>
                <w:rFonts w:hint="eastAsia"/>
                <w:color w:val="auto"/>
                <w:sz w:val="24"/>
              </w:rPr>
              <w:t>）排放</w:t>
            </w:r>
            <w:r>
              <w:rPr>
                <w:rFonts w:hint="eastAsia"/>
                <w:color w:val="auto"/>
                <w:sz w:val="24"/>
                <w:lang w:eastAsia="zh-CN"/>
              </w:rPr>
              <w:t>。</w:t>
            </w:r>
          </w:p>
          <w:p w14:paraId="187786E1">
            <w:pPr>
              <w:snapToGrid w:val="0"/>
              <w:spacing w:line="360" w:lineRule="auto"/>
              <w:ind w:firstLine="482" w:firstLineChars="200"/>
              <w:jc w:val="left"/>
              <w:rPr>
                <w:rFonts w:hint="eastAsia" w:ascii="Times New Roman" w:hAnsi="Times New Roman" w:eastAsia="宋体" w:cs="Times New Roman"/>
                <w:b/>
                <w:bCs/>
                <w:color w:val="auto"/>
                <w:sz w:val="24"/>
                <w:u w:val="none" w:color="auto"/>
                <w:lang w:val="en-US" w:eastAsia="zh-CN"/>
              </w:rPr>
            </w:pPr>
            <w:r>
              <w:rPr>
                <w:rFonts w:hint="eastAsia" w:cs="Times New Roman"/>
                <w:b/>
                <w:bCs/>
                <w:color w:val="auto"/>
                <w:sz w:val="24"/>
                <w:lang w:val="en-US" w:eastAsia="zh-CN"/>
              </w:rPr>
              <w:t>④</w:t>
            </w:r>
            <w:r>
              <w:rPr>
                <w:rFonts w:hint="eastAsia" w:ascii="Times New Roman" w:hAnsi="Times New Roman" w:eastAsia="宋体" w:cs="Times New Roman"/>
                <w:b/>
                <w:bCs/>
                <w:color w:val="auto"/>
                <w:sz w:val="24"/>
                <w:u w:val="none" w:color="auto"/>
                <w:lang w:val="en-US" w:eastAsia="zh-CN"/>
              </w:rPr>
              <w:t>筒仓呼吸废气</w:t>
            </w:r>
          </w:p>
          <w:p w14:paraId="48AB1F92">
            <w:pPr>
              <w:spacing w:line="360" w:lineRule="auto"/>
              <w:ind w:firstLine="480" w:firstLineChars="200"/>
              <w:rPr>
                <w:rFonts w:ascii="宋体" w:hAnsi="宋体" w:eastAsia="宋体" w:cs="宋体"/>
                <w:sz w:val="24"/>
                <w:szCs w:val="24"/>
              </w:rPr>
            </w:pPr>
            <w:r>
              <w:rPr>
                <w:rFonts w:hint="default" w:ascii="Times New Roman" w:hAnsi="Times New Roman" w:eastAsia="宋体" w:cs="Times New Roman"/>
                <w:color w:val="auto"/>
                <w:sz w:val="24"/>
                <w:u w:val="none" w:color="auto"/>
              </w:rPr>
              <w:t>本项目有</w:t>
            </w:r>
            <w:r>
              <w:rPr>
                <w:rFonts w:hint="eastAsia" w:cs="Times New Roman"/>
                <w:color w:val="auto"/>
                <w:sz w:val="24"/>
                <w:u w:val="none" w:color="auto"/>
                <w:lang w:eastAsia="zh-CN"/>
              </w:rPr>
              <w:t>草木灰</w:t>
            </w:r>
            <w:r>
              <w:rPr>
                <w:rFonts w:hint="eastAsia" w:ascii="Times New Roman" w:hAnsi="Times New Roman" w:eastAsia="宋体" w:cs="Times New Roman"/>
                <w:color w:val="auto"/>
                <w:sz w:val="24"/>
                <w:u w:val="none" w:color="auto"/>
                <w:lang w:eastAsia="zh-CN"/>
              </w:rPr>
              <w:t>筒仓</w:t>
            </w:r>
            <w:r>
              <w:rPr>
                <w:rFonts w:hint="eastAsia" w:ascii="Times New Roman" w:hAnsi="Times New Roman" w:eastAsia="宋体" w:cs="Times New Roman"/>
                <w:color w:val="auto"/>
                <w:sz w:val="24"/>
                <w:u w:val="none" w:color="auto"/>
                <w:lang w:val="en-US" w:eastAsia="zh-CN"/>
              </w:rPr>
              <w:t>1个，容积为2</w:t>
            </w:r>
            <w:r>
              <w:rPr>
                <w:rFonts w:hint="eastAsia" w:ascii="Times New Roman" w:hAnsi="Times New Roman" w:cs="Times New Roman"/>
                <w:color w:val="auto"/>
                <w:sz w:val="24"/>
                <w:u w:val="none" w:color="auto"/>
                <w:lang w:val="en-US" w:eastAsia="zh-CN"/>
              </w:rPr>
              <w:t>0</w:t>
            </w:r>
            <w:r>
              <w:rPr>
                <w:rFonts w:hint="eastAsia" w:ascii="Times New Roman" w:hAnsi="Times New Roman" w:eastAsia="宋体" w:cs="Times New Roman"/>
                <w:color w:val="auto"/>
                <w:sz w:val="24"/>
                <w:u w:val="none" w:color="auto"/>
                <w:lang w:val="en-US" w:eastAsia="zh-CN"/>
              </w:rPr>
              <w:t>0t/个</w:t>
            </w:r>
            <w:r>
              <w:rPr>
                <w:rFonts w:hint="default" w:ascii="Times New Roman" w:hAnsi="Times New Roman" w:eastAsia="宋体" w:cs="Times New Roman"/>
                <w:color w:val="auto"/>
                <w:sz w:val="24"/>
                <w:u w:val="none" w:color="auto"/>
              </w:rPr>
              <w:t>。项目所使用的由密封的散装车运至站内，用压缩空气法打料，由于受气体冲击，在罐装过程中粉尘会随着筒仓内的空气从筒仓顶部的排气孔中排出，筒仓底为密封管道连接，</w:t>
            </w:r>
            <w:r>
              <w:rPr>
                <w:rFonts w:ascii="宋体" w:hAnsi="宋体" w:eastAsia="宋体" w:cs="宋体"/>
                <w:sz w:val="24"/>
                <w:szCs w:val="24"/>
              </w:rPr>
              <w:t>在正常情况下，呼吸孔均处于密闭状态，以便于使筒库内部对库外存在一定的压力差。在筒库进料的过程中，呼吸孔也是处于密闭状态，在进料的末期，呼吸孔压力阀随着库内压力的增加，发出警示音，表明筒库已满，停止进料。在进料作业停止，底部阀门关闭后，呼吸孔开始对外排气，释放库内部分压缩空气，使筒库内压力降至一定的水平。在呼吸孔排气过程中，筒库内部分粉末随着压缩空气被排除仓外。</w:t>
            </w:r>
          </w:p>
          <w:p w14:paraId="04FFDCAE">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参考《排放源统计调查产排污核算方法和系数手册》302水泥制品制造行业系数手册中3021水泥制品制造（含3022砼结构构件、3029其他水泥类似制品制造）行业系数表中物料输送储存：颗粒物0.19kg/t-产品。</w:t>
            </w:r>
          </w:p>
          <w:p w14:paraId="198F20A3">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24"/>
                <w:szCs w:val="24"/>
                <w:lang w:val="en-US" w:eastAsia="zh-CN"/>
              </w:rPr>
              <w:t>本项目</w:t>
            </w: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用量约为</w:t>
            </w:r>
            <w:r>
              <w:rPr>
                <w:rFonts w:hint="eastAsia" w:ascii="Times New Roman" w:hAnsi="Times New Roman" w:cs="Times New Roman"/>
                <w:sz w:val="24"/>
                <w:szCs w:val="24"/>
                <w:lang w:val="en-US" w:eastAsia="zh-CN"/>
              </w:rPr>
              <w:t>4</w:t>
            </w:r>
            <w:r>
              <w:rPr>
                <w:rFonts w:hint="eastAsia" w:ascii="Times New Roman" w:hAnsi="Times New Roman" w:eastAsia="宋体" w:cs="Times New Roman"/>
                <w:sz w:val="24"/>
                <w:szCs w:val="24"/>
                <w:lang w:val="en-US" w:eastAsia="zh-CN"/>
              </w:rPr>
              <w:t>000</w:t>
            </w:r>
            <w:r>
              <w:rPr>
                <w:rFonts w:hint="default" w:ascii="Times New Roman" w:hAnsi="Times New Roman" w:eastAsia="宋体" w:cs="Times New Roman"/>
                <w:sz w:val="24"/>
                <w:szCs w:val="24"/>
              </w:rPr>
              <w:t>t/a</w:t>
            </w:r>
            <w:r>
              <w:rPr>
                <w:rFonts w:hint="eastAsia" w:ascii="Times New Roman" w:hAnsi="Times New Roman" w:eastAsia="宋体" w:cs="Times New Roman"/>
                <w:sz w:val="24"/>
                <w:szCs w:val="24"/>
                <w:lang w:eastAsia="zh-CN"/>
              </w:rPr>
              <w:t>，每天卸料时长约</w:t>
            </w:r>
            <w:r>
              <w:rPr>
                <w:rFonts w:hint="eastAsia" w:ascii="Times New Roman" w:hAnsi="Times New Roman" w:eastAsia="宋体" w:cs="Times New Roman"/>
                <w:sz w:val="24"/>
                <w:szCs w:val="24"/>
                <w:lang w:val="en-US" w:eastAsia="zh-CN"/>
              </w:rPr>
              <w:t>4h</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则</w:t>
            </w:r>
            <w:r>
              <w:rPr>
                <w:rFonts w:hint="eastAsia" w:ascii="Times New Roman" w:hAnsi="Times New Roman" w:eastAsia="宋体" w:cs="Times New Roman"/>
                <w:sz w:val="24"/>
                <w:szCs w:val="24"/>
                <w:lang w:eastAsia="zh-CN"/>
              </w:rPr>
              <w:t>筒仓</w:t>
            </w:r>
            <w:r>
              <w:rPr>
                <w:rFonts w:hint="default" w:ascii="Times New Roman" w:hAnsi="Times New Roman" w:eastAsia="宋体" w:cs="Times New Roman"/>
                <w:sz w:val="24"/>
                <w:szCs w:val="24"/>
              </w:rPr>
              <w:t>粉尘产生量为</w:t>
            </w:r>
            <w:r>
              <w:rPr>
                <w:rFonts w:hint="eastAsia" w:ascii="Times New Roman" w:hAnsi="Times New Roman" w:cs="Times New Roman"/>
                <w:sz w:val="24"/>
                <w:szCs w:val="24"/>
                <w:lang w:val="en-US" w:eastAsia="zh-CN"/>
              </w:rPr>
              <w:t>0.76</w:t>
            </w:r>
            <w:r>
              <w:rPr>
                <w:rFonts w:hint="default" w:ascii="Times New Roman" w:hAnsi="Times New Roman" w:eastAsia="宋体" w:cs="Times New Roman"/>
                <w:sz w:val="24"/>
                <w:szCs w:val="24"/>
              </w:rPr>
              <w:t>t/a</w:t>
            </w:r>
            <w:r>
              <w:rPr>
                <w:rFonts w:hint="eastAsia" w:ascii="Times New Roman" w:hAnsi="Times New Roman" w:eastAsia="宋体" w:cs="Times New Roman"/>
                <w:sz w:val="24"/>
                <w:szCs w:val="24"/>
                <w:lang w:eastAsia="zh-CN"/>
              </w:rPr>
              <w:t>（</w:t>
            </w:r>
            <w:r>
              <w:rPr>
                <w:rFonts w:hint="eastAsia" w:ascii="Times New Roman" w:hAnsi="Times New Roman" w:cs="Times New Roman"/>
                <w:sz w:val="24"/>
                <w:szCs w:val="24"/>
                <w:lang w:val="en-US" w:eastAsia="zh-CN"/>
              </w:rPr>
              <w:t>0.63</w:t>
            </w:r>
            <w:r>
              <w:rPr>
                <w:rFonts w:hint="eastAsia" w:ascii="Times New Roman" w:hAnsi="Times New Roman" w:eastAsia="宋体" w:cs="Times New Roman"/>
                <w:sz w:val="24"/>
                <w:szCs w:val="24"/>
                <w:lang w:val="en-US" w:eastAsia="zh-CN"/>
              </w:rPr>
              <w:t>kg/h</w:t>
            </w:r>
            <w:r>
              <w:rPr>
                <w:rFonts w:hint="eastAsia" w:ascii="Times New Roman" w:hAnsi="Times New Roman" w:eastAsia="宋体" w:cs="Times New Roman"/>
                <w:sz w:val="24"/>
                <w:szCs w:val="24"/>
                <w:lang w:eastAsia="zh-CN"/>
              </w:rPr>
              <w:t>）。</w:t>
            </w:r>
          </w:p>
          <w:p w14:paraId="173C94B0">
            <w:pPr>
              <w:spacing w:line="360" w:lineRule="auto"/>
              <w:ind w:firstLine="480" w:firstLineChars="200"/>
              <w:rPr>
                <w:rFonts w:hint="eastAsia" w:ascii="Times New Roman" w:hAnsi="Times New Roman" w:eastAsia="宋体" w:cs="Times New Roman"/>
                <w:color w:val="auto"/>
                <w:sz w:val="24"/>
                <w:u w:val="none" w:color="auto"/>
                <w:lang w:eastAsia="zh-CN"/>
              </w:rPr>
            </w:pPr>
            <w:r>
              <w:rPr>
                <w:rFonts w:hint="eastAsia" w:cs="Times New Roman"/>
                <w:sz w:val="24"/>
                <w:szCs w:val="24"/>
                <w:lang w:eastAsia="zh-CN"/>
              </w:rPr>
              <w:t>草木灰</w:t>
            </w:r>
            <w:r>
              <w:rPr>
                <w:rFonts w:hint="default" w:ascii="Times New Roman" w:hAnsi="Times New Roman" w:eastAsia="宋体" w:cs="Times New Roman"/>
                <w:sz w:val="24"/>
                <w:szCs w:val="24"/>
              </w:rPr>
              <w:t>筒仓配有高效袋式</w:t>
            </w:r>
            <w:r>
              <w:rPr>
                <w:rFonts w:hint="eastAsia" w:ascii="Times New Roman" w:hAnsi="Times New Roman" w:eastAsia="宋体" w:cs="Times New Roman"/>
                <w:sz w:val="24"/>
                <w:szCs w:val="24"/>
                <w:lang w:eastAsia="zh-CN"/>
              </w:rPr>
              <w:t>仓顶</w:t>
            </w:r>
            <w:r>
              <w:rPr>
                <w:rFonts w:hint="default" w:ascii="Times New Roman" w:hAnsi="Times New Roman" w:eastAsia="宋体" w:cs="Times New Roman"/>
                <w:sz w:val="24"/>
                <w:szCs w:val="24"/>
              </w:rPr>
              <w:t>除尘</w:t>
            </w:r>
            <w:r>
              <w:rPr>
                <w:rFonts w:hint="eastAsia" w:ascii="Times New Roman" w:hAnsi="Times New Roman" w:eastAsia="宋体" w:cs="Times New Roman"/>
                <w:sz w:val="24"/>
                <w:szCs w:val="24"/>
                <w:lang w:eastAsia="zh-CN"/>
              </w:rPr>
              <w:t>器</w:t>
            </w:r>
            <w:r>
              <w:rPr>
                <w:rFonts w:hint="default" w:ascii="Times New Roman" w:hAnsi="Times New Roman" w:eastAsia="宋体" w:cs="Times New Roman"/>
                <w:sz w:val="24"/>
                <w:szCs w:val="24"/>
              </w:rPr>
              <w:t>，</w:t>
            </w:r>
            <w:r>
              <w:rPr>
                <w:rFonts w:hint="eastAsia" w:ascii="Times New Roman" w:hAnsi="Times New Roman" w:eastAsia="宋体" w:cs="Times New Roman"/>
                <w:color w:val="auto"/>
                <w:sz w:val="24"/>
                <w:u w:val="none" w:color="auto"/>
                <w:lang w:val="en-US" w:eastAsia="zh-CN"/>
              </w:rPr>
              <w:t>共设有</w:t>
            </w:r>
            <w:r>
              <w:rPr>
                <w:rFonts w:hint="eastAsia" w:ascii="Times New Roman" w:hAnsi="Times New Roman" w:cs="Times New Roman"/>
                <w:color w:val="auto"/>
                <w:sz w:val="24"/>
                <w:u w:val="none" w:color="auto"/>
                <w:lang w:val="en-US" w:eastAsia="zh-CN"/>
              </w:rPr>
              <w:t>1</w:t>
            </w:r>
            <w:r>
              <w:rPr>
                <w:rFonts w:hint="eastAsia" w:ascii="Times New Roman" w:hAnsi="Times New Roman" w:eastAsia="宋体" w:cs="Times New Roman"/>
                <w:color w:val="auto"/>
                <w:sz w:val="24"/>
                <w:u w:val="none" w:color="auto"/>
                <w:lang w:val="en-US" w:eastAsia="zh-CN"/>
              </w:rPr>
              <w:t>个排气筒DA00</w:t>
            </w:r>
            <w:r>
              <w:rPr>
                <w:rFonts w:hint="eastAsia" w:cs="Times New Roman"/>
                <w:color w:val="auto"/>
                <w:sz w:val="24"/>
                <w:u w:val="none" w:color="auto"/>
                <w:lang w:val="en-US" w:eastAsia="zh-CN"/>
              </w:rPr>
              <w:t>2</w:t>
            </w:r>
            <w:r>
              <w:rPr>
                <w:rFonts w:hint="eastAsia" w:ascii="Times New Roman" w:hAnsi="Times New Roman" w:eastAsia="宋体" w:cs="Times New Roman"/>
                <w:color w:val="auto"/>
                <w:sz w:val="24"/>
                <w:u w:val="none" w:color="auto"/>
                <w:lang w:val="en-US" w:eastAsia="zh-CN"/>
              </w:rPr>
              <w:t>，</w:t>
            </w:r>
            <w:r>
              <w:rPr>
                <w:rFonts w:hint="default" w:ascii="Times New Roman" w:hAnsi="Times New Roman" w:eastAsia="宋体" w:cs="Times New Roman"/>
                <w:color w:val="auto"/>
                <w:sz w:val="24"/>
                <w:u w:val="none" w:color="auto"/>
              </w:rPr>
              <w:t>除尘器除尘效率</w:t>
            </w:r>
            <w:r>
              <w:rPr>
                <w:rFonts w:hint="eastAsia" w:ascii="Times New Roman" w:hAnsi="Times New Roman" w:eastAsia="宋体" w:cs="Times New Roman"/>
                <w:color w:val="auto"/>
                <w:sz w:val="24"/>
                <w:u w:val="none" w:color="auto"/>
                <w:lang w:eastAsia="zh-CN"/>
              </w:rPr>
              <w:t>按</w:t>
            </w:r>
            <w:r>
              <w:rPr>
                <w:rFonts w:hint="default" w:ascii="Times New Roman" w:hAnsi="Times New Roman" w:eastAsia="宋体" w:cs="Times New Roman"/>
                <w:color w:val="auto"/>
                <w:sz w:val="24"/>
                <w:u w:val="none" w:color="auto"/>
              </w:rPr>
              <w:t>99</w:t>
            </w:r>
            <w:r>
              <w:rPr>
                <w:rFonts w:hint="eastAsia" w:ascii="Times New Roman" w:hAnsi="Times New Roman" w:eastAsia="宋体" w:cs="Times New Roman"/>
                <w:color w:val="auto"/>
                <w:sz w:val="24"/>
                <w:u w:val="none" w:color="auto"/>
                <w:lang w:val="en-US" w:eastAsia="zh-CN"/>
              </w:rPr>
              <w:t>.</w:t>
            </w:r>
            <w:r>
              <w:rPr>
                <w:rFonts w:hint="eastAsia" w:ascii="Times New Roman" w:hAnsi="Times New Roman" w:cs="Times New Roman"/>
                <w:color w:val="auto"/>
                <w:sz w:val="24"/>
                <w:u w:val="none" w:color="auto"/>
                <w:lang w:val="en-US" w:eastAsia="zh-CN"/>
              </w:rPr>
              <w:t>5</w:t>
            </w:r>
            <w:r>
              <w:rPr>
                <w:rFonts w:hint="default" w:ascii="Times New Roman" w:hAnsi="Times New Roman" w:eastAsia="宋体" w:cs="Times New Roman"/>
                <w:color w:val="auto"/>
                <w:sz w:val="24"/>
                <w:u w:val="none" w:color="auto"/>
              </w:rPr>
              <w:t>%</w:t>
            </w:r>
            <w:r>
              <w:rPr>
                <w:rFonts w:hint="eastAsia" w:ascii="Times New Roman" w:hAnsi="Times New Roman" w:eastAsia="宋体" w:cs="Times New Roman"/>
                <w:color w:val="auto"/>
                <w:sz w:val="24"/>
                <w:u w:val="none" w:color="auto"/>
                <w:lang w:eastAsia="zh-CN"/>
              </w:rPr>
              <w:t>计</w:t>
            </w:r>
            <w:r>
              <w:rPr>
                <w:rFonts w:hint="default" w:ascii="Times New Roman" w:hAnsi="Times New Roman" w:eastAsia="宋体" w:cs="Times New Roman"/>
                <w:color w:val="auto"/>
                <w:sz w:val="24"/>
                <w:u w:val="none" w:color="auto"/>
              </w:rPr>
              <w:t>，</w:t>
            </w:r>
            <w:r>
              <w:rPr>
                <w:rFonts w:hint="eastAsia" w:ascii="Times New Roman" w:hAnsi="Times New Roman" w:eastAsia="宋体" w:cs="Times New Roman"/>
                <w:color w:val="auto"/>
                <w:sz w:val="24"/>
                <w:u w:val="none" w:color="auto"/>
                <w:lang w:eastAsia="zh-CN"/>
              </w:rPr>
              <w:t>筒仓风机风量为</w:t>
            </w:r>
            <w:r>
              <w:rPr>
                <w:rFonts w:hint="eastAsia" w:ascii="Times New Roman" w:hAnsi="Times New Roman" w:cs="Times New Roman"/>
                <w:color w:val="auto"/>
                <w:sz w:val="24"/>
                <w:u w:val="none" w:color="auto"/>
                <w:lang w:val="en-US" w:eastAsia="zh-CN"/>
              </w:rPr>
              <w:t>2</w:t>
            </w:r>
            <w:r>
              <w:rPr>
                <w:rFonts w:hint="eastAsia" w:ascii="Times New Roman" w:hAnsi="Times New Roman" w:eastAsia="宋体" w:cs="Times New Roman"/>
                <w:color w:val="auto"/>
                <w:sz w:val="24"/>
                <w:u w:val="none" w:color="auto"/>
                <w:lang w:val="en-US" w:eastAsia="zh-CN"/>
              </w:rPr>
              <w:t>000m</w:t>
            </w:r>
            <w:r>
              <w:rPr>
                <w:rFonts w:hint="eastAsia" w:ascii="Times New Roman" w:hAnsi="Times New Roman" w:eastAsia="宋体" w:cs="Times New Roman"/>
                <w:color w:val="auto"/>
                <w:sz w:val="24"/>
                <w:u w:val="none" w:color="auto"/>
                <w:vertAlign w:val="superscript"/>
                <w:lang w:val="en-US" w:eastAsia="zh-CN"/>
              </w:rPr>
              <w:t>3</w:t>
            </w:r>
            <w:r>
              <w:rPr>
                <w:rFonts w:hint="eastAsia" w:ascii="Times New Roman" w:hAnsi="Times New Roman" w:eastAsia="宋体" w:cs="Times New Roman"/>
                <w:color w:val="auto"/>
                <w:sz w:val="24"/>
                <w:u w:val="none" w:color="auto"/>
                <w:lang w:val="en-US" w:eastAsia="zh-CN"/>
              </w:rPr>
              <w:t>/h。</w:t>
            </w:r>
          </w:p>
          <w:p w14:paraId="5DBB29F0">
            <w:pPr>
              <w:adjustRightInd w:val="0"/>
              <w:snapToGrid w:val="0"/>
              <w:spacing w:line="348" w:lineRule="auto"/>
              <w:ind w:firstLine="480" w:firstLineChars="200"/>
              <w:rPr>
                <w:rFonts w:hint="eastAsia" w:cs="Times New Roman"/>
                <w:b/>
                <w:bCs/>
                <w:color w:val="auto"/>
                <w:sz w:val="24"/>
                <w:lang w:val="en-US" w:eastAsia="zh-CN"/>
              </w:rPr>
            </w:pPr>
            <w:r>
              <w:rPr>
                <w:rFonts w:hint="eastAsia" w:ascii="Times New Roman" w:hAnsi="Times New Roman" w:eastAsia="宋体" w:cs="Times New Roman"/>
                <w:color w:val="auto"/>
                <w:sz w:val="24"/>
                <w:u w:val="none" w:color="auto"/>
                <w:lang w:eastAsia="zh-CN"/>
              </w:rPr>
              <w:t>筒仓粉尘经仓顶除尘器处理后的含尘废气直接在仓顶排放，筒仓</w:t>
            </w:r>
            <w:r>
              <w:rPr>
                <w:rFonts w:hint="eastAsia" w:ascii="Times New Roman" w:hAnsi="Times New Roman" w:eastAsia="宋体" w:cs="Times New Roman"/>
                <w:color w:val="auto"/>
                <w:sz w:val="24"/>
                <w:u w:val="none" w:color="auto"/>
                <w:lang w:val="en-US" w:eastAsia="zh-CN"/>
              </w:rPr>
              <w:t>DA00</w:t>
            </w:r>
            <w:r>
              <w:rPr>
                <w:rFonts w:hint="eastAsia" w:cs="Times New Roman"/>
                <w:color w:val="auto"/>
                <w:sz w:val="24"/>
                <w:u w:val="none" w:color="auto"/>
                <w:lang w:val="en-US" w:eastAsia="zh-CN"/>
              </w:rPr>
              <w:t>2</w:t>
            </w:r>
            <w:r>
              <w:rPr>
                <w:rFonts w:hint="eastAsia" w:ascii="Times New Roman" w:hAnsi="Times New Roman" w:eastAsia="宋体" w:cs="Times New Roman"/>
                <w:color w:val="auto"/>
                <w:sz w:val="24"/>
                <w:u w:val="none" w:color="auto"/>
                <w:lang w:eastAsia="zh-CN"/>
              </w:rPr>
              <w:t>粉尘排放量为</w:t>
            </w:r>
            <w:r>
              <w:rPr>
                <w:rFonts w:hint="eastAsia" w:ascii="Times New Roman" w:hAnsi="Times New Roman" w:eastAsia="宋体" w:cs="Times New Roman"/>
                <w:color w:val="auto"/>
                <w:sz w:val="24"/>
                <w:u w:val="none" w:color="auto"/>
                <w:lang w:val="en-US" w:eastAsia="zh-CN"/>
              </w:rPr>
              <w:t>0.00</w:t>
            </w:r>
            <w:r>
              <w:rPr>
                <w:rFonts w:hint="eastAsia" w:ascii="Times New Roman" w:hAnsi="Times New Roman" w:cs="Times New Roman"/>
                <w:color w:val="auto"/>
                <w:sz w:val="24"/>
                <w:u w:val="none" w:color="auto"/>
                <w:lang w:val="en-US" w:eastAsia="zh-CN"/>
              </w:rPr>
              <w:t>38</w:t>
            </w:r>
            <w:r>
              <w:rPr>
                <w:rFonts w:hint="default" w:ascii="Times New Roman" w:hAnsi="Times New Roman" w:eastAsia="宋体" w:cs="Times New Roman"/>
                <w:color w:val="auto"/>
                <w:sz w:val="24"/>
                <w:u w:val="none" w:color="auto"/>
              </w:rPr>
              <w:t>t/a</w:t>
            </w:r>
            <w:r>
              <w:rPr>
                <w:rFonts w:hint="eastAsia" w:ascii="Times New Roman" w:hAnsi="Times New Roman" w:eastAsia="宋体" w:cs="Times New Roman"/>
                <w:color w:val="auto"/>
                <w:sz w:val="24"/>
                <w:u w:val="none" w:color="auto"/>
                <w:lang w:eastAsia="zh-CN"/>
              </w:rPr>
              <w:t>、排放速率</w:t>
            </w:r>
            <w:r>
              <w:rPr>
                <w:rFonts w:hint="eastAsia" w:ascii="Times New Roman" w:hAnsi="Times New Roman" w:eastAsia="宋体" w:cs="Times New Roman"/>
                <w:sz w:val="24"/>
                <w:szCs w:val="24"/>
                <w:lang w:val="en-US" w:eastAsia="zh-CN"/>
              </w:rPr>
              <w:t>0.00</w:t>
            </w:r>
            <w:r>
              <w:rPr>
                <w:rFonts w:hint="eastAsia" w:ascii="Times New Roman" w:hAnsi="Times New Roman" w:cs="Times New Roman"/>
                <w:sz w:val="24"/>
                <w:szCs w:val="24"/>
                <w:lang w:val="en-US" w:eastAsia="zh-CN"/>
              </w:rPr>
              <w:t>32</w:t>
            </w:r>
            <w:r>
              <w:rPr>
                <w:rFonts w:hint="eastAsia" w:ascii="Times New Roman" w:hAnsi="Times New Roman" w:eastAsia="宋体" w:cs="Times New Roman"/>
                <w:sz w:val="24"/>
                <w:szCs w:val="24"/>
                <w:lang w:val="en-US" w:eastAsia="zh-CN"/>
              </w:rPr>
              <w:t>kg/h</w:t>
            </w:r>
            <w:r>
              <w:rPr>
                <w:rFonts w:hint="eastAsia" w:ascii="Times New Roman" w:hAnsi="Times New Roman" w:eastAsia="宋体" w:cs="Times New Roman"/>
                <w:sz w:val="24"/>
                <w:szCs w:val="24"/>
                <w:lang w:eastAsia="zh-CN"/>
              </w:rPr>
              <w:t>、排放浓度</w:t>
            </w:r>
            <w:r>
              <w:rPr>
                <w:rFonts w:hint="eastAsia" w:ascii="Times New Roman" w:hAnsi="Times New Roman" w:cs="Times New Roman"/>
                <w:sz w:val="24"/>
                <w:szCs w:val="24"/>
                <w:lang w:val="en-US" w:eastAsia="zh-CN"/>
              </w:rPr>
              <w:t>1.58</w:t>
            </w:r>
            <w:r>
              <w:rPr>
                <w:rFonts w:hint="eastAsia" w:ascii="Times New Roman" w:hAnsi="Times New Roman" w:eastAsia="宋体" w:cs="Times New Roman"/>
                <w:sz w:val="24"/>
                <w:szCs w:val="24"/>
                <w:lang w:val="en-US" w:eastAsia="zh-CN"/>
              </w:rPr>
              <w:t>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color w:val="auto"/>
                <w:sz w:val="24"/>
                <w:u w:val="none" w:color="auto"/>
                <w:lang w:eastAsia="zh-CN"/>
              </w:rPr>
              <w:t>。</w:t>
            </w:r>
          </w:p>
          <w:p w14:paraId="3D33A45C">
            <w:pPr>
              <w:adjustRightInd w:val="0"/>
              <w:snapToGrid w:val="0"/>
              <w:spacing w:line="348" w:lineRule="auto"/>
              <w:ind w:firstLine="482" w:firstLineChars="200"/>
              <w:rPr>
                <w:rFonts w:hint="eastAsia" w:eastAsia="宋体"/>
                <w:b/>
                <w:bCs/>
                <w:color w:val="auto"/>
                <w:sz w:val="24"/>
                <w:lang w:eastAsia="zh-CN"/>
              </w:rPr>
            </w:pPr>
            <w:r>
              <w:rPr>
                <w:rFonts w:hint="eastAsia"/>
                <w:b/>
                <w:bCs/>
                <w:color w:val="auto"/>
                <w:sz w:val="24"/>
                <w:lang w:val="en-US" w:eastAsia="zh-CN"/>
              </w:rPr>
              <w:t>⑤</w:t>
            </w:r>
            <w:r>
              <w:rPr>
                <w:rFonts w:hint="eastAsia"/>
                <w:b/>
                <w:bCs/>
                <w:color w:val="auto"/>
                <w:sz w:val="24"/>
                <w:lang w:eastAsia="zh-CN"/>
              </w:rPr>
              <w:t>破碎松散废气</w:t>
            </w:r>
          </w:p>
          <w:p w14:paraId="41297DB0">
            <w:pPr>
              <w:adjustRightInd w:val="0"/>
              <w:snapToGrid w:val="0"/>
              <w:spacing w:line="348" w:lineRule="auto"/>
              <w:ind w:firstLine="480" w:firstLineChars="200"/>
              <w:rPr>
                <w:rFonts w:hint="default" w:ascii="Times New Roman" w:hAnsi="Times New Roman" w:eastAsia="宋体" w:cs="Times New Roman"/>
                <w:color w:val="auto"/>
                <w:sz w:val="24"/>
                <w:lang w:val="en-US" w:eastAsia="zh-CN"/>
              </w:rPr>
            </w:pPr>
            <w:r>
              <w:rPr>
                <w:rFonts w:hint="eastAsia"/>
                <w:color w:val="auto"/>
                <w:sz w:val="24"/>
                <w:lang w:eastAsia="zh-CN"/>
              </w:rPr>
              <w:t>回填土、固化土、绿化营养土生产过程</w:t>
            </w:r>
            <w:r>
              <w:rPr>
                <w:rFonts w:hint="eastAsia" w:ascii="Times New Roman" w:hAnsi="Times New Roman" w:eastAsia="宋体" w:cs="Times New Roman"/>
                <w:color w:val="auto"/>
                <w:sz w:val="24"/>
                <w:lang w:eastAsia="zh-CN"/>
              </w:rPr>
              <w:t>中对混合物料进行破碎松散，此过程颗粒物（粉尘），</w:t>
            </w:r>
            <w:r>
              <w:rPr>
                <w:rFonts w:hint="eastAsia" w:ascii="Times New Roman" w:hAnsi="Times New Roman" w:eastAsia="宋体" w:cs="Times New Roman"/>
                <w:color w:val="auto"/>
                <w:sz w:val="24"/>
                <w:lang w:val="en-US" w:eastAsia="zh-CN"/>
              </w:rPr>
              <w:t>年工作时长2400h。</w:t>
            </w:r>
          </w:p>
          <w:p w14:paraId="6CF07363">
            <w:pPr>
              <w:adjustRightInd w:val="0"/>
              <w:snapToGrid w:val="0"/>
              <w:spacing w:line="348"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该部分粉尘参考照《逸散性工业粉尘控制技术》中表 </w:t>
            </w:r>
            <w:r>
              <w:rPr>
                <w:rFonts w:hint="default" w:ascii="Times New Roman" w:hAnsi="Times New Roman" w:eastAsia="宋体" w:cs="Times New Roman"/>
                <w:color w:val="auto"/>
                <w:sz w:val="24"/>
                <w:lang w:val="en-US" w:eastAsia="zh-CN"/>
              </w:rPr>
              <w:t xml:space="preserve">18-1 </w:t>
            </w:r>
            <w:r>
              <w:rPr>
                <w:rFonts w:hint="eastAsia" w:ascii="Times New Roman" w:hAnsi="Times New Roman" w:eastAsia="宋体" w:cs="Times New Roman"/>
                <w:color w:val="auto"/>
                <w:sz w:val="24"/>
                <w:lang w:val="en-US" w:eastAsia="zh-CN"/>
              </w:rPr>
              <w:t>粒料加工厂逸散尘排放因子，砂和砾石破碎筛选粉尘产生系数为</w:t>
            </w:r>
            <w:r>
              <w:rPr>
                <w:rFonts w:hint="default" w:ascii="Times New Roman" w:hAnsi="Times New Roman" w:eastAsia="宋体" w:cs="Times New Roman"/>
                <w:color w:val="auto"/>
                <w:sz w:val="24"/>
                <w:lang w:val="en-US" w:eastAsia="zh-CN"/>
              </w:rPr>
              <w:t>0.05kg/t</w:t>
            </w:r>
            <w:r>
              <w:rPr>
                <w:rFonts w:hint="eastAsia" w:ascii="Times New Roman" w:hAnsi="Times New Roman" w:eastAsia="宋体" w:cs="Times New Roman"/>
                <w:color w:val="auto"/>
                <w:sz w:val="24"/>
                <w:lang w:val="en-US" w:eastAsia="zh-CN"/>
              </w:rPr>
              <w:t>，本项目经粉土机加工的混合物料约</w:t>
            </w:r>
            <w:r>
              <w:rPr>
                <w:rFonts w:hint="eastAsia" w:cs="Times New Roman"/>
                <w:color w:val="auto"/>
                <w:sz w:val="24"/>
                <w:lang w:val="en-US" w:eastAsia="zh-CN"/>
              </w:rPr>
              <w:t>8</w:t>
            </w:r>
            <w:r>
              <w:rPr>
                <w:rFonts w:hint="eastAsia" w:ascii="Times New Roman" w:hAnsi="Times New Roman" w:eastAsia="宋体" w:cs="Times New Roman"/>
                <w:color w:val="auto"/>
                <w:sz w:val="24"/>
                <w:lang w:val="en-US" w:eastAsia="zh-CN"/>
              </w:rPr>
              <w:t>万</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，则破碎松散粉尘产生量约</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p>
          <w:p w14:paraId="705C29D5">
            <w:pPr>
              <w:adjustRightInd w:val="0"/>
              <w:snapToGrid w:val="0"/>
              <w:spacing w:line="348"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粉</w:t>
            </w:r>
            <w:r>
              <w:rPr>
                <w:rFonts w:hint="eastAsia" w:cs="Times New Roman"/>
                <w:color w:val="auto"/>
                <w:sz w:val="24"/>
                <w:lang w:val="en-US" w:eastAsia="zh-CN"/>
              </w:rPr>
              <w:t>碎</w:t>
            </w:r>
            <w:r>
              <w:rPr>
                <w:rFonts w:hint="eastAsia" w:ascii="Times New Roman" w:hAnsi="Times New Roman" w:eastAsia="宋体" w:cs="Times New Roman"/>
                <w:color w:val="auto"/>
                <w:sz w:val="24"/>
                <w:lang w:val="en-US" w:eastAsia="zh-CN"/>
              </w:rPr>
              <w:t>机加工过程密闭，粉土废气</w:t>
            </w:r>
            <w:r>
              <w:rPr>
                <w:rFonts w:hint="eastAsia" w:ascii="Times New Roman" w:hAnsi="Times New Roman" w:eastAsia="宋体" w:cs="Times New Roman"/>
                <w:color w:val="auto"/>
                <w:sz w:val="24"/>
                <w:lang w:eastAsia="zh-CN"/>
              </w:rPr>
              <w:t>经风机收集后由管道输送至除尘器处理，脉冲除尘器</w:t>
            </w:r>
            <w:r>
              <w:rPr>
                <w:rFonts w:hint="eastAsia" w:cs="Times New Roman"/>
                <w:color w:val="auto"/>
                <w:sz w:val="24"/>
                <w:lang w:eastAsia="zh-CN"/>
              </w:rPr>
              <w:t>收集效率</w:t>
            </w:r>
            <w:r>
              <w:rPr>
                <w:rFonts w:hint="eastAsia" w:cs="Times New Roman"/>
                <w:color w:val="auto"/>
                <w:sz w:val="24"/>
                <w:lang w:val="en-US" w:eastAsia="zh-CN"/>
              </w:rPr>
              <w:t>90%，</w:t>
            </w:r>
            <w:r>
              <w:rPr>
                <w:rFonts w:hint="eastAsia" w:ascii="Times New Roman" w:hAnsi="Times New Roman" w:eastAsia="宋体" w:cs="Times New Roman"/>
                <w:color w:val="auto"/>
                <w:sz w:val="24"/>
                <w:lang w:eastAsia="zh-CN"/>
              </w:rPr>
              <w:t>处理效率为99%，物料混合搅拌经布袋除尘器处理后由15米高的排气筒（DA00</w:t>
            </w:r>
            <w:r>
              <w:rPr>
                <w:rFonts w:hint="eastAsia" w:cs="Times New Roman"/>
                <w:color w:val="auto"/>
                <w:sz w:val="24"/>
                <w:lang w:val="en-US" w:eastAsia="zh-CN"/>
              </w:rPr>
              <w:t>1</w:t>
            </w:r>
            <w:r>
              <w:rPr>
                <w:rFonts w:hint="eastAsia" w:ascii="Times New Roman" w:hAnsi="Times New Roman" w:eastAsia="宋体" w:cs="Times New Roman"/>
                <w:color w:val="auto"/>
                <w:sz w:val="24"/>
                <w:lang w:eastAsia="zh-CN"/>
              </w:rPr>
              <w:t>）排放。</w:t>
            </w:r>
          </w:p>
          <w:p w14:paraId="68CB820D">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eastAsia" w:eastAsia="宋体" w:cs="Times New Roman"/>
                <w:color w:val="auto"/>
                <w:sz w:val="24"/>
                <w:szCs w:val="24"/>
                <w:lang w:val="en-US" w:eastAsia="zh-CN"/>
              </w:rPr>
            </w:pPr>
            <w:r>
              <w:rPr>
                <w:rFonts w:hint="eastAsia" w:eastAsia="宋体" w:cs="Times New Roman"/>
                <w:b/>
                <w:bCs/>
                <w:color w:val="auto"/>
                <w:sz w:val="24"/>
                <w:szCs w:val="24"/>
                <w:lang w:val="en-US" w:eastAsia="zh-CN"/>
              </w:rPr>
              <w:t>风量计算：</w:t>
            </w:r>
          </w:p>
          <w:p w14:paraId="46C5BF94">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根据《简明通风设计手册》，单个集气罩集气风量计算公式：</w:t>
            </w:r>
          </w:p>
          <w:p w14:paraId="4705A8F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Q=K（a＋b）×h×V</w:t>
            </w:r>
            <w:r>
              <w:rPr>
                <w:rFonts w:hint="eastAsia" w:eastAsia="宋体" w:cs="Times New Roman"/>
                <w:color w:val="auto"/>
                <w:sz w:val="24"/>
                <w:szCs w:val="24"/>
                <w:vertAlign w:val="subscript"/>
                <w:lang w:val="en-US" w:eastAsia="zh-CN"/>
              </w:rPr>
              <w:t>0</w:t>
            </w:r>
            <w:r>
              <w:rPr>
                <w:rFonts w:hint="eastAsia" w:eastAsia="宋体" w:cs="Times New Roman"/>
                <w:color w:val="auto"/>
                <w:sz w:val="24"/>
                <w:szCs w:val="24"/>
                <w:lang w:val="en-US" w:eastAsia="zh-CN"/>
              </w:rPr>
              <w:t>×3600</w:t>
            </w:r>
          </w:p>
          <w:p w14:paraId="495E9101">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式中：Q——为集气罩集气风量，单位为m</w:t>
            </w:r>
            <w:r>
              <w:rPr>
                <w:rFonts w:hint="eastAsia" w:eastAsia="宋体" w:cs="Times New Roman"/>
                <w:color w:val="auto"/>
                <w:sz w:val="24"/>
                <w:szCs w:val="24"/>
                <w:vertAlign w:val="superscript"/>
                <w:lang w:val="en-US" w:eastAsia="zh-CN"/>
              </w:rPr>
              <w:t>3</w:t>
            </w:r>
            <w:r>
              <w:rPr>
                <w:rFonts w:hint="eastAsia" w:eastAsia="宋体" w:cs="Times New Roman"/>
                <w:color w:val="auto"/>
                <w:sz w:val="24"/>
                <w:szCs w:val="24"/>
                <w:lang w:val="en-US" w:eastAsia="zh-CN"/>
              </w:rPr>
              <w:t>/h；</w:t>
            </w:r>
          </w:p>
          <w:p w14:paraId="617CFFA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K——为安全系数1.4；</w:t>
            </w:r>
          </w:p>
          <w:p w14:paraId="5D06DC59">
            <w:pPr>
              <w:keepNext w:val="0"/>
              <w:keepLines w:val="0"/>
              <w:pageBreakBefore w:val="0"/>
              <w:widowControl w:val="0"/>
              <w:kinsoku/>
              <w:wordWrap/>
              <w:overflowPunct/>
              <w:topLinePunct w:val="0"/>
              <w:autoSpaceDE/>
              <w:autoSpaceDN/>
              <w:bidi w:val="0"/>
              <w:adjustRightInd w:val="0"/>
              <w:snapToGrid w:val="0"/>
              <w:spacing w:line="348" w:lineRule="auto"/>
              <w:ind w:firstLine="960" w:firstLineChars="4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（a+b）——为集气罩</w:t>
            </w:r>
            <w:r>
              <w:rPr>
                <w:rFonts w:hint="eastAsia" w:cs="Times New Roman"/>
                <w:color w:val="auto"/>
                <w:sz w:val="24"/>
                <w:szCs w:val="24"/>
                <w:lang w:val="en-US" w:eastAsia="zh-CN"/>
              </w:rPr>
              <w:t>长加宽</w:t>
            </w:r>
            <w:r>
              <w:rPr>
                <w:rFonts w:hint="eastAsia" w:eastAsia="宋体" w:cs="Times New Roman"/>
                <w:color w:val="auto"/>
                <w:sz w:val="24"/>
                <w:szCs w:val="24"/>
                <w:lang w:val="en-US" w:eastAsia="zh-CN"/>
              </w:rPr>
              <w:t>，单位为m；</w:t>
            </w:r>
          </w:p>
          <w:p w14:paraId="549B3585">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h——为罩口至污染源的距离，单位为m，本项目取0.5m；</w:t>
            </w:r>
          </w:p>
          <w:p w14:paraId="685D3D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 xml:space="preserve">      V</w:t>
            </w:r>
            <w:r>
              <w:rPr>
                <w:rFonts w:hint="eastAsia" w:eastAsia="宋体" w:cs="Times New Roman"/>
                <w:color w:val="auto"/>
                <w:sz w:val="24"/>
                <w:szCs w:val="24"/>
                <w:vertAlign w:val="subscript"/>
                <w:lang w:val="en-US" w:eastAsia="zh-CN"/>
              </w:rPr>
              <w:t>0</w:t>
            </w:r>
            <w:r>
              <w:rPr>
                <w:rFonts w:hint="eastAsia" w:cs="Times New Roman"/>
                <w:color w:val="auto"/>
                <w:sz w:val="24"/>
                <w:szCs w:val="24"/>
                <w:vertAlign w:val="baseline"/>
                <w:lang w:val="en-US" w:eastAsia="zh-CN"/>
              </w:rPr>
              <w:t>：</w:t>
            </w:r>
            <w:r>
              <w:rPr>
                <w:rFonts w:hint="eastAsia" w:eastAsia="宋体" w:cs="Times New Roman"/>
                <w:color w:val="auto"/>
                <w:sz w:val="24"/>
                <w:szCs w:val="24"/>
                <w:lang w:val="en-US" w:eastAsia="zh-CN"/>
              </w:rPr>
              <w:t>污染源气体流速，一般在0.5m/s~1.5m/s，本次评价取均值1.0m/s（根据《局部排放设置控制风速检测与评估技术规范》（AQ/T4274-2016）中有毒气体外部排风罩控制风速1.0m/s）。</w:t>
            </w:r>
          </w:p>
          <w:p w14:paraId="44B6025F">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color w:val="auto"/>
                <w:sz w:val="24"/>
              </w:rPr>
            </w:pPr>
            <w:r>
              <w:rPr>
                <w:rFonts w:hint="eastAsia" w:eastAsia="宋体" w:cs="Times New Roman"/>
                <w:color w:val="auto"/>
                <w:sz w:val="24"/>
                <w:szCs w:val="24"/>
                <w:lang w:val="en-US" w:eastAsia="zh-CN"/>
              </w:rPr>
              <w:t>根据建设单位提供资料</w:t>
            </w:r>
            <w:r>
              <w:rPr>
                <w:rFonts w:hint="eastAsia" w:cs="Times New Roman"/>
                <w:color w:val="auto"/>
                <w:sz w:val="24"/>
                <w:szCs w:val="24"/>
                <w:lang w:val="en-US" w:eastAsia="zh-CN"/>
              </w:rPr>
              <w:t>：该项目依托原有环保设备，脉冲除尘器+15m排气筒，该设备风机风量为32380</w:t>
            </w:r>
            <w:r>
              <w:rPr>
                <w:rFonts w:hint="eastAsia" w:eastAsia="宋体" w:cs="Times New Roman"/>
                <w:color w:val="auto"/>
                <w:sz w:val="24"/>
                <w:szCs w:val="24"/>
                <w:lang w:val="en-US" w:eastAsia="zh-CN"/>
              </w:rPr>
              <w:t>m</w:t>
            </w:r>
            <w:r>
              <w:rPr>
                <w:rFonts w:hint="eastAsia" w:eastAsia="宋体" w:cs="Times New Roman"/>
                <w:color w:val="auto"/>
                <w:sz w:val="24"/>
                <w:szCs w:val="24"/>
                <w:vertAlign w:val="superscript"/>
                <w:lang w:val="en-US" w:eastAsia="zh-CN"/>
              </w:rPr>
              <w:t>3</w:t>
            </w:r>
            <w:r>
              <w:rPr>
                <w:rFonts w:hint="eastAsia" w:eastAsia="宋体" w:cs="Times New Roman"/>
                <w:color w:val="auto"/>
                <w:sz w:val="24"/>
                <w:szCs w:val="24"/>
                <w:lang w:val="en-US" w:eastAsia="zh-CN"/>
              </w:rPr>
              <w:t>/h</w:t>
            </w:r>
            <w:r>
              <w:rPr>
                <w:rFonts w:hint="eastAsia" w:cs="Times New Roman"/>
                <w:color w:val="auto"/>
                <w:sz w:val="24"/>
                <w:szCs w:val="24"/>
                <w:lang w:val="en-US" w:eastAsia="zh-CN"/>
              </w:rPr>
              <w:t>，</w:t>
            </w:r>
            <w:r>
              <w:rPr>
                <w:rFonts w:hint="eastAsia"/>
                <w:color w:val="auto"/>
                <w:sz w:val="24"/>
              </w:rPr>
              <w:t>日平均运行8h，年工作时间为300天。</w:t>
            </w:r>
            <w:r>
              <w:rPr>
                <w:rFonts w:hint="eastAsia"/>
                <w:color w:val="auto"/>
                <w:sz w:val="24"/>
                <w:lang w:eastAsia="zh-CN"/>
              </w:rPr>
              <w:t>投料</w:t>
            </w:r>
            <w:r>
              <w:rPr>
                <w:rFonts w:hint="eastAsia"/>
                <w:color w:val="auto"/>
                <w:sz w:val="24"/>
                <w:lang w:val="en-US" w:eastAsia="zh-CN"/>
              </w:rPr>
              <w:t>输送废气</w:t>
            </w:r>
            <w:r>
              <w:rPr>
                <w:rFonts w:hint="eastAsia"/>
                <w:color w:val="auto"/>
                <w:sz w:val="24"/>
                <w:lang w:eastAsia="zh-CN"/>
              </w:rPr>
              <w:t>、物料混合搅拌和下料废气、破碎松散废气均经过收集处理后汇入</w:t>
            </w:r>
            <w:r>
              <w:rPr>
                <w:rFonts w:hint="eastAsia"/>
                <w:color w:val="auto"/>
                <w:sz w:val="24"/>
              </w:rPr>
              <w:t>15米高的排气筒（DA00</w:t>
            </w:r>
            <w:r>
              <w:rPr>
                <w:rFonts w:hint="eastAsia"/>
                <w:color w:val="auto"/>
                <w:sz w:val="24"/>
                <w:lang w:val="en-US" w:eastAsia="zh-CN"/>
              </w:rPr>
              <w:t>3</w:t>
            </w:r>
            <w:r>
              <w:rPr>
                <w:rFonts w:hint="eastAsia"/>
                <w:color w:val="auto"/>
                <w:sz w:val="24"/>
              </w:rPr>
              <w:t>）排放。</w:t>
            </w:r>
          </w:p>
          <w:p w14:paraId="10CEE37E">
            <w:pPr>
              <w:adjustRightInd w:val="0"/>
              <w:snapToGrid w:val="0"/>
              <w:spacing w:line="348" w:lineRule="auto"/>
              <w:ind w:firstLine="480" w:firstLineChars="200"/>
              <w:rPr>
                <w:rFonts w:hint="eastAsia"/>
                <w:color w:val="auto"/>
                <w:sz w:val="24"/>
              </w:rPr>
            </w:pPr>
            <w:r>
              <w:rPr>
                <w:rFonts w:hint="eastAsia"/>
                <w:color w:val="auto"/>
                <w:sz w:val="24"/>
                <w:lang w:eastAsia="zh-CN"/>
              </w:rPr>
              <w:t>物料混合搅拌和下料、破碎松散颗粒物（粉尘）</w:t>
            </w:r>
            <w:r>
              <w:rPr>
                <w:rFonts w:hint="eastAsia"/>
                <w:color w:val="auto"/>
                <w:sz w:val="24"/>
              </w:rPr>
              <w:t>产生量</w:t>
            </w:r>
            <w:r>
              <w:rPr>
                <w:rFonts w:hint="eastAsia"/>
                <w:color w:val="auto"/>
                <w:sz w:val="24"/>
                <w:lang w:eastAsia="zh-CN"/>
              </w:rPr>
              <w:t>合计</w:t>
            </w:r>
            <w:r>
              <w:rPr>
                <w:rFonts w:hint="eastAsia"/>
                <w:color w:val="auto"/>
                <w:sz w:val="24"/>
              </w:rPr>
              <w:t>为</w:t>
            </w:r>
            <w:r>
              <w:rPr>
                <w:rFonts w:hint="eastAsia"/>
                <w:color w:val="auto"/>
                <w:sz w:val="24"/>
                <w:lang w:val="en-US" w:eastAsia="zh-CN"/>
              </w:rPr>
              <w:t>45.84</w:t>
            </w:r>
            <w:r>
              <w:rPr>
                <w:rFonts w:hint="eastAsia"/>
                <w:color w:val="auto"/>
                <w:sz w:val="24"/>
              </w:rPr>
              <w:t>t/a。经计算，</w:t>
            </w:r>
            <w:r>
              <w:rPr>
                <w:rFonts w:hint="eastAsia"/>
                <w:color w:val="auto"/>
                <w:sz w:val="24"/>
                <w:lang w:eastAsia="zh-CN"/>
              </w:rPr>
              <w:t>颗粒物</w:t>
            </w:r>
            <w:r>
              <w:rPr>
                <w:rFonts w:hint="eastAsia"/>
                <w:color w:val="auto"/>
                <w:sz w:val="24"/>
              </w:rPr>
              <w:t>的有组织产生量为</w:t>
            </w:r>
            <w:r>
              <w:rPr>
                <w:rFonts w:hint="eastAsia"/>
                <w:color w:val="auto"/>
                <w:sz w:val="24"/>
                <w:lang w:val="en-US" w:eastAsia="zh-CN"/>
              </w:rPr>
              <w:t>41.26</w:t>
            </w:r>
            <w:r>
              <w:rPr>
                <w:rFonts w:hint="eastAsia"/>
                <w:color w:val="auto"/>
                <w:sz w:val="24"/>
              </w:rPr>
              <w:t>t/a</w:t>
            </w:r>
            <w:r>
              <w:rPr>
                <w:rFonts w:hint="eastAsia"/>
                <w:color w:val="auto"/>
                <w:sz w:val="24"/>
                <w:lang w:eastAsia="zh-CN"/>
              </w:rPr>
              <w:t>、产生速率</w:t>
            </w:r>
            <w:r>
              <w:rPr>
                <w:rFonts w:hint="eastAsia"/>
                <w:color w:val="auto"/>
                <w:sz w:val="24"/>
                <w:lang w:val="en-US" w:eastAsia="zh-CN"/>
              </w:rPr>
              <w:t>17.19kg/h、</w:t>
            </w:r>
            <w:r>
              <w:rPr>
                <w:rFonts w:hint="eastAsia"/>
                <w:color w:val="auto"/>
                <w:sz w:val="24"/>
              </w:rPr>
              <w:t>产生浓度为</w:t>
            </w:r>
            <w:r>
              <w:rPr>
                <w:rFonts w:hint="eastAsia"/>
                <w:color w:val="auto"/>
                <w:sz w:val="24"/>
                <w:lang w:val="en-US" w:eastAsia="zh-CN"/>
              </w:rPr>
              <w:t>531</w:t>
            </w:r>
            <w:r>
              <w:rPr>
                <w:rFonts w:hint="eastAsia"/>
                <w:color w:val="auto"/>
                <w:sz w:val="24"/>
              </w:rPr>
              <w:t>mg/m</w:t>
            </w:r>
            <w:r>
              <w:rPr>
                <w:rFonts w:hint="eastAsia"/>
                <w:color w:val="auto"/>
                <w:sz w:val="24"/>
                <w:vertAlign w:val="superscript"/>
              </w:rPr>
              <w:t>3</w:t>
            </w:r>
            <w:r>
              <w:rPr>
                <w:rFonts w:hint="eastAsia"/>
                <w:color w:val="auto"/>
                <w:sz w:val="24"/>
              </w:rPr>
              <w:t>，有组织排放量为</w:t>
            </w:r>
            <w:r>
              <w:rPr>
                <w:rFonts w:hint="eastAsia"/>
                <w:color w:val="auto"/>
                <w:sz w:val="24"/>
                <w:lang w:val="en-US" w:eastAsia="zh-CN"/>
              </w:rPr>
              <w:t>0.41</w:t>
            </w:r>
            <w:r>
              <w:rPr>
                <w:rFonts w:hint="eastAsia"/>
                <w:color w:val="auto"/>
                <w:sz w:val="24"/>
              </w:rPr>
              <w:t>t/a，排放速率为</w:t>
            </w:r>
            <w:r>
              <w:rPr>
                <w:rFonts w:hint="eastAsia"/>
                <w:color w:val="auto"/>
                <w:sz w:val="24"/>
                <w:lang w:val="en-US" w:eastAsia="zh-CN"/>
              </w:rPr>
              <w:t>0.17</w:t>
            </w:r>
            <w:r>
              <w:rPr>
                <w:rFonts w:hint="eastAsia"/>
                <w:color w:val="auto"/>
                <w:sz w:val="24"/>
              </w:rPr>
              <w:t>kg/h，排放浓度为</w:t>
            </w:r>
            <w:r>
              <w:rPr>
                <w:rFonts w:hint="eastAsia"/>
                <w:color w:val="auto"/>
                <w:sz w:val="24"/>
                <w:lang w:val="en-US" w:eastAsia="zh-CN"/>
              </w:rPr>
              <w:t>5.28</w:t>
            </w:r>
            <w:r>
              <w:rPr>
                <w:rFonts w:hint="eastAsia"/>
                <w:color w:val="auto"/>
                <w:sz w:val="24"/>
              </w:rPr>
              <w:t>mg/m</w:t>
            </w:r>
            <w:r>
              <w:rPr>
                <w:rFonts w:hint="eastAsia"/>
                <w:color w:val="auto"/>
                <w:sz w:val="24"/>
                <w:vertAlign w:val="superscript"/>
              </w:rPr>
              <w:t>3</w:t>
            </w:r>
            <w:r>
              <w:rPr>
                <w:rFonts w:hint="eastAsia"/>
                <w:color w:val="auto"/>
                <w:sz w:val="24"/>
              </w:rPr>
              <w:t>。未收集到的以无组织形式排放，无组织</w:t>
            </w:r>
            <w:r>
              <w:rPr>
                <w:rFonts w:hint="eastAsia"/>
                <w:color w:val="auto"/>
                <w:sz w:val="24"/>
                <w:lang w:eastAsia="zh-CN"/>
              </w:rPr>
              <w:t>颗粒物</w:t>
            </w:r>
            <w:r>
              <w:rPr>
                <w:rFonts w:hint="eastAsia"/>
                <w:color w:val="auto"/>
                <w:sz w:val="24"/>
              </w:rPr>
              <w:t>产生量为</w:t>
            </w:r>
            <w:r>
              <w:rPr>
                <w:rFonts w:hint="eastAsia"/>
                <w:color w:val="auto"/>
                <w:sz w:val="24"/>
                <w:lang w:val="en-US" w:eastAsia="zh-CN"/>
              </w:rPr>
              <w:t>4.58</w:t>
            </w:r>
            <w:r>
              <w:rPr>
                <w:rFonts w:hint="eastAsia"/>
                <w:color w:val="auto"/>
                <w:sz w:val="24"/>
              </w:rPr>
              <w:t>t/a，厂房封闭且厂房内设置喷淋降尘措施（抑尘效率以95</w:t>
            </w:r>
            <w:r>
              <w:rPr>
                <w:color w:val="auto"/>
                <w:sz w:val="24"/>
              </w:rPr>
              <w:t>%</w:t>
            </w:r>
            <w:r>
              <w:rPr>
                <w:rFonts w:hint="eastAsia"/>
                <w:color w:val="auto"/>
                <w:sz w:val="24"/>
              </w:rPr>
              <w:t>计），无组织</w:t>
            </w:r>
            <w:r>
              <w:rPr>
                <w:rFonts w:hint="eastAsia"/>
                <w:color w:val="auto"/>
                <w:sz w:val="24"/>
                <w:lang w:eastAsia="zh-CN"/>
              </w:rPr>
              <w:t>颗粒物</w:t>
            </w:r>
            <w:r>
              <w:rPr>
                <w:rFonts w:hint="eastAsia"/>
                <w:color w:val="auto"/>
                <w:sz w:val="24"/>
              </w:rPr>
              <w:t>排放量为</w:t>
            </w:r>
            <w:r>
              <w:rPr>
                <w:rFonts w:hint="eastAsia"/>
                <w:color w:val="auto"/>
                <w:sz w:val="24"/>
                <w:lang w:val="en-US" w:eastAsia="zh-CN"/>
              </w:rPr>
              <w:t>0.23</w:t>
            </w:r>
            <w:r>
              <w:rPr>
                <w:rFonts w:hint="eastAsia"/>
                <w:color w:val="auto"/>
                <w:sz w:val="24"/>
              </w:rPr>
              <w:t>t/a。</w:t>
            </w:r>
          </w:p>
          <w:p w14:paraId="40280B41">
            <w:pPr>
              <w:pStyle w:val="8"/>
              <w:keepNext/>
              <w:keepLines/>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Cs w:val="0"/>
                <w:color w:val="auto"/>
                <w:kern w:val="2"/>
                <w:sz w:val="24"/>
                <w:szCs w:val="24"/>
                <w:lang w:val="en-US" w:eastAsia="zh-CN" w:bidi="ar-SA"/>
              </w:rPr>
            </w:pPr>
            <w:r>
              <w:rPr>
                <w:rFonts w:hint="default" w:ascii="Times New Roman" w:hAnsi="Times New Roman" w:eastAsia="宋体" w:cs="Times New Roman"/>
                <w:bCs w:val="0"/>
                <w:color w:val="auto"/>
                <w:kern w:val="2"/>
                <w:sz w:val="24"/>
                <w:szCs w:val="24"/>
                <w:lang w:val="en-US" w:eastAsia="zh-CN" w:bidi="ar-SA"/>
              </w:rPr>
              <w:t>根据2024年《道路建养材料生产项目 验收检测报告》（报告编号：JJYS2024081），</w:t>
            </w:r>
            <w:r>
              <w:rPr>
                <w:rFonts w:hint="eastAsia" w:ascii="Times New Roman" w:hAnsi="Times New Roman" w:eastAsia="宋体" w:cs="Times New Roman"/>
                <w:bCs w:val="0"/>
                <w:color w:val="auto"/>
                <w:kern w:val="2"/>
                <w:sz w:val="24"/>
                <w:szCs w:val="24"/>
                <w:lang w:val="en-US" w:eastAsia="zh-CN" w:bidi="ar-SA"/>
              </w:rPr>
              <w:t>一条生产线：</w:t>
            </w:r>
            <w:r>
              <w:rPr>
                <w:rFonts w:hint="default" w:ascii="Times New Roman" w:hAnsi="Times New Roman" w:eastAsia="宋体" w:cs="Times New Roman"/>
                <w:bCs w:val="0"/>
                <w:color w:val="auto"/>
                <w:kern w:val="2"/>
                <w:sz w:val="24"/>
                <w:szCs w:val="24"/>
                <w:lang w:val="en-US" w:eastAsia="zh-CN" w:bidi="ar-SA"/>
              </w:rPr>
              <w:t>物料混合搅拌废气、不合格品破碎、投料废气排放量为0.06t/a，物料混合搅拌和下料、破碎松散废气排放量为0.4</w:t>
            </w:r>
            <w:r>
              <w:rPr>
                <w:rFonts w:hint="eastAsia" w:eastAsia="宋体" w:cs="Times New Roman"/>
                <w:bCs w:val="0"/>
                <w:color w:val="auto"/>
                <w:kern w:val="2"/>
                <w:sz w:val="24"/>
                <w:szCs w:val="24"/>
                <w:lang w:val="en-US" w:eastAsia="zh-CN" w:bidi="ar-SA"/>
              </w:rPr>
              <w:t>1</w:t>
            </w:r>
            <w:r>
              <w:rPr>
                <w:rFonts w:hint="default" w:ascii="Times New Roman" w:hAnsi="Times New Roman" w:eastAsia="宋体" w:cs="Times New Roman"/>
                <w:bCs w:val="0"/>
                <w:color w:val="auto"/>
                <w:kern w:val="2"/>
                <w:sz w:val="24"/>
                <w:szCs w:val="24"/>
                <w:lang w:val="en-US" w:eastAsia="zh-CN" w:bidi="ar-SA"/>
              </w:rPr>
              <w:t>t/a，</w:t>
            </w:r>
            <w:r>
              <w:rPr>
                <w:rFonts w:hint="default" w:ascii="Times New Roman" w:hAnsi="Times New Roman" w:eastAsia="宋体" w:cs="Times New Roman"/>
                <w:color w:val="auto"/>
                <w:sz w:val="24"/>
                <w:u w:val="none" w:color="auto"/>
                <w:lang w:eastAsia="zh-CN"/>
              </w:rPr>
              <w:t>筒仓</w:t>
            </w:r>
            <w:r>
              <w:rPr>
                <w:rFonts w:hint="default" w:ascii="Times New Roman" w:hAnsi="Times New Roman" w:eastAsia="宋体" w:cs="Times New Roman"/>
                <w:color w:val="auto"/>
                <w:sz w:val="24"/>
                <w:u w:val="none" w:color="auto"/>
                <w:lang w:val="en-US" w:eastAsia="zh-CN"/>
              </w:rPr>
              <w:t>DA002</w:t>
            </w:r>
            <w:r>
              <w:rPr>
                <w:rFonts w:hint="default" w:ascii="Times New Roman" w:hAnsi="Times New Roman" w:eastAsia="宋体" w:cs="Times New Roman"/>
                <w:color w:val="auto"/>
                <w:sz w:val="24"/>
                <w:u w:val="none" w:color="auto"/>
                <w:lang w:eastAsia="zh-CN"/>
              </w:rPr>
              <w:t>粉尘排放量为</w:t>
            </w:r>
            <w:r>
              <w:rPr>
                <w:rFonts w:hint="default" w:ascii="Times New Roman" w:hAnsi="Times New Roman" w:eastAsia="宋体" w:cs="Times New Roman"/>
                <w:color w:val="auto"/>
                <w:sz w:val="24"/>
                <w:u w:val="none" w:color="auto"/>
                <w:lang w:val="en-US" w:eastAsia="zh-CN"/>
              </w:rPr>
              <w:t>0.0038</w:t>
            </w:r>
            <w:r>
              <w:rPr>
                <w:rFonts w:hint="default" w:ascii="Times New Roman" w:hAnsi="Times New Roman" w:eastAsia="宋体" w:cs="Times New Roman"/>
                <w:color w:val="auto"/>
                <w:sz w:val="24"/>
                <w:u w:val="none" w:color="auto"/>
              </w:rPr>
              <w:t>t/a</w:t>
            </w:r>
            <w:r>
              <w:rPr>
                <w:rFonts w:hint="default" w:ascii="Times New Roman" w:hAnsi="Times New Roman" w:eastAsia="宋体" w:cs="Times New Roman"/>
                <w:color w:val="auto"/>
                <w:sz w:val="24"/>
                <w:u w:val="none" w:color="auto"/>
                <w:lang w:eastAsia="zh-CN"/>
              </w:rPr>
              <w:t>，</w:t>
            </w:r>
            <w:r>
              <w:rPr>
                <w:rFonts w:hint="default" w:ascii="Times New Roman" w:hAnsi="Times New Roman" w:eastAsia="宋体" w:cs="Times New Roman"/>
                <w:bCs w:val="0"/>
                <w:color w:val="auto"/>
                <w:kern w:val="2"/>
                <w:sz w:val="24"/>
                <w:szCs w:val="24"/>
                <w:lang w:val="en-US" w:eastAsia="zh-CN" w:bidi="ar-SA"/>
              </w:rPr>
              <w:t>总排放量为</w:t>
            </w:r>
            <w:r>
              <w:rPr>
                <w:rFonts w:hint="eastAsia" w:ascii="Times New Roman" w:hAnsi="Times New Roman" w:eastAsia="宋体" w:cs="Times New Roman"/>
                <w:bCs w:val="0"/>
                <w:color w:val="auto"/>
                <w:kern w:val="2"/>
                <w:sz w:val="24"/>
                <w:szCs w:val="24"/>
                <w:lang w:val="en-US" w:eastAsia="zh-CN" w:bidi="ar-SA"/>
              </w:rPr>
              <w:t>0.4</w:t>
            </w:r>
            <w:r>
              <w:rPr>
                <w:rFonts w:hint="eastAsia" w:eastAsia="宋体" w:cs="Times New Roman"/>
                <w:bCs w:val="0"/>
                <w:color w:val="auto"/>
                <w:kern w:val="2"/>
                <w:sz w:val="24"/>
                <w:szCs w:val="24"/>
                <w:lang w:val="en-US" w:eastAsia="zh-CN" w:bidi="ar-SA"/>
              </w:rPr>
              <w:t>1</w:t>
            </w:r>
            <w:r>
              <w:rPr>
                <w:rFonts w:hint="eastAsia" w:ascii="Times New Roman" w:hAnsi="Times New Roman" w:eastAsia="宋体" w:cs="Times New Roman"/>
                <w:bCs w:val="0"/>
                <w:color w:val="auto"/>
                <w:kern w:val="2"/>
                <w:sz w:val="24"/>
                <w:szCs w:val="24"/>
                <w:lang w:val="en-US" w:eastAsia="zh-CN" w:bidi="ar-SA"/>
              </w:rPr>
              <w:t>38</w:t>
            </w:r>
            <w:r>
              <w:rPr>
                <w:rFonts w:hint="default" w:ascii="Times New Roman" w:hAnsi="Times New Roman" w:eastAsia="宋体" w:cs="Times New Roman"/>
                <w:bCs w:val="0"/>
                <w:color w:val="auto"/>
                <w:kern w:val="2"/>
                <w:sz w:val="24"/>
                <w:szCs w:val="24"/>
                <w:lang w:val="en-US" w:eastAsia="zh-CN" w:bidi="ar-SA"/>
              </w:rPr>
              <w:t>t/a，小于</w:t>
            </w:r>
            <w:r>
              <w:rPr>
                <w:rFonts w:hint="default" w:ascii="Times New Roman" w:hAnsi="Times New Roman" w:eastAsia="宋体" w:cs="Times New Roman"/>
                <w:color w:val="auto"/>
                <w:sz w:val="24"/>
                <w:lang w:eastAsia="zh-CN"/>
              </w:rPr>
              <w:t>总量控制文件</w:t>
            </w:r>
            <w:r>
              <w:rPr>
                <w:rFonts w:hint="eastAsia" w:eastAsia="宋体" w:cs="Times New Roman"/>
                <w:color w:val="auto"/>
                <w:sz w:val="24"/>
                <w:lang w:val="en-US" w:eastAsia="zh-CN"/>
              </w:rPr>
              <w:t>1.22</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Cs w:val="0"/>
                <w:color w:val="auto"/>
                <w:kern w:val="2"/>
                <w:sz w:val="24"/>
                <w:szCs w:val="24"/>
                <w:lang w:val="en-US" w:eastAsia="zh-CN" w:bidi="ar-SA"/>
              </w:rPr>
              <w:t>结合企业现有风机风量</w:t>
            </w:r>
            <w:r>
              <w:rPr>
                <w:rFonts w:hint="default" w:ascii="Times New Roman" w:hAnsi="Times New Roman" w:eastAsia="宋体" w:cs="Times New Roman"/>
                <w:color w:val="auto"/>
                <w:sz w:val="24"/>
                <w:szCs w:val="24"/>
                <w:lang w:val="en-US" w:eastAsia="zh-CN"/>
              </w:rPr>
              <w:t>32380m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/h，排放浓度为</w:t>
            </w:r>
            <w:r>
              <w:rPr>
                <w:rFonts w:hint="eastAsia" w:ascii="Times New Roman" w:hAnsi="Times New Roman" w:eastAsia="宋体" w:cs="Times New Roman"/>
                <w:color w:val="auto"/>
                <w:sz w:val="24"/>
                <w:szCs w:val="24"/>
                <w:lang w:val="en-US" w:eastAsia="zh-CN"/>
              </w:rPr>
              <w:t>5.</w:t>
            </w:r>
            <w:r>
              <w:rPr>
                <w:rFonts w:hint="eastAsia" w:eastAsia="宋体" w:cs="Times New Roman"/>
                <w:color w:val="auto"/>
                <w:sz w:val="24"/>
                <w:szCs w:val="24"/>
                <w:lang w:val="en-US" w:eastAsia="zh-CN"/>
              </w:rPr>
              <w:t>32</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vertAlign w:val="baseline"/>
                <w:lang w:eastAsia="zh-CN"/>
              </w:rPr>
              <w:t>，低于</w:t>
            </w:r>
            <w:r>
              <w:rPr>
                <w:rFonts w:hint="default" w:ascii="Times New Roman" w:hAnsi="Times New Roman" w:eastAsia="宋体" w:cs="Times New Roman"/>
                <w:color w:val="auto"/>
                <w:sz w:val="24"/>
                <w:vertAlign w:val="baseline"/>
                <w:lang w:val="en-US" w:eastAsia="zh-CN"/>
              </w:rPr>
              <w:t>《砖瓦工业大气污染物排放标准》（DB34/4362-2023）表2中现有与新建企业大气污染物最高允许排放浓度限值要求</w:t>
            </w:r>
            <w:r>
              <w:rPr>
                <w:rFonts w:hint="default" w:ascii="Times New Roman" w:hAnsi="Times New Roman" w:eastAsia="宋体" w:cs="Times New Roman"/>
                <w:bCs w:val="0"/>
                <w:color w:val="auto"/>
                <w:kern w:val="2"/>
                <w:sz w:val="24"/>
                <w:szCs w:val="24"/>
                <w:lang w:val="en-US" w:eastAsia="zh-CN" w:bidi="ar-SA"/>
              </w:rPr>
              <w:t>。故技改项目依托原有环保设备是可行的。</w:t>
            </w:r>
          </w:p>
          <w:p w14:paraId="4769C33C">
            <w:pPr>
              <w:adjustRightInd w:val="0"/>
              <w:snapToGrid w:val="0"/>
              <w:spacing w:line="348" w:lineRule="auto"/>
              <w:ind w:firstLine="482" w:firstLineChars="200"/>
              <w:rPr>
                <w:rFonts w:hint="eastAsia" w:eastAsia="宋体"/>
                <w:b/>
                <w:bCs/>
                <w:color w:val="auto"/>
                <w:sz w:val="24"/>
                <w:lang w:eastAsia="zh-CN"/>
              </w:rPr>
            </w:pPr>
            <w:r>
              <w:rPr>
                <w:rFonts w:hint="eastAsia" w:ascii="Times New Roman" w:hAnsi="Times New Roman" w:eastAsia="宋体" w:cs="Times New Roman"/>
                <w:b/>
                <w:bCs/>
                <w:color w:val="auto"/>
                <w:sz w:val="24"/>
                <w:u w:val="none" w:color="auto"/>
                <w:lang w:val="en-US" w:eastAsia="zh-CN"/>
              </w:rPr>
              <w:t>⑥</w:t>
            </w:r>
            <w:r>
              <w:rPr>
                <w:rFonts w:hint="eastAsia" w:ascii="Times New Roman" w:hAnsi="Times New Roman" w:eastAsia="宋体" w:cs="Times New Roman"/>
                <w:b/>
                <w:bCs/>
                <w:color w:val="auto"/>
                <w:sz w:val="24"/>
                <w:lang w:eastAsia="zh-CN"/>
              </w:rPr>
              <w:t>污</w:t>
            </w:r>
            <w:r>
              <w:rPr>
                <w:rFonts w:hint="eastAsia"/>
                <w:b/>
                <w:bCs/>
                <w:color w:val="auto"/>
                <w:sz w:val="24"/>
              </w:rPr>
              <w:t>泥</w:t>
            </w:r>
            <w:r>
              <w:rPr>
                <w:rFonts w:hint="eastAsia"/>
                <w:b/>
                <w:bCs/>
                <w:color w:val="auto"/>
                <w:sz w:val="24"/>
                <w:lang w:eastAsia="zh-CN"/>
              </w:rPr>
              <w:t>贮存</w:t>
            </w:r>
            <w:r>
              <w:rPr>
                <w:rFonts w:hint="eastAsia"/>
                <w:b/>
                <w:bCs/>
                <w:color w:val="auto"/>
                <w:sz w:val="24"/>
              </w:rPr>
              <w:t>废气</w:t>
            </w:r>
          </w:p>
          <w:p w14:paraId="46B1E9A9">
            <w:pPr>
              <w:adjustRightInd w:val="0"/>
              <w:snapToGrid w:val="0"/>
              <w:spacing w:line="348" w:lineRule="auto"/>
              <w:ind w:firstLine="480" w:firstLineChars="200"/>
              <w:rPr>
                <w:rFonts w:hint="eastAsia"/>
                <w:color w:val="auto"/>
                <w:sz w:val="24"/>
              </w:rPr>
            </w:pPr>
            <w:r>
              <w:rPr>
                <w:rFonts w:hint="eastAsia"/>
                <w:color w:val="auto"/>
                <w:sz w:val="24"/>
              </w:rPr>
              <w:t>项目使用的原辅料污泥在厂区原料</w:t>
            </w:r>
            <w:r>
              <w:rPr>
                <w:rFonts w:hint="eastAsia"/>
                <w:color w:val="auto"/>
                <w:sz w:val="24"/>
                <w:lang w:eastAsia="zh-CN"/>
              </w:rPr>
              <w:t>仓库</w:t>
            </w:r>
            <w:r>
              <w:rPr>
                <w:rFonts w:hint="eastAsia"/>
                <w:color w:val="auto"/>
                <w:sz w:val="24"/>
              </w:rPr>
              <w:t>内贮存，过程中会产生少量恶臭气体挥发形成污泥废气，</w:t>
            </w:r>
            <w:r>
              <w:rPr>
                <w:rFonts w:hint="eastAsia"/>
                <w:color w:val="auto"/>
                <w:sz w:val="24"/>
                <w:lang w:eastAsia="zh-CN"/>
              </w:rPr>
              <w:t>另外绿化营养土堆放后定期进行翻抛过程也会产生恶臭废气（主要来源于污泥）。恶臭</w:t>
            </w:r>
            <w:r>
              <w:rPr>
                <w:rFonts w:hint="eastAsia"/>
                <w:color w:val="auto"/>
                <w:sz w:val="24"/>
              </w:rPr>
              <w:t>废气来源于污泥中腐烂有机质组分的发酵产生的异味组分，如硫化氢、氨、臭气浓度等。</w:t>
            </w:r>
          </w:p>
          <w:p w14:paraId="239EBCE1">
            <w:pPr>
              <w:adjustRightInd w:val="0"/>
              <w:snapToGrid w:val="0"/>
              <w:spacing w:line="348" w:lineRule="auto"/>
              <w:ind w:firstLine="480" w:firstLineChars="200"/>
              <w:rPr>
                <w:rFonts w:hint="eastAsia"/>
                <w:color w:val="auto"/>
                <w:sz w:val="24"/>
                <w:lang w:eastAsia="zh-CN"/>
              </w:rPr>
            </w:pPr>
            <w:r>
              <w:rPr>
                <w:rFonts w:hint="eastAsia"/>
                <w:color w:val="auto"/>
                <w:sz w:val="24"/>
                <w:lang w:eastAsia="zh-CN"/>
              </w:rPr>
              <w:t>类比《道路建养材料生产项目》（报告编号：JJYS2024081，签发日期：2024年12月11日），臭气浓度、氨、硫化氢最大浓度值均小于标准限值满足《恶臭污染物排放标准GB14554-93》中的表1和表2新改扩二级标准，本项目仅对</w:t>
            </w:r>
            <w:r>
              <w:rPr>
                <w:rFonts w:hint="eastAsia"/>
                <w:color w:val="auto"/>
                <w:sz w:val="24"/>
              </w:rPr>
              <w:t>污泥贮存废气</w:t>
            </w:r>
            <w:r>
              <w:rPr>
                <w:rFonts w:hint="eastAsia"/>
                <w:color w:val="auto"/>
                <w:sz w:val="24"/>
                <w:lang w:eastAsia="zh-CN"/>
              </w:rPr>
              <w:t>进行定性分析，污泥暂存区设置隔断进行封闭，同时产生的</w:t>
            </w:r>
            <w:r>
              <w:rPr>
                <w:rFonts w:hint="eastAsia"/>
                <w:color w:val="auto"/>
                <w:sz w:val="24"/>
              </w:rPr>
              <w:t>臭气</w:t>
            </w:r>
            <w:r>
              <w:rPr>
                <w:rFonts w:hint="eastAsia"/>
                <w:color w:val="auto"/>
                <w:sz w:val="24"/>
                <w:lang w:eastAsia="zh-CN"/>
              </w:rPr>
              <w:t>通过喷洒除臭剂、通风等措施处理能满足标准。</w:t>
            </w:r>
          </w:p>
          <w:p w14:paraId="6C1D91A0">
            <w:pPr>
              <w:spacing w:line="360" w:lineRule="auto"/>
              <w:ind w:firstLine="482" w:firstLineChars="200"/>
              <w:rPr>
                <w:rFonts w:hint="default" w:ascii="Times New Roman" w:hAnsi="Times New Roman" w:eastAsia="宋体" w:cs="Times New Roman"/>
                <w:b/>
                <w:bCs/>
                <w:color w:val="auto"/>
                <w:sz w:val="24"/>
                <w:u w:val="none" w:color="auto"/>
                <w:lang w:val="en-US" w:eastAsia="zh-CN"/>
              </w:rPr>
            </w:pPr>
            <w:r>
              <w:rPr>
                <w:rFonts w:hint="eastAsia" w:ascii="Times New Roman" w:hAnsi="Times New Roman" w:eastAsia="宋体" w:cs="Times New Roman"/>
                <w:b/>
                <w:bCs/>
                <w:color w:val="auto"/>
                <w:sz w:val="24"/>
                <w:u w:val="none" w:color="auto"/>
                <w:lang w:val="en-US" w:eastAsia="zh-CN"/>
              </w:rPr>
              <w:t>⑦</w:t>
            </w:r>
            <w:r>
              <w:rPr>
                <w:rFonts w:hint="default" w:ascii="Times New Roman" w:hAnsi="Times New Roman" w:eastAsia="宋体" w:cs="Times New Roman"/>
                <w:b/>
                <w:bCs/>
                <w:color w:val="auto"/>
                <w:sz w:val="24"/>
                <w:u w:val="none" w:color="auto"/>
                <w:lang w:val="en-US" w:eastAsia="zh-CN"/>
              </w:rPr>
              <w:t>运输扬尘</w:t>
            </w:r>
          </w:p>
          <w:p w14:paraId="5705F68C">
            <w:pPr>
              <w:adjustRightInd w:val="0"/>
              <w:snapToGrid w:val="0"/>
              <w:spacing w:line="348" w:lineRule="auto"/>
              <w:ind w:firstLine="480" w:firstLineChars="200"/>
              <w:rPr>
                <w:rFonts w:hint="eastAsia" w:eastAsia="宋体"/>
                <w:color w:val="auto"/>
                <w:sz w:val="24"/>
                <w:lang w:eastAsia="zh-CN"/>
              </w:rPr>
            </w:pPr>
            <w:r>
              <w:rPr>
                <w:rFonts w:hint="eastAsia"/>
                <w:color w:val="auto"/>
                <w:sz w:val="24"/>
              </w:rPr>
              <w:t>汽车进出场区还会产生一定量的扬尘，</w:t>
            </w:r>
            <w:r>
              <w:rPr>
                <w:rFonts w:hint="eastAsia"/>
                <w:color w:val="auto"/>
                <w:sz w:val="24"/>
                <w:lang w:val="en-US" w:eastAsia="zh-CN"/>
              </w:rPr>
              <w:t>运输扬尘采取运输车辆篷布覆盖，运输过程限速按规定线路行驶等措施</w:t>
            </w:r>
            <w:r>
              <w:rPr>
                <w:rFonts w:hint="eastAsia"/>
                <w:color w:val="auto"/>
                <w:sz w:val="24"/>
              </w:rPr>
              <w:t>后</w:t>
            </w:r>
            <w:r>
              <w:rPr>
                <w:rFonts w:hint="eastAsia"/>
                <w:color w:val="auto"/>
                <w:sz w:val="24"/>
                <w:lang w:eastAsia="zh-CN"/>
              </w:rPr>
              <w:t>无组织排放</w:t>
            </w:r>
            <w:r>
              <w:rPr>
                <w:rFonts w:hint="eastAsia"/>
                <w:color w:val="auto"/>
                <w:sz w:val="24"/>
              </w:rPr>
              <w:t>。</w:t>
            </w:r>
            <w:r>
              <w:rPr>
                <w:rFonts w:hint="eastAsia"/>
                <w:color w:val="auto"/>
                <w:sz w:val="24"/>
                <w:lang w:eastAsia="zh-CN"/>
              </w:rPr>
              <w:t>此处不做定量分析。</w:t>
            </w:r>
          </w:p>
          <w:p w14:paraId="72771C65">
            <w:pPr>
              <w:adjustRightInd w:val="0"/>
              <w:snapToGrid w:val="0"/>
              <w:spacing w:line="360" w:lineRule="auto"/>
              <w:ind w:firstLine="480" w:firstLineChars="200"/>
              <w:rPr>
                <w:sz w:val="24"/>
              </w:rPr>
            </w:pPr>
          </w:p>
        </w:tc>
      </w:tr>
    </w:tbl>
    <w:p w14:paraId="206FD655">
      <w:pPr>
        <w:rPr>
          <w:kern w:val="0"/>
        </w:rPr>
        <w:sectPr>
          <w:pgSz w:w="11906" w:h="16838"/>
          <w:pgMar w:top="1440" w:right="1800" w:bottom="1440" w:left="1800" w:header="851" w:footer="992" w:gutter="0"/>
          <w:cols w:space="425" w:num="1"/>
          <w:docGrid w:type="lines" w:linePitch="312" w:charSpace="0"/>
        </w:sectPr>
      </w:pP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579"/>
      </w:tblGrid>
      <w:tr w14:paraId="5610D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7" w:type="dxa"/>
            <w:tcBorders>
              <w:tl2br w:val="nil"/>
              <w:tr2bl w:val="nil"/>
            </w:tcBorders>
            <w:vAlign w:val="center"/>
          </w:tcPr>
          <w:p w14:paraId="1573E435">
            <w:pPr>
              <w:adjustRightInd w:val="0"/>
              <w:snapToGrid w:val="0"/>
              <w:jc w:val="center"/>
            </w:pPr>
          </w:p>
          <w:p w14:paraId="5171CDC1">
            <w:pPr>
              <w:adjustRightInd w:val="0"/>
              <w:snapToGrid w:val="0"/>
              <w:jc w:val="center"/>
            </w:pPr>
          </w:p>
          <w:p w14:paraId="4EFB61AC">
            <w:pPr>
              <w:adjustRightInd w:val="0"/>
              <w:snapToGrid w:val="0"/>
              <w:jc w:val="center"/>
            </w:pPr>
          </w:p>
          <w:p w14:paraId="32A20DA8">
            <w:pPr>
              <w:adjustRightInd w:val="0"/>
              <w:snapToGrid w:val="0"/>
              <w:jc w:val="center"/>
            </w:pPr>
          </w:p>
          <w:p w14:paraId="53815095">
            <w:pPr>
              <w:adjustRightInd w:val="0"/>
              <w:snapToGrid w:val="0"/>
              <w:jc w:val="center"/>
            </w:pPr>
          </w:p>
          <w:p w14:paraId="41891562">
            <w:pPr>
              <w:adjustRightInd w:val="0"/>
              <w:snapToGrid w:val="0"/>
              <w:jc w:val="center"/>
            </w:pPr>
          </w:p>
          <w:p w14:paraId="150D9DA1">
            <w:pPr>
              <w:adjustRightInd w:val="0"/>
              <w:snapToGrid w:val="0"/>
              <w:jc w:val="center"/>
            </w:pPr>
          </w:p>
          <w:p w14:paraId="42E84DAA">
            <w:pPr>
              <w:adjustRightInd w:val="0"/>
              <w:snapToGrid w:val="0"/>
              <w:jc w:val="center"/>
            </w:pPr>
          </w:p>
          <w:p w14:paraId="1AE6A8D3">
            <w:pPr>
              <w:adjustRightInd w:val="0"/>
              <w:snapToGrid w:val="0"/>
              <w:jc w:val="center"/>
            </w:pPr>
          </w:p>
          <w:p w14:paraId="779B0558">
            <w:pPr>
              <w:adjustRightInd w:val="0"/>
              <w:snapToGrid w:val="0"/>
              <w:jc w:val="center"/>
            </w:pPr>
          </w:p>
          <w:p w14:paraId="359B4B91">
            <w:pPr>
              <w:adjustRightInd w:val="0"/>
              <w:snapToGrid w:val="0"/>
              <w:jc w:val="center"/>
            </w:pPr>
            <w:r>
              <w:t>运营</w:t>
            </w:r>
          </w:p>
          <w:p w14:paraId="5E98D5C9">
            <w:pPr>
              <w:adjustRightInd w:val="0"/>
              <w:snapToGrid w:val="0"/>
              <w:jc w:val="center"/>
            </w:pPr>
            <w:r>
              <w:t>期环</w:t>
            </w:r>
          </w:p>
          <w:p w14:paraId="509E9283">
            <w:pPr>
              <w:adjustRightInd w:val="0"/>
              <w:snapToGrid w:val="0"/>
              <w:jc w:val="center"/>
            </w:pPr>
            <w:r>
              <w:t>境影</w:t>
            </w:r>
          </w:p>
          <w:p w14:paraId="2439F6AB">
            <w:pPr>
              <w:adjustRightInd w:val="0"/>
              <w:snapToGrid w:val="0"/>
              <w:jc w:val="center"/>
            </w:pPr>
            <w:r>
              <w:t>和</w:t>
            </w:r>
          </w:p>
          <w:p w14:paraId="06E8104E">
            <w:pPr>
              <w:adjustRightInd w:val="0"/>
              <w:snapToGrid w:val="0"/>
              <w:jc w:val="center"/>
            </w:pPr>
            <w:r>
              <w:t>保护</w:t>
            </w:r>
          </w:p>
          <w:p w14:paraId="04205741">
            <w:pPr>
              <w:pStyle w:val="33"/>
              <w:snapToGrid w:val="0"/>
              <w:jc w:val="center"/>
              <w:rPr>
                <w:color w:val="auto"/>
              </w:rPr>
            </w:pPr>
            <w:r>
              <w:rPr>
                <w:color w:val="auto"/>
              </w:rPr>
              <w:t>措施</w:t>
            </w:r>
          </w:p>
          <w:p w14:paraId="5D34042A">
            <w:pPr>
              <w:pStyle w:val="9"/>
            </w:pPr>
          </w:p>
          <w:p w14:paraId="18E0B452"/>
          <w:p w14:paraId="5C4A099B">
            <w:pPr>
              <w:pStyle w:val="33"/>
              <w:rPr>
                <w:color w:val="auto"/>
              </w:rPr>
            </w:pPr>
          </w:p>
          <w:p w14:paraId="4B2432AF">
            <w:pPr>
              <w:pStyle w:val="9"/>
            </w:pPr>
          </w:p>
          <w:p w14:paraId="4555F15D"/>
          <w:p w14:paraId="014DAC3D">
            <w:pPr>
              <w:pStyle w:val="33"/>
              <w:rPr>
                <w:color w:val="auto"/>
              </w:rPr>
            </w:pPr>
          </w:p>
          <w:p w14:paraId="2EAF8CBA">
            <w:pPr>
              <w:pStyle w:val="33"/>
              <w:rPr>
                <w:color w:val="auto"/>
              </w:rPr>
            </w:pPr>
          </w:p>
          <w:p w14:paraId="1313CE68">
            <w:pPr>
              <w:pStyle w:val="9"/>
            </w:pPr>
          </w:p>
        </w:tc>
        <w:tc>
          <w:tcPr>
            <w:tcW w:w="12931" w:type="dxa"/>
            <w:tcBorders>
              <w:tl2br w:val="nil"/>
              <w:tr2bl w:val="nil"/>
            </w:tcBorders>
          </w:tcPr>
          <w:p w14:paraId="5CC636D1">
            <w:pPr>
              <w:adjustRightInd w:val="0"/>
              <w:snapToGrid w:val="0"/>
              <w:spacing w:before="156" w:beforeLines="50" w:line="360" w:lineRule="auto"/>
              <w:jc w:val="center"/>
              <w:rPr>
                <w:b/>
                <w:bCs/>
                <w:kern w:val="0"/>
                <w:sz w:val="24"/>
              </w:rPr>
            </w:pPr>
            <w:r>
              <w:rPr>
                <w:b/>
                <w:bCs/>
                <w:kern w:val="0"/>
                <w:sz w:val="24"/>
              </w:rPr>
              <w:t>表4</w:t>
            </w:r>
            <w:r>
              <w:rPr>
                <w:rFonts w:hint="eastAsia"/>
                <w:b/>
                <w:bCs/>
                <w:kern w:val="0"/>
                <w:sz w:val="24"/>
                <w:lang w:val="en-US" w:eastAsia="zh-CN"/>
              </w:rPr>
              <w:t>-</w:t>
            </w:r>
            <w:r>
              <w:rPr>
                <w:rFonts w:hint="eastAsia"/>
                <w:b/>
                <w:bCs/>
                <w:kern w:val="0"/>
                <w:sz w:val="24"/>
              </w:rPr>
              <w:t xml:space="preserve">1 </w:t>
            </w:r>
            <w:r>
              <w:rPr>
                <w:b/>
                <w:bCs/>
                <w:kern w:val="0"/>
                <w:sz w:val="24"/>
              </w:rPr>
              <w:t xml:space="preserve"> 废气产</w:t>
            </w:r>
            <w:r>
              <w:rPr>
                <w:rFonts w:hint="eastAsia"/>
                <w:b/>
                <w:bCs/>
                <w:kern w:val="0"/>
                <w:sz w:val="24"/>
              </w:rPr>
              <w:t>排</w:t>
            </w:r>
            <w:r>
              <w:rPr>
                <w:b/>
                <w:bCs/>
                <w:kern w:val="0"/>
                <w:sz w:val="24"/>
              </w:rPr>
              <w:t>污情况一览表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532"/>
              <w:gridCol w:w="925"/>
              <w:gridCol w:w="839"/>
              <w:gridCol w:w="698"/>
              <w:gridCol w:w="503"/>
              <w:gridCol w:w="215"/>
              <w:gridCol w:w="1150"/>
              <w:gridCol w:w="580"/>
              <w:gridCol w:w="834"/>
              <w:gridCol w:w="900"/>
              <w:gridCol w:w="900"/>
              <w:gridCol w:w="445"/>
              <w:gridCol w:w="797"/>
              <w:gridCol w:w="800"/>
              <w:gridCol w:w="825"/>
              <w:gridCol w:w="1152"/>
            </w:tblGrid>
            <w:tr w14:paraId="7916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vAlign w:val="center"/>
                </w:tcPr>
                <w:p w14:paraId="57919A15">
                  <w:pPr>
                    <w:adjustRightInd w:val="0"/>
                    <w:snapToGrid w:val="0"/>
                    <w:jc w:val="center"/>
                    <w:rPr>
                      <w:color w:val="auto"/>
                      <w:szCs w:val="21"/>
                    </w:rPr>
                  </w:pPr>
                  <w:r>
                    <w:rPr>
                      <w:color w:val="auto"/>
                      <w:szCs w:val="21"/>
                    </w:rPr>
                    <w:t>产排污环节</w:t>
                  </w:r>
                </w:p>
              </w:tc>
              <w:tc>
                <w:tcPr>
                  <w:tcW w:w="199" w:type="pct"/>
                  <w:vMerge w:val="restart"/>
                  <w:vAlign w:val="center"/>
                </w:tcPr>
                <w:p w14:paraId="356F710F">
                  <w:pPr>
                    <w:adjustRightInd w:val="0"/>
                    <w:snapToGrid w:val="0"/>
                    <w:jc w:val="center"/>
                    <w:rPr>
                      <w:color w:val="auto"/>
                      <w:szCs w:val="21"/>
                    </w:rPr>
                  </w:pPr>
                  <w:r>
                    <w:rPr>
                      <w:color w:val="auto"/>
                      <w:szCs w:val="21"/>
                    </w:rPr>
                    <w:t>污染物种类</w:t>
                  </w:r>
                </w:p>
              </w:tc>
              <w:tc>
                <w:tcPr>
                  <w:tcW w:w="660" w:type="pct"/>
                  <w:gridSpan w:val="2"/>
                  <w:vAlign w:val="center"/>
                </w:tcPr>
                <w:p w14:paraId="2526D153">
                  <w:pPr>
                    <w:pStyle w:val="33"/>
                    <w:jc w:val="center"/>
                    <w:rPr>
                      <w:color w:val="auto"/>
                      <w:sz w:val="21"/>
                      <w:szCs w:val="21"/>
                    </w:rPr>
                  </w:pPr>
                  <w:r>
                    <w:rPr>
                      <w:color w:val="auto"/>
                      <w:sz w:val="21"/>
                      <w:szCs w:val="21"/>
                    </w:rPr>
                    <w:t>污染物产生情况</w:t>
                  </w:r>
                </w:p>
              </w:tc>
              <w:tc>
                <w:tcPr>
                  <w:tcW w:w="261" w:type="pct"/>
                  <w:vMerge w:val="restart"/>
                  <w:vAlign w:val="center"/>
                </w:tcPr>
                <w:p w14:paraId="752F4C30">
                  <w:pPr>
                    <w:adjustRightInd w:val="0"/>
                    <w:snapToGrid w:val="0"/>
                    <w:jc w:val="center"/>
                    <w:rPr>
                      <w:color w:val="auto"/>
                      <w:szCs w:val="21"/>
                    </w:rPr>
                  </w:pPr>
                  <w:r>
                    <w:rPr>
                      <w:color w:val="auto"/>
                      <w:szCs w:val="21"/>
                    </w:rPr>
                    <w:t>排放</w:t>
                  </w:r>
                </w:p>
                <w:p w14:paraId="66CEC5A0">
                  <w:pPr>
                    <w:adjustRightInd w:val="0"/>
                    <w:snapToGrid w:val="0"/>
                    <w:jc w:val="center"/>
                    <w:rPr>
                      <w:color w:val="auto"/>
                      <w:szCs w:val="21"/>
                    </w:rPr>
                  </w:pPr>
                  <w:r>
                    <w:rPr>
                      <w:color w:val="auto"/>
                      <w:szCs w:val="21"/>
                    </w:rPr>
                    <w:t>形式</w:t>
                  </w:r>
                </w:p>
              </w:tc>
              <w:tc>
                <w:tcPr>
                  <w:tcW w:w="1903" w:type="pct"/>
                  <w:gridSpan w:val="7"/>
                  <w:vAlign w:val="center"/>
                </w:tcPr>
                <w:p w14:paraId="723AD401">
                  <w:pPr>
                    <w:adjustRightInd w:val="0"/>
                    <w:snapToGrid w:val="0"/>
                    <w:jc w:val="center"/>
                    <w:rPr>
                      <w:color w:val="auto"/>
                      <w:szCs w:val="21"/>
                    </w:rPr>
                  </w:pPr>
                  <w:r>
                    <w:rPr>
                      <w:color w:val="auto"/>
                      <w:szCs w:val="21"/>
                    </w:rPr>
                    <w:t>主要污染治理设施</w:t>
                  </w:r>
                </w:p>
              </w:tc>
              <w:tc>
                <w:tcPr>
                  <w:tcW w:w="1073" w:type="pct"/>
                  <w:gridSpan w:val="4"/>
                  <w:vAlign w:val="center"/>
                </w:tcPr>
                <w:p w14:paraId="39CB0F0E">
                  <w:pPr>
                    <w:adjustRightInd w:val="0"/>
                    <w:snapToGrid w:val="0"/>
                    <w:jc w:val="center"/>
                    <w:rPr>
                      <w:color w:val="auto"/>
                      <w:szCs w:val="21"/>
                    </w:rPr>
                  </w:pPr>
                  <w:r>
                    <w:rPr>
                      <w:color w:val="auto"/>
                      <w:szCs w:val="21"/>
                    </w:rPr>
                    <w:t>污染物排放情况</w:t>
                  </w:r>
                </w:p>
              </w:tc>
              <w:tc>
                <w:tcPr>
                  <w:tcW w:w="431" w:type="pct"/>
                  <w:vAlign w:val="center"/>
                </w:tcPr>
                <w:p w14:paraId="5D2A89FD">
                  <w:pPr>
                    <w:adjustRightInd w:val="0"/>
                    <w:snapToGrid w:val="0"/>
                    <w:jc w:val="center"/>
                    <w:rPr>
                      <w:color w:val="auto"/>
                      <w:szCs w:val="21"/>
                    </w:rPr>
                  </w:pPr>
                  <w:r>
                    <w:rPr>
                      <w:color w:val="auto"/>
                      <w:szCs w:val="21"/>
                    </w:rPr>
                    <w:t>排放标准</w:t>
                  </w:r>
                </w:p>
              </w:tc>
            </w:tr>
            <w:tr w14:paraId="5753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vAlign w:val="center"/>
                </w:tcPr>
                <w:p w14:paraId="0A2511A4">
                  <w:pPr>
                    <w:adjustRightInd w:val="0"/>
                    <w:snapToGrid w:val="0"/>
                    <w:jc w:val="center"/>
                    <w:rPr>
                      <w:color w:val="auto"/>
                      <w:szCs w:val="21"/>
                    </w:rPr>
                  </w:pPr>
                </w:p>
              </w:tc>
              <w:tc>
                <w:tcPr>
                  <w:tcW w:w="199" w:type="pct"/>
                  <w:vMerge w:val="continue"/>
                  <w:vAlign w:val="center"/>
                </w:tcPr>
                <w:p w14:paraId="5BC6B09A">
                  <w:pPr>
                    <w:adjustRightInd w:val="0"/>
                    <w:snapToGrid w:val="0"/>
                    <w:jc w:val="center"/>
                    <w:rPr>
                      <w:color w:val="auto"/>
                      <w:szCs w:val="21"/>
                    </w:rPr>
                  </w:pPr>
                </w:p>
              </w:tc>
              <w:tc>
                <w:tcPr>
                  <w:tcW w:w="346" w:type="pct"/>
                  <w:vAlign w:val="center"/>
                </w:tcPr>
                <w:p w14:paraId="120AD8D4">
                  <w:pPr>
                    <w:adjustRightInd w:val="0"/>
                    <w:snapToGrid w:val="0"/>
                    <w:jc w:val="center"/>
                    <w:rPr>
                      <w:color w:val="auto"/>
                      <w:szCs w:val="21"/>
                    </w:rPr>
                  </w:pPr>
                  <w:r>
                    <w:rPr>
                      <w:color w:val="auto"/>
                      <w:szCs w:val="21"/>
                    </w:rPr>
                    <w:t>产生量t/a</w:t>
                  </w:r>
                </w:p>
              </w:tc>
              <w:tc>
                <w:tcPr>
                  <w:tcW w:w="314" w:type="pct"/>
                  <w:vAlign w:val="center"/>
                </w:tcPr>
                <w:p w14:paraId="260B3B47">
                  <w:pPr>
                    <w:adjustRightInd w:val="0"/>
                    <w:snapToGrid w:val="0"/>
                    <w:jc w:val="center"/>
                    <w:rPr>
                      <w:color w:val="auto"/>
                      <w:szCs w:val="21"/>
                    </w:rPr>
                  </w:pPr>
                  <w:r>
                    <w:rPr>
                      <w:color w:val="auto"/>
                      <w:szCs w:val="21"/>
                    </w:rPr>
                    <w:t>产生</w:t>
                  </w:r>
                </w:p>
                <w:p w14:paraId="5CCD81F4">
                  <w:pPr>
                    <w:adjustRightInd w:val="0"/>
                    <w:snapToGrid w:val="0"/>
                    <w:jc w:val="center"/>
                    <w:rPr>
                      <w:color w:val="auto"/>
                      <w:szCs w:val="21"/>
                    </w:rPr>
                  </w:pPr>
                  <w:r>
                    <w:rPr>
                      <w:color w:val="auto"/>
                      <w:szCs w:val="21"/>
                    </w:rPr>
                    <w:t>浓度mg/m</w:t>
                  </w:r>
                  <w:r>
                    <w:rPr>
                      <w:color w:val="auto"/>
                      <w:szCs w:val="21"/>
                      <w:vertAlign w:val="superscript"/>
                    </w:rPr>
                    <w:t>3</w:t>
                  </w:r>
                </w:p>
              </w:tc>
              <w:tc>
                <w:tcPr>
                  <w:tcW w:w="261" w:type="pct"/>
                  <w:vMerge w:val="continue"/>
                  <w:vAlign w:val="center"/>
                </w:tcPr>
                <w:p w14:paraId="16A4F598">
                  <w:pPr>
                    <w:adjustRightInd w:val="0"/>
                    <w:snapToGrid w:val="0"/>
                    <w:jc w:val="center"/>
                    <w:rPr>
                      <w:color w:val="auto"/>
                      <w:szCs w:val="21"/>
                    </w:rPr>
                  </w:pPr>
                </w:p>
              </w:tc>
              <w:tc>
                <w:tcPr>
                  <w:tcW w:w="699" w:type="pct"/>
                  <w:gridSpan w:val="3"/>
                  <w:vAlign w:val="center"/>
                </w:tcPr>
                <w:p w14:paraId="5CBCE135">
                  <w:pPr>
                    <w:adjustRightInd w:val="0"/>
                    <w:snapToGrid w:val="0"/>
                    <w:jc w:val="center"/>
                    <w:rPr>
                      <w:color w:val="auto"/>
                      <w:szCs w:val="21"/>
                    </w:rPr>
                  </w:pPr>
                  <w:r>
                    <w:rPr>
                      <w:color w:val="auto"/>
                      <w:szCs w:val="21"/>
                    </w:rPr>
                    <w:t>治理措施</w:t>
                  </w:r>
                </w:p>
              </w:tc>
              <w:tc>
                <w:tcPr>
                  <w:tcW w:w="217" w:type="pct"/>
                  <w:vAlign w:val="center"/>
                </w:tcPr>
                <w:p w14:paraId="31A26142">
                  <w:pPr>
                    <w:adjustRightInd w:val="0"/>
                    <w:snapToGrid w:val="0"/>
                    <w:jc w:val="center"/>
                    <w:rPr>
                      <w:color w:val="auto"/>
                      <w:szCs w:val="21"/>
                    </w:rPr>
                  </w:pPr>
                  <w:r>
                    <w:rPr>
                      <w:color w:val="auto"/>
                      <w:szCs w:val="21"/>
                    </w:rPr>
                    <w:t>处理</w:t>
                  </w:r>
                </w:p>
                <w:p w14:paraId="0260289D">
                  <w:pPr>
                    <w:adjustRightInd w:val="0"/>
                    <w:snapToGrid w:val="0"/>
                    <w:jc w:val="center"/>
                    <w:rPr>
                      <w:color w:val="auto"/>
                      <w:szCs w:val="21"/>
                    </w:rPr>
                  </w:pPr>
                  <w:r>
                    <w:rPr>
                      <w:color w:val="auto"/>
                      <w:szCs w:val="21"/>
                    </w:rPr>
                    <w:t>能力</w:t>
                  </w:r>
                </w:p>
              </w:tc>
              <w:tc>
                <w:tcPr>
                  <w:tcW w:w="312" w:type="pct"/>
                  <w:vAlign w:val="center"/>
                </w:tcPr>
                <w:p w14:paraId="477B1B17">
                  <w:pPr>
                    <w:adjustRightInd w:val="0"/>
                    <w:snapToGrid w:val="0"/>
                    <w:jc w:val="center"/>
                    <w:rPr>
                      <w:color w:val="auto"/>
                      <w:szCs w:val="21"/>
                    </w:rPr>
                  </w:pPr>
                  <w:r>
                    <w:rPr>
                      <w:color w:val="auto"/>
                      <w:szCs w:val="21"/>
                    </w:rPr>
                    <w:t>收集效率</w:t>
                  </w:r>
                </w:p>
              </w:tc>
              <w:tc>
                <w:tcPr>
                  <w:tcW w:w="337" w:type="pct"/>
                  <w:vAlign w:val="center"/>
                </w:tcPr>
                <w:p w14:paraId="6B97C9A9">
                  <w:pPr>
                    <w:adjustRightInd w:val="0"/>
                    <w:snapToGrid w:val="0"/>
                    <w:jc w:val="center"/>
                    <w:rPr>
                      <w:color w:val="auto"/>
                      <w:szCs w:val="21"/>
                    </w:rPr>
                  </w:pPr>
                  <w:r>
                    <w:rPr>
                      <w:color w:val="auto"/>
                      <w:szCs w:val="21"/>
                    </w:rPr>
                    <w:t>去除效率</w:t>
                  </w:r>
                </w:p>
              </w:tc>
              <w:tc>
                <w:tcPr>
                  <w:tcW w:w="337" w:type="pct"/>
                  <w:vAlign w:val="center"/>
                </w:tcPr>
                <w:p w14:paraId="6D544BD3">
                  <w:pPr>
                    <w:adjustRightInd w:val="0"/>
                    <w:snapToGrid w:val="0"/>
                    <w:jc w:val="center"/>
                    <w:rPr>
                      <w:color w:val="auto"/>
                      <w:szCs w:val="21"/>
                    </w:rPr>
                  </w:pPr>
                  <w:r>
                    <w:rPr>
                      <w:color w:val="auto"/>
                      <w:szCs w:val="21"/>
                    </w:rPr>
                    <w:t>是否为可行技术</w:t>
                  </w:r>
                </w:p>
              </w:tc>
              <w:tc>
                <w:tcPr>
                  <w:tcW w:w="465" w:type="pct"/>
                  <w:gridSpan w:val="2"/>
                  <w:vAlign w:val="center"/>
                </w:tcPr>
                <w:p w14:paraId="7030817C">
                  <w:pPr>
                    <w:adjustRightInd w:val="0"/>
                    <w:snapToGrid w:val="0"/>
                    <w:jc w:val="center"/>
                    <w:rPr>
                      <w:color w:val="auto"/>
                      <w:szCs w:val="21"/>
                    </w:rPr>
                  </w:pPr>
                  <w:r>
                    <w:rPr>
                      <w:color w:val="auto"/>
                      <w:szCs w:val="21"/>
                    </w:rPr>
                    <w:t>排放量t/a</w:t>
                  </w:r>
                </w:p>
              </w:tc>
              <w:tc>
                <w:tcPr>
                  <w:tcW w:w="299" w:type="pct"/>
                  <w:vAlign w:val="center"/>
                </w:tcPr>
                <w:p w14:paraId="295E595F">
                  <w:pPr>
                    <w:adjustRightInd w:val="0"/>
                    <w:snapToGrid w:val="0"/>
                    <w:jc w:val="center"/>
                    <w:rPr>
                      <w:color w:val="auto"/>
                      <w:szCs w:val="21"/>
                    </w:rPr>
                  </w:pPr>
                  <w:r>
                    <w:rPr>
                      <w:color w:val="auto"/>
                      <w:szCs w:val="21"/>
                    </w:rPr>
                    <w:t>排放速率kg/h</w:t>
                  </w:r>
                </w:p>
              </w:tc>
              <w:tc>
                <w:tcPr>
                  <w:tcW w:w="309" w:type="pct"/>
                  <w:vAlign w:val="center"/>
                </w:tcPr>
                <w:p w14:paraId="0278B880">
                  <w:pPr>
                    <w:adjustRightInd w:val="0"/>
                    <w:snapToGrid w:val="0"/>
                    <w:jc w:val="center"/>
                    <w:rPr>
                      <w:color w:val="auto"/>
                      <w:szCs w:val="21"/>
                    </w:rPr>
                  </w:pPr>
                  <w:r>
                    <w:rPr>
                      <w:color w:val="auto"/>
                      <w:szCs w:val="21"/>
                    </w:rPr>
                    <w:t>排放浓度mg/m</w:t>
                  </w:r>
                  <w:r>
                    <w:rPr>
                      <w:color w:val="auto"/>
                      <w:szCs w:val="21"/>
                      <w:vertAlign w:val="superscript"/>
                    </w:rPr>
                    <w:t>3</w:t>
                  </w:r>
                </w:p>
              </w:tc>
              <w:tc>
                <w:tcPr>
                  <w:tcW w:w="431" w:type="pct"/>
                  <w:vAlign w:val="center"/>
                </w:tcPr>
                <w:p w14:paraId="2485367B">
                  <w:pPr>
                    <w:adjustRightInd w:val="0"/>
                    <w:snapToGrid w:val="0"/>
                    <w:jc w:val="center"/>
                    <w:rPr>
                      <w:color w:val="auto"/>
                      <w:szCs w:val="21"/>
                    </w:rPr>
                  </w:pPr>
                  <w:r>
                    <w:rPr>
                      <w:color w:val="auto"/>
                      <w:szCs w:val="21"/>
                    </w:rPr>
                    <w:t>浓度限值mg/m</w:t>
                  </w:r>
                  <w:r>
                    <w:rPr>
                      <w:color w:val="auto"/>
                      <w:szCs w:val="21"/>
                      <w:vertAlign w:val="superscript"/>
                    </w:rPr>
                    <w:t>3</w:t>
                  </w:r>
                </w:p>
              </w:tc>
            </w:tr>
            <w:tr w14:paraId="48B0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7"/>
                  <w:vAlign w:val="center"/>
                </w:tcPr>
                <w:p w14:paraId="091D0D57">
                  <w:pPr>
                    <w:adjustRightInd w:val="0"/>
                    <w:snapToGrid w:val="0"/>
                    <w:jc w:val="center"/>
                    <w:rPr>
                      <w:rFonts w:hint="eastAsia" w:eastAsia="宋体"/>
                      <w:color w:val="auto"/>
                      <w:szCs w:val="21"/>
                      <w:lang w:eastAsia="zh-CN"/>
                    </w:rPr>
                  </w:pPr>
                  <w:r>
                    <w:rPr>
                      <w:rFonts w:hint="eastAsia"/>
                      <w:b/>
                      <w:bCs/>
                      <w:color w:val="auto"/>
                      <w:szCs w:val="21"/>
                      <w:lang w:eastAsia="zh-CN"/>
                    </w:rPr>
                    <w:t>本项目</w:t>
                  </w:r>
                </w:p>
              </w:tc>
            </w:tr>
            <w:tr w14:paraId="196B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9" w:type="pct"/>
                  <w:vAlign w:val="center"/>
                </w:tcPr>
                <w:p w14:paraId="01E94D99">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原料装卸</w:t>
                  </w:r>
                </w:p>
              </w:tc>
              <w:tc>
                <w:tcPr>
                  <w:tcW w:w="199" w:type="pct"/>
                  <w:vAlign w:val="center"/>
                </w:tcPr>
                <w:p w14:paraId="7B7824AD">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46" w:type="pct"/>
                  <w:vAlign w:val="center"/>
                </w:tcPr>
                <w:p w14:paraId="77AF4659">
                  <w:pPr>
                    <w:adjustRightInd w:val="0"/>
                    <w:snapToGrid w:val="0"/>
                    <w:jc w:val="center"/>
                    <w:rPr>
                      <w:rFonts w:hint="default" w:eastAsia="宋体"/>
                      <w:color w:val="auto"/>
                      <w:szCs w:val="21"/>
                      <w:lang w:val="en-US" w:eastAsia="zh-CN"/>
                    </w:rPr>
                  </w:pPr>
                  <w:r>
                    <w:rPr>
                      <w:rFonts w:hint="eastAsia"/>
                      <w:color w:val="auto"/>
                      <w:szCs w:val="21"/>
                      <w:lang w:val="en-US" w:eastAsia="zh-CN"/>
                    </w:rPr>
                    <w:t>0.021</w:t>
                  </w:r>
                </w:p>
              </w:tc>
              <w:tc>
                <w:tcPr>
                  <w:tcW w:w="314" w:type="pct"/>
                  <w:vAlign w:val="center"/>
                </w:tcPr>
                <w:p w14:paraId="38AE510C">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261" w:type="pct"/>
                  <w:vAlign w:val="center"/>
                </w:tcPr>
                <w:p w14:paraId="37BBD4EA">
                  <w:pPr>
                    <w:adjustRightInd w:val="0"/>
                    <w:snapToGrid w:val="0"/>
                    <w:jc w:val="center"/>
                    <w:rPr>
                      <w:rFonts w:hint="eastAsia" w:eastAsia="宋体"/>
                      <w:color w:val="auto"/>
                      <w:szCs w:val="21"/>
                      <w:lang w:eastAsia="zh-CN"/>
                    </w:rPr>
                  </w:pPr>
                  <w:r>
                    <w:rPr>
                      <w:rFonts w:hint="eastAsia"/>
                      <w:color w:val="auto"/>
                      <w:szCs w:val="21"/>
                      <w:lang w:eastAsia="zh-CN"/>
                    </w:rPr>
                    <w:t>无组织</w:t>
                  </w:r>
                </w:p>
              </w:tc>
              <w:tc>
                <w:tcPr>
                  <w:tcW w:w="699" w:type="pct"/>
                  <w:gridSpan w:val="3"/>
                  <w:vAlign w:val="center"/>
                </w:tcPr>
                <w:p w14:paraId="2F15D395">
                  <w:pPr>
                    <w:adjustRightInd w:val="0"/>
                    <w:snapToGrid w:val="0"/>
                    <w:jc w:val="center"/>
                    <w:rPr>
                      <w:color w:val="auto"/>
                      <w:szCs w:val="21"/>
                    </w:rPr>
                  </w:pPr>
                  <w:r>
                    <w:rPr>
                      <w:rFonts w:hint="eastAsia" w:ascii="Times New Roman" w:hAnsi="Times New Roman" w:eastAsia="宋体" w:cs="Times New Roman"/>
                      <w:color w:val="auto"/>
                      <w:sz w:val="21"/>
                      <w:szCs w:val="21"/>
                      <w:lang w:eastAsia="zh-CN"/>
                    </w:rPr>
                    <w:t>车间密闭、喷淋洒水抑尘</w:t>
                  </w:r>
                </w:p>
              </w:tc>
              <w:tc>
                <w:tcPr>
                  <w:tcW w:w="217" w:type="pct"/>
                  <w:vAlign w:val="center"/>
                </w:tcPr>
                <w:p w14:paraId="545F82E2">
                  <w:pPr>
                    <w:adjustRightInd w:val="0"/>
                    <w:snapToGrid w:val="0"/>
                    <w:jc w:val="center"/>
                    <w:rPr>
                      <w:rFonts w:hint="eastAsia" w:eastAsia="宋体"/>
                      <w:color w:val="auto"/>
                      <w:szCs w:val="21"/>
                      <w:lang w:eastAsia="zh-CN"/>
                    </w:rPr>
                  </w:pPr>
                  <w:r>
                    <w:rPr>
                      <w:rFonts w:hint="eastAsia"/>
                      <w:bCs/>
                      <w:color w:val="auto"/>
                      <w:kern w:val="24"/>
                      <w:szCs w:val="21"/>
                      <w:lang w:val="en-US" w:eastAsia="zh-CN"/>
                    </w:rPr>
                    <w:t>/</w:t>
                  </w:r>
                </w:p>
              </w:tc>
              <w:tc>
                <w:tcPr>
                  <w:tcW w:w="312" w:type="pct"/>
                  <w:vAlign w:val="center"/>
                </w:tcPr>
                <w:p w14:paraId="7183E3CB">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337" w:type="pct"/>
                  <w:vAlign w:val="center"/>
                </w:tcPr>
                <w:p w14:paraId="2B8D0D72">
                  <w:pPr>
                    <w:adjustRightInd w:val="0"/>
                    <w:snapToGrid w:val="0"/>
                    <w:jc w:val="center"/>
                    <w:rPr>
                      <w:color w:val="auto"/>
                      <w:szCs w:val="21"/>
                    </w:rPr>
                  </w:pPr>
                  <w:r>
                    <w:rPr>
                      <w:rFonts w:hint="eastAsia"/>
                      <w:color w:val="auto"/>
                      <w:szCs w:val="21"/>
                      <w:lang w:val="en-US" w:eastAsia="zh-CN"/>
                    </w:rPr>
                    <w:t>8</w:t>
                  </w:r>
                  <w:r>
                    <w:rPr>
                      <w:color w:val="auto"/>
                      <w:szCs w:val="21"/>
                    </w:rPr>
                    <w:t>0%</w:t>
                  </w:r>
                </w:p>
              </w:tc>
              <w:tc>
                <w:tcPr>
                  <w:tcW w:w="337" w:type="pct"/>
                  <w:vAlign w:val="center"/>
                </w:tcPr>
                <w:p w14:paraId="200BE95A">
                  <w:pPr>
                    <w:adjustRightInd w:val="0"/>
                    <w:snapToGrid w:val="0"/>
                    <w:jc w:val="center"/>
                    <w:rPr>
                      <w:color w:val="auto"/>
                      <w:szCs w:val="21"/>
                    </w:rPr>
                  </w:pPr>
                  <w:r>
                    <w:rPr>
                      <w:rFonts w:hint="eastAsia"/>
                      <w:color w:val="auto"/>
                      <w:szCs w:val="21"/>
                    </w:rPr>
                    <w:t>是</w:t>
                  </w:r>
                </w:p>
              </w:tc>
              <w:tc>
                <w:tcPr>
                  <w:tcW w:w="465" w:type="pct"/>
                  <w:gridSpan w:val="2"/>
                  <w:vAlign w:val="center"/>
                </w:tcPr>
                <w:p w14:paraId="254E5301">
                  <w:pPr>
                    <w:adjustRightInd w:val="0"/>
                    <w:snapToGrid w:val="0"/>
                    <w:jc w:val="center"/>
                    <w:rPr>
                      <w:rFonts w:hint="default" w:eastAsia="宋体"/>
                      <w:color w:val="auto"/>
                      <w:szCs w:val="21"/>
                      <w:lang w:val="en-US" w:eastAsia="zh-CN"/>
                    </w:rPr>
                  </w:pPr>
                  <w:r>
                    <w:rPr>
                      <w:rFonts w:hint="eastAsia"/>
                      <w:color w:val="auto"/>
                      <w:szCs w:val="21"/>
                      <w:lang w:val="en-US" w:eastAsia="zh-CN"/>
                    </w:rPr>
                    <w:t>0.0042</w:t>
                  </w:r>
                </w:p>
              </w:tc>
              <w:tc>
                <w:tcPr>
                  <w:tcW w:w="299" w:type="pct"/>
                  <w:vAlign w:val="center"/>
                </w:tcPr>
                <w:p w14:paraId="50D4CB4E">
                  <w:pPr>
                    <w:adjustRightInd w:val="0"/>
                    <w:snapToGrid w:val="0"/>
                    <w:jc w:val="center"/>
                    <w:rPr>
                      <w:rFonts w:hint="default" w:eastAsia="宋体"/>
                      <w:color w:val="auto"/>
                      <w:szCs w:val="21"/>
                      <w:lang w:val="en-US" w:eastAsia="zh-CN"/>
                    </w:rPr>
                  </w:pPr>
                  <w:r>
                    <w:rPr>
                      <w:rFonts w:hint="eastAsia"/>
                      <w:color w:val="auto"/>
                      <w:szCs w:val="21"/>
                      <w:lang w:val="en-US" w:eastAsia="zh-CN"/>
                    </w:rPr>
                    <w:t>0.005</w:t>
                  </w:r>
                </w:p>
              </w:tc>
              <w:tc>
                <w:tcPr>
                  <w:tcW w:w="309" w:type="pct"/>
                  <w:vAlign w:val="center"/>
                </w:tcPr>
                <w:p w14:paraId="7B316194">
                  <w:pPr>
                    <w:adjustRightInd w:val="0"/>
                    <w:snapToGrid w:val="0"/>
                    <w:jc w:val="center"/>
                    <w:rPr>
                      <w:rFonts w:hint="eastAsia" w:eastAsia="宋体"/>
                      <w:color w:val="auto"/>
                      <w:szCs w:val="21"/>
                      <w:lang w:eastAsia="zh-CN"/>
                    </w:rPr>
                  </w:pPr>
                  <w:r>
                    <w:rPr>
                      <w:rFonts w:hint="eastAsia"/>
                      <w:color w:val="auto"/>
                      <w:szCs w:val="21"/>
                      <w:lang w:val="en-US" w:eastAsia="zh-CN"/>
                    </w:rPr>
                    <w:t>/</w:t>
                  </w:r>
                </w:p>
              </w:tc>
              <w:tc>
                <w:tcPr>
                  <w:tcW w:w="431" w:type="pct"/>
                  <w:vAlign w:val="center"/>
                </w:tcPr>
                <w:p w14:paraId="0896E859">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r>
            <w:tr w14:paraId="15AD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9" w:type="pct"/>
                  <w:vAlign w:val="center"/>
                </w:tcPr>
                <w:p w14:paraId="30389AA0">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投料输送粉尘</w:t>
                  </w:r>
                </w:p>
              </w:tc>
              <w:tc>
                <w:tcPr>
                  <w:tcW w:w="199" w:type="pct"/>
                  <w:vAlign w:val="center"/>
                </w:tcPr>
                <w:p w14:paraId="48FC3A7F">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346" w:type="pct"/>
                  <w:vAlign w:val="center"/>
                </w:tcPr>
                <w:p w14:paraId="1EFB9F51">
                  <w:pPr>
                    <w:adjustRightInd w:val="0"/>
                    <w:snapToGrid w:val="0"/>
                    <w:jc w:val="center"/>
                    <w:rPr>
                      <w:rFonts w:hint="default" w:eastAsia="宋体"/>
                      <w:color w:val="auto"/>
                      <w:szCs w:val="21"/>
                      <w:lang w:val="en-US" w:eastAsia="zh-CN"/>
                    </w:rPr>
                  </w:pPr>
                  <w:r>
                    <w:rPr>
                      <w:rFonts w:hint="eastAsia"/>
                      <w:color w:val="auto"/>
                      <w:szCs w:val="21"/>
                      <w:lang w:val="en-US" w:eastAsia="zh-CN"/>
                    </w:rPr>
                    <w:t>4.75</w:t>
                  </w:r>
                </w:p>
              </w:tc>
              <w:tc>
                <w:tcPr>
                  <w:tcW w:w="314" w:type="pct"/>
                  <w:vAlign w:val="center"/>
                </w:tcPr>
                <w:p w14:paraId="2F6B9E80">
                  <w:pPr>
                    <w:adjustRightInd w:val="0"/>
                    <w:snapToGrid w:val="0"/>
                    <w:jc w:val="center"/>
                    <w:rPr>
                      <w:rFonts w:hint="eastAsia" w:eastAsia="宋体"/>
                      <w:color w:val="auto"/>
                      <w:lang w:val="en-US" w:eastAsia="zh-CN"/>
                    </w:rPr>
                  </w:pPr>
                  <w:r>
                    <w:rPr>
                      <w:rFonts w:hint="eastAsia"/>
                      <w:color w:val="auto"/>
                      <w:lang w:val="en-US" w:eastAsia="zh-CN"/>
                    </w:rPr>
                    <w:t>/</w:t>
                  </w:r>
                </w:p>
              </w:tc>
              <w:tc>
                <w:tcPr>
                  <w:tcW w:w="261" w:type="pct"/>
                  <w:vAlign w:val="center"/>
                </w:tcPr>
                <w:p w14:paraId="7CDA6545">
                  <w:pPr>
                    <w:adjustRightInd w:val="0"/>
                    <w:snapToGrid w:val="0"/>
                    <w:jc w:val="center"/>
                    <w:rPr>
                      <w:rFonts w:hint="eastAsia" w:eastAsia="宋体"/>
                      <w:color w:val="auto"/>
                      <w:szCs w:val="21"/>
                      <w:lang w:eastAsia="zh-CN"/>
                    </w:rPr>
                  </w:pPr>
                  <w:r>
                    <w:rPr>
                      <w:rFonts w:hint="eastAsia"/>
                      <w:color w:val="auto"/>
                      <w:szCs w:val="21"/>
                      <w:lang w:eastAsia="zh-CN"/>
                    </w:rPr>
                    <w:t>无组织</w:t>
                  </w:r>
                </w:p>
              </w:tc>
              <w:tc>
                <w:tcPr>
                  <w:tcW w:w="699" w:type="pct"/>
                  <w:gridSpan w:val="3"/>
                  <w:vAlign w:val="center"/>
                </w:tcPr>
                <w:p w14:paraId="611C4F02">
                  <w:pPr>
                    <w:adjustRightInd w:val="0"/>
                    <w:snapToGrid w:val="0"/>
                    <w:jc w:val="center"/>
                    <w:rPr>
                      <w:rFonts w:hint="eastAsia"/>
                      <w:color w:val="auto"/>
                      <w:szCs w:val="21"/>
                    </w:rPr>
                  </w:pPr>
                  <w:r>
                    <w:rPr>
                      <w:rFonts w:hint="eastAsia" w:ascii="Times New Roman" w:hAnsi="Times New Roman" w:eastAsia="宋体" w:cs="Times New Roman"/>
                      <w:color w:val="auto"/>
                      <w:sz w:val="21"/>
                      <w:szCs w:val="21"/>
                      <w:lang w:eastAsia="zh-CN"/>
                    </w:rPr>
                    <w:t>厂房密闭、皮带机全密闭、喷雾降尘</w:t>
                  </w:r>
                </w:p>
              </w:tc>
              <w:tc>
                <w:tcPr>
                  <w:tcW w:w="217" w:type="pct"/>
                  <w:vAlign w:val="center"/>
                </w:tcPr>
                <w:p w14:paraId="3330F957">
                  <w:pPr>
                    <w:adjustRightInd w:val="0"/>
                    <w:snapToGrid w:val="0"/>
                    <w:jc w:val="center"/>
                    <w:rPr>
                      <w:rFonts w:hint="eastAsia" w:eastAsia="宋体"/>
                      <w:bCs/>
                      <w:color w:val="auto"/>
                      <w:kern w:val="24"/>
                      <w:szCs w:val="21"/>
                      <w:lang w:val="en-US" w:eastAsia="zh-CN"/>
                    </w:rPr>
                  </w:pPr>
                  <w:r>
                    <w:rPr>
                      <w:rFonts w:hint="eastAsia"/>
                      <w:bCs/>
                      <w:color w:val="auto"/>
                      <w:kern w:val="24"/>
                      <w:szCs w:val="21"/>
                      <w:lang w:val="en-US" w:eastAsia="zh-CN"/>
                    </w:rPr>
                    <w:t>/</w:t>
                  </w:r>
                </w:p>
              </w:tc>
              <w:tc>
                <w:tcPr>
                  <w:tcW w:w="312" w:type="pct"/>
                  <w:vAlign w:val="center"/>
                </w:tcPr>
                <w:p w14:paraId="5452D162">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337" w:type="pct"/>
                  <w:vAlign w:val="center"/>
                </w:tcPr>
                <w:p w14:paraId="430F22FA">
                  <w:pPr>
                    <w:adjustRightInd w:val="0"/>
                    <w:snapToGrid w:val="0"/>
                    <w:jc w:val="center"/>
                    <w:rPr>
                      <w:rFonts w:hint="default" w:eastAsia="宋体"/>
                      <w:color w:val="auto"/>
                      <w:szCs w:val="21"/>
                      <w:lang w:val="en-US" w:eastAsia="zh-CN"/>
                    </w:rPr>
                  </w:pPr>
                  <w:r>
                    <w:rPr>
                      <w:rFonts w:hint="eastAsia"/>
                      <w:color w:val="auto"/>
                      <w:szCs w:val="21"/>
                      <w:lang w:val="en-US" w:eastAsia="zh-CN"/>
                    </w:rPr>
                    <w:t>98%</w:t>
                  </w:r>
                </w:p>
              </w:tc>
              <w:tc>
                <w:tcPr>
                  <w:tcW w:w="337" w:type="pct"/>
                  <w:vAlign w:val="center"/>
                </w:tcPr>
                <w:p w14:paraId="47D6E50A">
                  <w:pPr>
                    <w:adjustRightInd w:val="0"/>
                    <w:snapToGrid w:val="0"/>
                    <w:jc w:val="center"/>
                    <w:rPr>
                      <w:rFonts w:hint="eastAsia" w:eastAsia="宋体"/>
                      <w:color w:val="auto"/>
                      <w:szCs w:val="21"/>
                      <w:lang w:eastAsia="zh-CN"/>
                    </w:rPr>
                  </w:pPr>
                  <w:r>
                    <w:rPr>
                      <w:rFonts w:hint="eastAsia"/>
                      <w:color w:val="auto"/>
                      <w:szCs w:val="21"/>
                      <w:lang w:eastAsia="zh-CN"/>
                    </w:rPr>
                    <w:t>是</w:t>
                  </w:r>
                </w:p>
              </w:tc>
              <w:tc>
                <w:tcPr>
                  <w:tcW w:w="465" w:type="pct"/>
                  <w:gridSpan w:val="2"/>
                  <w:vAlign w:val="center"/>
                </w:tcPr>
                <w:p w14:paraId="4B0B3F87">
                  <w:pPr>
                    <w:adjustRightInd w:val="0"/>
                    <w:snapToGrid w:val="0"/>
                    <w:jc w:val="center"/>
                    <w:rPr>
                      <w:rFonts w:hint="default" w:eastAsia="宋体"/>
                      <w:color w:val="auto"/>
                      <w:szCs w:val="21"/>
                      <w:lang w:val="en-US" w:eastAsia="zh-CN"/>
                    </w:rPr>
                  </w:pPr>
                  <w:r>
                    <w:rPr>
                      <w:rFonts w:hint="eastAsia"/>
                      <w:color w:val="auto"/>
                      <w:szCs w:val="21"/>
                      <w:lang w:val="en-US" w:eastAsia="zh-CN"/>
                    </w:rPr>
                    <w:t>0.019</w:t>
                  </w:r>
                </w:p>
              </w:tc>
              <w:tc>
                <w:tcPr>
                  <w:tcW w:w="299" w:type="pct"/>
                  <w:vAlign w:val="center"/>
                </w:tcPr>
                <w:p w14:paraId="06953CBE">
                  <w:pPr>
                    <w:adjustRightInd w:val="0"/>
                    <w:snapToGrid w:val="0"/>
                    <w:jc w:val="center"/>
                    <w:rPr>
                      <w:rFonts w:hint="default" w:eastAsia="宋体"/>
                      <w:color w:val="auto"/>
                      <w:szCs w:val="21"/>
                      <w:lang w:val="en-US" w:eastAsia="zh-CN"/>
                    </w:rPr>
                  </w:pPr>
                  <w:r>
                    <w:rPr>
                      <w:rFonts w:hint="eastAsia"/>
                      <w:color w:val="auto"/>
                      <w:szCs w:val="21"/>
                      <w:lang w:val="en-US" w:eastAsia="zh-CN"/>
                    </w:rPr>
                    <w:t>0.008</w:t>
                  </w:r>
                </w:p>
              </w:tc>
              <w:tc>
                <w:tcPr>
                  <w:tcW w:w="309" w:type="pct"/>
                  <w:vAlign w:val="center"/>
                </w:tcPr>
                <w:p w14:paraId="12F3EAAA">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431" w:type="pct"/>
                  <w:vAlign w:val="center"/>
                </w:tcPr>
                <w:p w14:paraId="087F650D">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r>
            <w:tr w14:paraId="5506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9" w:type="pct"/>
                  <w:shd w:val="clear" w:color="auto" w:fill="auto"/>
                  <w:vAlign w:val="center"/>
                </w:tcPr>
                <w:p w14:paraId="034113C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eastAsia="Times New Roman" w:cs="Times New Roman"/>
                      <w:color w:val="auto"/>
                      <w:sz w:val="21"/>
                      <w:szCs w:val="21"/>
                      <w:lang w:val="en-US" w:eastAsia="zh-CN"/>
                    </w:rPr>
                    <w:t>草木灰</w:t>
                  </w:r>
                  <w:r>
                    <w:rPr>
                      <w:rFonts w:hint="eastAsia" w:ascii="Times New Roman" w:hAnsi="Times New Roman" w:eastAsia="Times New Roman" w:cs="Times New Roman"/>
                      <w:color w:val="auto"/>
                      <w:sz w:val="21"/>
                      <w:szCs w:val="21"/>
                      <w:lang w:val="en-US" w:eastAsia="zh-CN"/>
                    </w:rPr>
                    <w:t>筒仓呼吸废气（DA002）</w:t>
                  </w:r>
                </w:p>
              </w:tc>
              <w:tc>
                <w:tcPr>
                  <w:tcW w:w="199" w:type="pct"/>
                  <w:shd w:val="clear" w:color="auto" w:fill="auto"/>
                  <w:vAlign w:val="center"/>
                </w:tcPr>
                <w:p w14:paraId="4D978DD5">
                  <w:pPr>
                    <w:adjustRightInd w:val="0"/>
                    <w:snapToGrid w:val="0"/>
                    <w:spacing w:before="62" w:beforeLines="2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颗粒物</w:t>
                  </w:r>
                </w:p>
              </w:tc>
              <w:tc>
                <w:tcPr>
                  <w:tcW w:w="346" w:type="pct"/>
                  <w:shd w:val="clear" w:color="auto" w:fill="auto"/>
                  <w:vAlign w:val="center"/>
                </w:tcPr>
                <w:p w14:paraId="47A03BA9">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0.76</w:t>
                  </w:r>
                </w:p>
              </w:tc>
              <w:tc>
                <w:tcPr>
                  <w:tcW w:w="314" w:type="pct"/>
                  <w:shd w:val="clear" w:color="auto" w:fill="auto"/>
                  <w:vAlign w:val="center"/>
                </w:tcPr>
                <w:p w14:paraId="044C95F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633</w:t>
                  </w:r>
                </w:p>
              </w:tc>
              <w:tc>
                <w:tcPr>
                  <w:tcW w:w="261" w:type="pct"/>
                  <w:shd w:val="clear" w:color="auto" w:fill="auto"/>
                  <w:vAlign w:val="center"/>
                </w:tcPr>
                <w:p w14:paraId="48884A7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有组织</w:t>
                  </w:r>
                </w:p>
              </w:tc>
              <w:tc>
                <w:tcPr>
                  <w:tcW w:w="699" w:type="pct"/>
                  <w:gridSpan w:val="3"/>
                  <w:shd w:val="clear" w:color="auto" w:fill="auto"/>
                  <w:vAlign w:val="center"/>
                </w:tcPr>
                <w:p w14:paraId="043C7F1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val="en-US" w:eastAsia="zh-CN"/>
                    </w:rPr>
                    <w:t>筒仓顶部配套高效脉冲袋式除尘装置（DA00</w:t>
                  </w:r>
                  <w:r>
                    <w:rPr>
                      <w:rFonts w:hint="eastAsia" w:eastAsia="Times New Roman" w:cs="Times New Roman"/>
                      <w:color w:val="auto"/>
                      <w:sz w:val="21"/>
                      <w:szCs w:val="21"/>
                      <w:lang w:val="en-US" w:eastAsia="zh-CN"/>
                    </w:rPr>
                    <w:t>2</w:t>
                  </w:r>
                  <w:r>
                    <w:rPr>
                      <w:rFonts w:hint="eastAsia" w:ascii="Times New Roman" w:hAnsi="Times New Roman" w:eastAsia="Times New Roman" w:cs="Times New Roman"/>
                      <w:color w:val="auto"/>
                      <w:sz w:val="21"/>
                      <w:szCs w:val="21"/>
                      <w:lang w:val="en-US" w:eastAsia="zh-CN"/>
                    </w:rPr>
                    <w:t>）</w:t>
                  </w:r>
                </w:p>
              </w:tc>
              <w:tc>
                <w:tcPr>
                  <w:tcW w:w="217" w:type="pct"/>
                  <w:shd w:val="clear" w:color="auto" w:fill="auto"/>
                  <w:vAlign w:val="center"/>
                </w:tcPr>
                <w:p w14:paraId="0AA98E6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312" w:type="pct"/>
                  <w:shd w:val="clear" w:color="auto" w:fill="auto"/>
                  <w:vAlign w:val="center"/>
                </w:tcPr>
                <w:p w14:paraId="1D1A81C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100%</w:t>
                  </w:r>
                </w:p>
              </w:tc>
              <w:tc>
                <w:tcPr>
                  <w:tcW w:w="337" w:type="pct"/>
                  <w:shd w:val="clear" w:color="auto" w:fill="auto"/>
                  <w:vAlign w:val="center"/>
                </w:tcPr>
                <w:p w14:paraId="25D5D21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99.5%</w:t>
                  </w:r>
                </w:p>
              </w:tc>
              <w:tc>
                <w:tcPr>
                  <w:tcW w:w="337" w:type="pct"/>
                  <w:shd w:val="clear" w:color="auto" w:fill="auto"/>
                  <w:vAlign w:val="center"/>
                </w:tcPr>
                <w:p w14:paraId="3F233CA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是</w:t>
                  </w:r>
                </w:p>
              </w:tc>
              <w:tc>
                <w:tcPr>
                  <w:tcW w:w="465" w:type="pct"/>
                  <w:gridSpan w:val="2"/>
                  <w:shd w:val="clear" w:color="auto" w:fill="auto"/>
                  <w:vAlign w:val="center"/>
                </w:tcPr>
                <w:p w14:paraId="2590C792">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0.0038</w:t>
                  </w:r>
                </w:p>
              </w:tc>
              <w:tc>
                <w:tcPr>
                  <w:tcW w:w="299" w:type="pct"/>
                  <w:shd w:val="clear" w:color="auto" w:fill="auto"/>
                  <w:vAlign w:val="center"/>
                </w:tcPr>
                <w:p w14:paraId="4C6133F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0.0032</w:t>
                  </w:r>
                </w:p>
              </w:tc>
              <w:tc>
                <w:tcPr>
                  <w:tcW w:w="309" w:type="pct"/>
                  <w:shd w:val="clear" w:color="auto" w:fill="auto"/>
                  <w:vAlign w:val="center"/>
                </w:tcPr>
                <w:p w14:paraId="05BE3CF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1.58</w:t>
                  </w:r>
                </w:p>
              </w:tc>
              <w:tc>
                <w:tcPr>
                  <w:tcW w:w="431" w:type="pct"/>
                  <w:shd w:val="clear" w:color="auto" w:fill="auto"/>
                  <w:vAlign w:val="center"/>
                </w:tcPr>
                <w:p w14:paraId="34E1E99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r>
            <w:tr w14:paraId="2FF2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vAlign w:val="center"/>
                </w:tcPr>
                <w:p w14:paraId="6C7D9C2E">
                  <w:pPr>
                    <w:adjustRightInd w:val="0"/>
                    <w:snapToGrid w:val="0"/>
                    <w:jc w:val="center"/>
                    <w:rPr>
                      <w:rFonts w:hint="default" w:eastAsia="宋体"/>
                      <w:color w:val="auto"/>
                      <w:szCs w:val="21"/>
                      <w:lang w:val="en-US" w:eastAsia="zh-CN"/>
                    </w:rPr>
                  </w:pPr>
                  <w:r>
                    <w:rPr>
                      <w:color w:val="auto"/>
                      <w:szCs w:val="21"/>
                    </w:rPr>
                    <w:t>物料混合搅拌和下料废气、破碎松散废气</w:t>
                  </w:r>
                  <w:r>
                    <w:rPr>
                      <w:rFonts w:hint="eastAsia"/>
                      <w:color w:val="auto"/>
                      <w:szCs w:val="21"/>
                      <w:lang w:eastAsia="zh-CN"/>
                    </w:rPr>
                    <w:t>（</w:t>
                  </w:r>
                  <w:r>
                    <w:rPr>
                      <w:rFonts w:hint="eastAsia"/>
                      <w:color w:val="auto"/>
                      <w:szCs w:val="21"/>
                      <w:lang w:val="en-US" w:eastAsia="zh-CN"/>
                    </w:rPr>
                    <w:t>DA003）</w:t>
                  </w:r>
                </w:p>
              </w:tc>
              <w:tc>
                <w:tcPr>
                  <w:tcW w:w="199" w:type="pct"/>
                  <w:vMerge w:val="restart"/>
                  <w:vAlign w:val="center"/>
                </w:tcPr>
                <w:p w14:paraId="612AEB4A">
                  <w:pPr>
                    <w:adjustRightInd w:val="0"/>
                    <w:snapToGrid w:val="0"/>
                    <w:spacing w:before="62" w:beforeLines="20"/>
                    <w:jc w:val="center"/>
                    <w:rPr>
                      <w:rFonts w:hint="eastAsia" w:eastAsia="宋体"/>
                      <w:color w:val="auto"/>
                      <w:szCs w:val="21"/>
                      <w:lang w:eastAsia="zh-CN"/>
                    </w:rPr>
                  </w:pPr>
                  <w:r>
                    <w:rPr>
                      <w:rFonts w:hint="eastAsia"/>
                      <w:color w:val="auto"/>
                      <w:szCs w:val="21"/>
                      <w:lang w:eastAsia="zh-CN"/>
                    </w:rPr>
                    <w:t>颗粒物</w:t>
                  </w:r>
                </w:p>
              </w:tc>
              <w:tc>
                <w:tcPr>
                  <w:tcW w:w="346" w:type="pct"/>
                  <w:vAlign w:val="center"/>
                </w:tcPr>
                <w:p w14:paraId="6BF9B13E">
                  <w:pPr>
                    <w:adjustRightInd w:val="0"/>
                    <w:snapToGrid w:val="0"/>
                    <w:jc w:val="center"/>
                    <w:rPr>
                      <w:rFonts w:hint="default" w:eastAsia="宋体"/>
                      <w:color w:val="auto"/>
                      <w:szCs w:val="21"/>
                      <w:lang w:val="en-US" w:eastAsia="zh-CN"/>
                    </w:rPr>
                  </w:pPr>
                  <w:r>
                    <w:rPr>
                      <w:rFonts w:hint="eastAsia"/>
                      <w:color w:val="auto"/>
                      <w:lang w:val="en-US" w:eastAsia="zh-CN"/>
                    </w:rPr>
                    <w:t>41.26</w:t>
                  </w:r>
                </w:p>
              </w:tc>
              <w:tc>
                <w:tcPr>
                  <w:tcW w:w="314" w:type="pct"/>
                  <w:vAlign w:val="center"/>
                </w:tcPr>
                <w:p w14:paraId="1DEF00F3">
                  <w:pPr>
                    <w:adjustRightInd w:val="0"/>
                    <w:snapToGrid w:val="0"/>
                    <w:jc w:val="center"/>
                    <w:rPr>
                      <w:rFonts w:hint="default" w:eastAsia="宋体"/>
                      <w:color w:val="auto"/>
                      <w:szCs w:val="21"/>
                      <w:lang w:val="en-US" w:eastAsia="zh-CN"/>
                    </w:rPr>
                  </w:pPr>
                  <w:r>
                    <w:rPr>
                      <w:rFonts w:hint="eastAsia"/>
                      <w:color w:val="auto"/>
                      <w:lang w:val="en-US" w:eastAsia="zh-CN"/>
                    </w:rPr>
                    <w:t>531</w:t>
                  </w:r>
                </w:p>
              </w:tc>
              <w:tc>
                <w:tcPr>
                  <w:tcW w:w="261" w:type="pct"/>
                  <w:vAlign w:val="center"/>
                </w:tcPr>
                <w:p w14:paraId="3CB3AEF8">
                  <w:pPr>
                    <w:adjustRightInd w:val="0"/>
                    <w:snapToGrid w:val="0"/>
                    <w:jc w:val="center"/>
                    <w:rPr>
                      <w:color w:val="auto"/>
                      <w:szCs w:val="21"/>
                    </w:rPr>
                  </w:pPr>
                  <w:r>
                    <w:rPr>
                      <w:color w:val="auto"/>
                      <w:szCs w:val="21"/>
                    </w:rPr>
                    <w:t>有组织</w:t>
                  </w:r>
                </w:p>
              </w:tc>
              <w:tc>
                <w:tcPr>
                  <w:tcW w:w="188" w:type="pct"/>
                  <w:vAlign w:val="center"/>
                </w:tcPr>
                <w:p w14:paraId="1034816D">
                  <w:pPr>
                    <w:adjustRightInd w:val="0"/>
                    <w:snapToGrid w:val="0"/>
                    <w:jc w:val="center"/>
                    <w:rPr>
                      <w:color w:val="auto"/>
                      <w:szCs w:val="21"/>
                    </w:rPr>
                  </w:pPr>
                  <w:r>
                    <w:rPr>
                      <w:rFonts w:hint="eastAsia"/>
                      <w:color w:val="auto"/>
                      <w:szCs w:val="21"/>
                    </w:rPr>
                    <w:t>集气罩</w:t>
                  </w:r>
                </w:p>
              </w:tc>
              <w:tc>
                <w:tcPr>
                  <w:tcW w:w="511" w:type="pct"/>
                  <w:gridSpan w:val="2"/>
                  <w:vAlign w:val="center"/>
                </w:tcPr>
                <w:p w14:paraId="43A752BE">
                  <w:pPr>
                    <w:adjustRightInd w:val="0"/>
                    <w:snapToGrid w:val="0"/>
                    <w:jc w:val="center"/>
                    <w:rPr>
                      <w:color w:val="auto"/>
                      <w:szCs w:val="21"/>
                    </w:rPr>
                  </w:pPr>
                  <w:r>
                    <w:rPr>
                      <w:rFonts w:hint="eastAsia"/>
                      <w:color w:val="auto"/>
                      <w:szCs w:val="21"/>
                      <w:lang w:eastAsia="zh-CN"/>
                    </w:rPr>
                    <w:t>脉冲布袋除尘器</w:t>
                  </w:r>
                  <w:r>
                    <w:rPr>
                      <w:rFonts w:hint="eastAsia"/>
                      <w:color w:val="auto"/>
                      <w:szCs w:val="21"/>
                    </w:rPr>
                    <w:t>+15高排气筒（DA00</w:t>
                  </w:r>
                  <w:r>
                    <w:rPr>
                      <w:rFonts w:hint="eastAsia"/>
                      <w:color w:val="auto"/>
                      <w:szCs w:val="21"/>
                      <w:lang w:val="en-US" w:eastAsia="zh-CN"/>
                    </w:rPr>
                    <w:t>3</w:t>
                  </w:r>
                  <w:r>
                    <w:rPr>
                      <w:rFonts w:hint="eastAsia"/>
                      <w:color w:val="auto"/>
                      <w:szCs w:val="21"/>
                    </w:rPr>
                    <w:t>）</w:t>
                  </w:r>
                </w:p>
              </w:tc>
              <w:tc>
                <w:tcPr>
                  <w:tcW w:w="217" w:type="pct"/>
                  <w:vAlign w:val="center"/>
                </w:tcPr>
                <w:p w14:paraId="1634EA68">
                  <w:pPr>
                    <w:adjustRightInd w:val="0"/>
                    <w:snapToGrid w:val="0"/>
                    <w:jc w:val="center"/>
                    <w:rPr>
                      <w:color w:val="auto"/>
                      <w:szCs w:val="21"/>
                    </w:rPr>
                  </w:pPr>
                  <w:r>
                    <w:rPr>
                      <w:rFonts w:hint="eastAsia"/>
                      <w:color w:val="auto"/>
                      <w:szCs w:val="21"/>
                    </w:rPr>
                    <w:t>/</w:t>
                  </w:r>
                </w:p>
              </w:tc>
              <w:tc>
                <w:tcPr>
                  <w:tcW w:w="312" w:type="pct"/>
                  <w:vAlign w:val="center"/>
                </w:tcPr>
                <w:p w14:paraId="65F3B2B4">
                  <w:pPr>
                    <w:adjustRightInd w:val="0"/>
                    <w:snapToGrid w:val="0"/>
                    <w:jc w:val="center"/>
                    <w:rPr>
                      <w:color w:val="auto"/>
                      <w:szCs w:val="21"/>
                    </w:rPr>
                  </w:pPr>
                  <w:r>
                    <w:rPr>
                      <w:color w:val="auto"/>
                      <w:szCs w:val="21"/>
                    </w:rPr>
                    <w:t>90%</w:t>
                  </w:r>
                </w:p>
              </w:tc>
              <w:tc>
                <w:tcPr>
                  <w:tcW w:w="337" w:type="pct"/>
                  <w:vAlign w:val="center"/>
                </w:tcPr>
                <w:p w14:paraId="4FF94A5C">
                  <w:pPr>
                    <w:adjustRightInd w:val="0"/>
                    <w:snapToGrid w:val="0"/>
                    <w:jc w:val="center"/>
                    <w:rPr>
                      <w:color w:val="auto"/>
                      <w:szCs w:val="21"/>
                    </w:rPr>
                  </w:pPr>
                  <w:r>
                    <w:rPr>
                      <w:color w:val="auto"/>
                      <w:szCs w:val="21"/>
                    </w:rPr>
                    <w:t>9</w:t>
                  </w:r>
                  <w:r>
                    <w:rPr>
                      <w:rFonts w:hint="eastAsia"/>
                      <w:color w:val="auto"/>
                      <w:szCs w:val="21"/>
                      <w:lang w:val="en-US" w:eastAsia="zh-CN"/>
                    </w:rPr>
                    <w:t>9</w:t>
                  </w:r>
                  <w:r>
                    <w:rPr>
                      <w:color w:val="auto"/>
                      <w:szCs w:val="21"/>
                    </w:rPr>
                    <w:t>%</w:t>
                  </w:r>
                </w:p>
              </w:tc>
              <w:tc>
                <w:tcPr>
                  <w:tcW w:w="337" w:type="pct"/>
                  <w:vAlign w:val="center"/>
                </w:tcPr>
                <w:p w14:paraId="2E221D99">
                  <w:pPr>
                    <w:adjustRightInd w:val="0"/>
                    <w:snapToGrid w:val="0"/>
                    <w:jc w:val="center"/>
                    <w:rPr>
                      <w:color w:val="auto"/>
                      <w:szCs w:val="21"/>
                    </w:rPr>
                  </w:pPr>
                  <w:r>
                    <w:rPr>
                      <w:rFonts w:hint="eastAsia"/>
                      <w:color w:val="auto"/>
                      <w:szCs w:val="21"/>
                    </w:rPr>
                    <w:t>是</w:t>
                  </w:r>
                </w:p>
              </w:tc>
              <w:tc>
                <w:tcPr>
                  <w:tcW w:w="465" w:type="pct"/>
                  <w:gridSpan w:val="2"/>
                  <w:vAlign w:val="center"/>
                </w:tcPr>
                <w:p w14:paraId="640F5044">
                  <w:pPr>
                    <w:adjustRightInd w:val="0"/>
                    <w:snapToGrid w:val="0"/>
                    <w:jc w:val="center"/>
                    <w:rPr>
                      <w:rFonts w:hint="default" w:eastAsia="宋体"/>
                      <w:color w:val="auto"/>
                      <w:szCs w:val="21"/>
                      <w:lang w:val="en-US" w:eastAsia="zh-CN"/>
                    </w:rPr>
                  </w:pPr>
                  <w:r>
                    <w:rPr>
                      <w:rFonts w:hint="eastAsia"/>
                      <w:color w:val="auto"/>
                      <w:szCs w:val="21"/>
                      <w:lang w:val="en-US" w:eastAsia="zh-CN"/>
                    </w:rPr>
                    <w:t>0.41</w:t>
                  </w:r>
                </w:p>
              </w:tc>
              <w:tc>
                <w:tcPr>
                  <w:tcW w:w="299" w:type="pct"/>
                  <w:vAlign w:val="center"/>
                </w:tcPr>
                <w:p w14:paraId="5053D32A">
                  <w:pPr>
                    <w:adjustRightInd w:val="0"/>
                    <w:snapToGrid w:val="0"/>
                    <w:jc w:val="center"/>
                    <w:rPr>
                      <w:rFonts w:hint="default" w:eastAsia="宋体"/>
                      <w:color w:val="auto"/>
                      <w:szCs w:val="21"/>
                      <w:lang w:val="en-US" w:eastAsia="zh-CN"/>
                    </w:rPr>
                  </w:pPr>
                  <w:r>
                    <w:rPr>
                      <w:rFonts w:hint="eastAsia"/>
                      <w:color w:val="auto"/>
                      <w:szCs w:val="21"/>
                      <w:lang w:val="en-US" w:eastAsia="zh-CN"/>
                    </w:rPr>
                    <w:t>0.17</w:t>
                  </w:r>
                </w:p>
              </w:tc>
              <w:tc>
                <w:tcPr>
                  <w:tcW w:w="309" w:type="pct"/>
                  <w:vAlign w:val="center"/>
                </w:tcPr>
                <w:p w14:paraId="39F4643C">
                  <w:pPr>
                    <w:adjustRightInd w:val="0"/>
                    <w:snapToGrid w:val="0"/>
                    <w:jc w:val="center"/>
                    <w:rPr>
                      <w:rFonts w:hint="default" w:eastAsia="宋体"/>
                      <w:color w:val="auto"/>
                      <w:szCs w:val="21"/>
                      <w:lang w:val="en-US" w:eastAsia="zh-CN"/>
                    </w:rPr>
                  </w:pPr>
                  <w:r>
                    <w:rPr>
                      <w:rFonts w:hint="eastAsia"/>
                      <w:color w:val="auto"/>
                      <w:szCs w:val="21"/>
                      <w:lang w:val="en-US" w:eastAsia="zh-CN"/>
                    </w:rPr>
                    <w:t>5.28</w:t>
                  </w:r>
                </w:p>
              </w:tc>
              <w:tc>
                <w:tcPr>
                  <w:tcW w:w="431" w:type="pct"/>
                  <w:vAlign w:val="center"/>
                </w:tcPr>
                <w:p w14:paraId="4A0B7BCE">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r>
            <w:tr w14:paraId="6B1C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vAlign w:val="center"/>
                </w:tcPr>
                <w:p w14:paraId="7FA92872">
                  <w:pPr>
                    <w:adjustRightInd w:val="0"/>
                    <w:snapToGrid w:val="0"/>
                    <w:jc w:val="center"/>
                    <w:rPr>
                      <w:color w:val="auto"/>
                      <w:szCs w:val="21"/>
                    </w:rPr>
                  </w:pPr>
                </w:p>
              </w:tc>
              <w:tc>
                <w:tcPr>
                  <w:tcW w:w="199" w:type="pct"/>
                  <w:vMerge w:val="continue"/>
                  <w:vAlign w:val="center"/>
                </w:tcPr>
                <w:p w14:paraId="2582D5A5">
                  <w:pPr>
                    <w:adjustRightInd w:val="0"/>
                    <w:snapToGrid w:val="0"/>
                    <w:spacing w:before="62" w:beforeLines="20"/>
                    <w:jc w:val="center"/>
                    <w:rPr>
                      <w:color w:val="auto"/>
                      <w:szCs w:val="21"/>
                    </w:rPr>
                  </w:pPr>
                </w:p>
              </w:tc>
              <w:tc>
                <w:tcPr>
                  <w:tcW w:w="346" w:type="pct"/>
                  <w:vAlign w:val="center"/>
                </w:tcPr>
                <w:p w14:paraId="146D33F2">
                  <w:pPr>
                    <w:adjustRightInd w:val="0"/>
                    <w:snapToGrid w:val="0"/>
                    <w:jc w:val="center"/>
                    <w:rPr>
                      <w:rFonts w:hint="default" w:eastAsia="宋体"/>
                      <w:color w:val="auto"/>
                      <w:szCs w:val="21"/>
                      <w:lang w:val="en-US" w:eastAsia="zh-CN"/>
                    </w:rPr>
                  </w:pPr>
                  <w:r>
                    <w:rPr>
                      <w:rFonts w:hint="eastAsia"/>
                      <w:color w:val="auto"/>
                      <w:lang w:val="en-US" w:eastAsia="zh-CN"/>
                    </w:rPr>
                    <w:t>4.58</w:t>
                  </w:r>
                </w:p>
              </w:tc>
              <w:tc>
                <w:tcPr>
                  <w:tcW w:w="314" w:type="pct"/>
                  <w:vAlign w:val="center"/>
                </w:tcPr>
                <w:p w14:paraId="515988CB">
                  <w:pPr>
                    <w:adjustRightInd w:val="0"/>
                    <w:snapToGrid w:val="0"/>
                    <w:jc w:val="center"/>
                    <w:rPr>
                      <w:color w:val="auto"/>
                      <w:szCs w:val="21"/>
                    </w:rPr>
                  </w:pPr>
                  <w:r>
                    <w:rPr>
                      <w:rFonts w:hint="eastAsia"/>
                      <w:color w:val="auto"/>
                      <w:szCs w:val="21"/>
                    </w:rPr>
                    <w:t>/</w:t>
                  </w:r>
                </w:p>
              </w:tc>
              <w:tc>
                <w:tcPr>
                  <w:tcW w:w="261" w:type="pct"/>
                  <w:vAlign w:val="center"/>
                </w:tcPr>
                <w:p w14:paraId="5CB5F6CD">
                  <w:pPr>
                    <w:adjustRightInd w:val="0"/>
                    <w:snapToGrid w:val="0"/>
                    <w:jc w:val="center"/>
                    <w:rPr>
                      <w:color w:val="auto"/>
                      <w:szCs w:val="21"/>
                    </w:rPr>
                  </w:pPr>
                  <w:r>
                    <w:rPr>
                      <w:color w:val="auto"/>
                      <w:szCs w:val="21"/>
                    </w:rPr>
                    <w:t>无组织</w:t>
                  </w:r>
                </w:p>
              </w:tc>
              <w:tc>
                <w:tcPr>
                  <w:tcW w:w="188" w:type="pct"/>
                  <w:vAlign w:val="center"/>
                </w:tcPr>
                <w:p w14:paraId="32A96697">
                  <w:pPr>
                    <w:adjustRightInd w:val="0"/>
                    <w:snapToGrid w:val="0"/>
                    <w:jc w:val="center"/>
                    <w:rPr>
                      <w:color w:val="auto"/>
                      <w:szCs w:val="21"/>
                    </w:rPr>
                  </w:pPr>
                  <w:r>
                    <w:rPr>
                      <w:rFonts w:hint="eastAsia"/>
                      <w:color w:val="auto"/>
                      <w:szCs w:val="21"/>
                    </w:rPr>
                    <w:t>/</w:t>
                  </w:r>
                </w:p>
              </w:tc>
              <w:tc>
                <w:tcPr>
                  <w:tcW w:w="511" w:type="pct"/>
                  <w:gridSpan w:val="2"/>
                  <w:vAlign w:val="center"/>
                </w:tcPr>
                <w:p w14:paraId="70B64626">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217" w:type="pct"/>
                  <w:vAlign w:val="center"/>
                </w:tcPr>
                <w:p w14:paraId="2195B8F4">
                  <w:pPr>
                    <w:adjustRightInd w:val="0"/>
                    <w:snapToGrid w:val="0"/>
                    <w:jc w:val="center"/>
                    <w:rPr>
                      <w:color w:val="auto"/>
                      <w:szCs w:val="21"/>
                    </w:rPr>
                  </w:pPr>
                  <w:r>
                    <w:rPr>
                      <w:rFonts w:hint="eastAsia"/>
                      <w:color w:val="auto"/>
                      <w:szCs w:val="21"/>
                    </w:rPr>
                    <w:t>/</w:t>
                  </w:r>
                </w:p>
              </w:tc>
              <w:tc>
                <w:tcPr>
                  <w:tcW w:w="312" w:type="pct"/>
                  <w:vAlign w:val="center"/>
                </w:tcPr>
                <w:p w14:paraId="29F323C3">
                  <w:pPr>
                    <w:adjustRightInd w:val="0"/>
                    <w:snapToGrid w:val="0"/>
                    <w:jc w:val="center"/>
                    <w:rPr>
                      <w:color w:val="auto"/>
                      <w:szCs w:val="21"/>
                    </w:rPr>
                  </w:pPr>
                  <w:r>
                    <w:rPr>
                      <w:rFonts w:hint="eastAsia"/>
                      <w:color w:val="auto"/>
                      <w:szCs w:val="21"/>
                    </w:rPr>
                    <w:t>/</w:t>
                  </w:r>
                </w:p>
              </w:tc>
              <w:tc>
                <w:tcPr>
                  <w:tcW w:w="337" w:type="pct"/>
                  <w:vAlign w:val="center"/>
                </w:tcPr>
                <w:p w14:paraId="7EA33529">
                  <w:pPr>
                    <w:adjustRightInd w:val="0"/>
                    <w:snapToGrid w:val="0"/>
                    <w:jc w:val="center"/>
                    <w:rPr>
                      <w:color w:val="auto"/>
                      <w:szCs w:val="21"/>
                    </w:rPr>
                  </w:pPr>
                  <w:r>
                    <w:rPr>
                      <w:rFonts w:hint="eastAsia"/>
                      <w:color w:val="auto"/>
                      <w:szCs w:val="21"/>
                    </w:rPr>
                    <w:t>/</w:t>
                  </w:r>
                </w:p>
              </w:tc>
              <w:tc>
                <w:tcPr>
                  <w:tcW w:w="337" w:type="pct"/>
                  <w:vAlign w:val="center"/>
                </w:tcPr>
                <w:p w14:paraId="7C292093">
                  <w:pPr>
                    <w:adjustRightInd w:val="0"/>
                    <w:snapToGrid w:val="0"/>
                    <w:jc w:val="center"/>
                    <w:rPr>
                      <w:color w:val="auto"/>
                      <w:szCs w:val="21"/>
                    </w:rPr>
                  </w:pPr>
                  <w:r>
                    <w:rPr>
                      <w:rFonts w:hint="eastAsia"/>
                      <w:color w:val="auto"/>
                      <w:szCs w:val="21"/>
                    </w:rPr>
                    <w:t>/</w:t>
                  </w:r>
                </w:p>
              </w:tc>
              <w:tc>
                <w:tcPr>
                  <w:tcW w:w="465" w:type="pct"/>
                  <w:gridSpan w:val="2"/>
                  <w:vAlign w:val="center"/>
                </w:tcPr>
                <w:p w14:paraId="230751D0">
                  <w:pPr>
                    <w:adjustRightInd w:val="0"/>
                    <w:snapToGrid w:val="0"/>
                    <w:jc w:val="center"/>
                    <w:rPr>
                      <w:rFonts w:hint="default" w:eastAsia="宋体"/>
                      <w:color w:val="auto"/>
                      <w:szCs w:val="21"/>
                      <w:lang w:val="en-US" w:eastAsia="zh-CN"/>
                    </w:rPr>
                  </w:pPr>
                  <w:r>
                    <w:rPr>
                      <w:rFonts w:hint="eastAsia"/>
                      <w:color w:val="auto"/>
                      <w:lang w:val="en-US" w:eastAsia="zh-CN"/>
                    </w:rPr>
                    <w:t>0.23</w:t>
                  </w:r>
                </w:p>
              </w:tc>
              <w:tc>
                <w:tcPr>
                  <w:tcW w:w="299" w:type="pct"/>
                  <w:vAlign w:val="center"/>
                </w:tcPr>
                <w:p w14:paraId="552678F5">
                  <w:pPr>
                    <w:adjustRightInd w:val="0"/>
                    <w:snapToGrid w:val="0"/>
                    <w:jc w:val="center"/>
                    <w:rPr>
                      <w:rFonts w:hint="default" w:eastAsia="宋体"/>
                      <w:color w:val="auto"/>
                      <w:szCs w:val="21"/>
                      <w:lang w:val="en-US" w:eastAsia="zh-CN"/>
                    </w:rPr>
                  </w:pPr>
                  <w:r>
                    <w:rPr>
                      <w:rFonts w:hint="eastAsia"/>
                      <w:color w:val="auto"/>
                      <w:szCs w:val="21"/>
                      <w:lang w:val="en-US" w:eastAsia="zh-CN"/>
                    </w:rPr>
                    <w:t>0.095</w:t>
                  </w:r>
                </w:p>
              </w:tc>
              <w:tc>
                <w:tcPr>
                  <w:tcW w:w="309" w:type="pct"/>
                  <w:vAlign w:val="center"/>
                </w:tcPr>
                <w:p w14:paraId="2CD5BE94">
                  <w:pPr>
                    <w:adjustRightInd w:val="0"/>
                    <w:snapToGrid w:val="0"/>
                    <w:jc w:val="center"/>
                    <w:rPr>
                      <w:color w:val="auto"/>
                      <w:szCs w:val="21"/>
                    </w:rPr>
                  </w:pPr>
                  <w:r>
                    <w:rPr>
                      <w:rFonts w:hint="eastAsia"/>
                      <w:color w:val="auto"/>
                      <w:szCs w:val="21"/>
                    </w:rPr>
                    <w:t>/</w:t>
                  </w:r>
                </w:p>
              </w:tc>
              <w:tc>
                <w:tcPr>
                  <w:tcW w:w="431" w:type="pct"/>
                  <w:vAlign w:val="center"/>
                </w:tcPr>
                <w:p w14:paraId="588CDD4D">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r>
            <w:tr w14:paraId="6C1F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7"/>
                  <w:vAlign w:val="center"/>
                </w:tcPr>
                <w:p w14:paraId="0F385CF6">
                  <w:pPr>
                    <w:adjustRightInd w:val="0"/>
                    <w:snapToGrid w:val="0"/>
                    <w:jc w:val="center"/>
                    <w:rPr>
                      <w:rFonts w:hint="eastAsia"/>
                      <w:szCs w:val="21"/>
                      <w:lang w:val="en-US" w:eastAsia="zh-CN"/>
                    </w:rPr>
                  </w:pPr>
                  <w:r>
                    <w:rPr>
                      <w:rFonts w:hint="eastAsia"/>
                      <w:b/>
                      <w:bCs/>
                      <w:szCs w:val="21"/>
                      <w:lang w:val="en-US" w:eastAsia="zh-CN"/>
                    </w:rPr>
                    <w:t>技改后全厂</w:t>
                  </w:r>
                </w:p>
              </w:tc>
            </w:tr>
            <w:tr w14:paraId="2289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shd w:val="clear" w:color="auto" w:fill="auto"/>
                  <w:vAlign w:val="center"/>
                </w:tcPr>
                <w:p w14:paraId="0471CA31">
                  <w:pPr>
                    <w:adjustRightInd w:val="0"/>
                    <w:snapToGrid w:val="0"/>
                    <w:jc w:val="center"/>
                    <w:rPr>
                      <w:rFonts w:hint="default" w:ascii="Times New Roman" w:hAnsi="Times New Roman" w:eastAsia="Times New Roman" w:cs="Times New Roman"/>
                      <w:color w:val="000000"/>
                      <w:kern w:val="2"/>
                      <w:sz w:val="21"/>
                      <w:szCs w:val="21"/>
                      <w:lang w:val="en-US" w:eastAsia="zh-CN" w:bidi="ar-SA"/>
                    </w:rPr>
                  </w:pPr>
                  <w:r>
                    <w:rPr>
                      <w:rFonts w:hint="eastAsia"/>
                      <w:color w:val="auto"/>
                      <w:szCs w:val="21"/>
                      <w:lang w:eastAsia="zh-CN"/>
                    </w:rPr>
                    <w:t>水泥仓</w:t>
                  </w:r>
                  <w:r>
                    <w:rPr>
                      <w:color w:val="auto"/>
                      <w:szCs w:val="21"/>
                    </w:rPr>
                    <w:t>呼吸</w:t>
                  </w:r>
                  <w:r>
                    <w:rPr>
                      <w:rFonts w:hint="eastAsia"/>
                      <w:color w:val="auto"/>
                      <w:szCs w:val="21"/>
                      <w:lang w:eastAsia="zh-CN"/>
                    </w:rPr>
                    <w:t>废气（</w:t>
                  </w:r>
                  <w:r>
                    <w:rPr>
                      <w:rFonts w:hint="eastAsia"/>
                      <w:color w:val="auto"/>
                      <w:szCs w:val="21"/>
                      <w:lang w:val="en-US" w:eastAsia="zh-CN"/>
                    </w:rPr>
                    <w:t>DA001）</w:t>
                  </w:r>
                </w:p>
              </w:tc>
              <w:tc>
                <w:tcPr>
                  <w:tcW w:w="199" w:type="pct"/>
                  <w:shd w:val="clear" w:color="auto" w:fill="auto"/>
                  <w:vAlign w:val="center"/>
                </w:tcPr>
                <w:p w14:paraId="5711C85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颗粒物</w:t>
                  </w:r>
                </w:p>
              </w:tc>
              <w:tc>
                <w:tcPr>
                  <w:tcW w:w="346" w:type="pct"/>
                  <w:shd w:val="clear" w:color="auto" w:fill="auto"/>
                  <w:vAlign w:val="center"/>
                </w:tcPr>
                <w:p w14:paraId="57E4F78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3.42</w:t>
                  </w:r>
                </w:p>
              </w:tc>
              <w:tc>
                <w:tcPr>
                  <w:tcW w:w="314" w:type="pct"/>
                  <w:shd w:val="clear" w:color="auto" w:fill="auto"/>
                  <w:vAlign w:val="center"/>
                </w:tcPr>
                <w:p w14:paraId="3A89D73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1425</w:t>
                  </w:r>
                </w:p>
              </w:tc>
              <w:tc>
                <w:tcPr>
                  <w:tcW w:w="261" w:type="pct"/>
                  <w:shd w:val="clear" w:color="auto" w:fill="auto"/>
                  <w:vAlign w:val="center"/>
                </w:tcPr>
                <w:p w14:paraId="3D9859C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有组织</w:t>
                  </w:r>
                </w:p>
              </w:tc>
              <w:tc>
                <w:tcPr>
                  <w:tcW w:w="699" w:type="pct"/>
                  <w:gridSpan w:val="3"/>
                  <w:shd w:val="clear" w:color="auto" w:fill="auto"/>
                  <w:vAlign w:val="center"/>
                </w:tcPr>
                <w:p w14:paraId="36B4CFF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脉冲</w:t>
                  </w:r>
                  <w:r>
                    <w:rPr>
                      <w:rFonts w:hint="default" w:ascii="Times New Roman" w:hAnsi="Times New Roman" w:cs="Times New Roman"/>
                      <w:color w:val="auto"/>
                      <w:szCs w:val="21"/>
                    </w:rPr>
                    <w:t>除尘器+15m高排气筒（DA001）</w:t>
                  </w:r>
                </w:p>
              </w:tc>
              <w:tc>
                <w:tcPr>
                  <w:tcW w:w="217" w:type="pct"/>
                  <w:shd w:val="clear" w:color="auto" w:fill="auto"/>
                  <w:vAlign w:val="center"/>
                </w:tcPr>
                <w:p w14:paraId="57A2378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312" w:type="pct"/>
                  <w:shd w:val="clear" w:color="auto" w:fill="auto"/>
                  <w:vAlign w:val="center"/>
                </w:tcPr>
                <w:p w14:paraId="61DA970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100</w:t>
                  </w:r>
                  <w:r>
                    <w:rPr>
                      <w:rFonts w:hint="eastAsia"/>
                      <w:color w:val="auto"/>
                      <w:szCs w:val="21"/>
                    </w:rPr>
                    <w:t>%</w:t>
                  </w:r>
                </w:p>
              </w:tc>
              <w:tc>
                <w:tcPr>
                  <w:tcW w:w="337" w:type="pct"/>
                  <w:shd w:val="clear" w:color="auto" w:fill="auto"/>
                  <w:vAlign w:val="center"/>
                </w:tcPr>
                <w:p w14:paraId="145554F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99.5%</w:t>
                  </w:r>
                </w:p>
              </w:tc>
              <w:tc>
                <w:tcPr>
                  <w:tcW w:w="337" w:type="pct"/>
                  <w:shd w:val="clear" w:color="auto" w:fill="auto"/>
                  <w:vAlign w:val="center"/>
                </w:tcPr>
                <w:p w14:paraId="1CFCDF0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eastAsia="zh-CN"/>
                    </w:rPr>
                    <w:t>是</w:t>
                  </w:r>
                </w:p>
              </w:tc>
              <w:tc>
                <w:tcPr>
                  <w:tcW w:w="465" w:type="pct"/>
                  <w:gridSpan w:val="2"/>
                  <w:shd w:val="clear" w:color="auto" w:fill="auto"/>
                  <w:vAlign w:val="center"/>
                </w:tcPr>
                <w:p w14:paraId="1FB89F4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0.017</w:t>
                  </w:r>
                </w:p>
              </w:tc>
              <w:tc>
                <w:tcPr>
                  <w:tcW w:w="299" w:type="pct"/>
                  <w:shd w:val="clear" w:color="auto" w:fill="auto"/>
                  <w:vAlign w:val="center"/>
                </w:tcPr>
                <w:p w14:paraId="2AA4A52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0.014</w:t>
                  </w:r>
                </w:p>
              </w:tc>
              <w:tc>
                <w:tcPr>
                  <w:tcW w:w="309" w:type="pct"/>
                  <w:shd w:val="clear" w:color="auto" w:fill="auto"/>
                  <w:vAlign w:val="center"/>
                </w:tcPr>
                <w:p w14:paraId="5B11B1D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7.08</w:t>
                  </w:r>
                </w:p>
              </w:tc>
              <w:tc>
                <w:tcPr>
                  <w:tcW w:w="431" w:type="pct"/>
                  <w:shd w:val="clear" w:color="auto" w:fill="auto"/>
                  <w:vAlign w:val="center"/>
                </w:tcPr>
                <w:p w14:paraId="76BEF9B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r>
            <w:tr w14:paraId="5FD5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shd w:val="clear" w:color="auto" w:fill="auto"/>
                  <w:vAlign w:val="center"/>
                </w:tcPr>
                <w:p w14:paraId="24B23D52">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eastAsia="Times New Roman" w:cs="Times New Roman"/>
                      <w:color w:val="000000"/>
                      <w:sz w:val="21"/>
                      <w:szCs w:val="21"/>
                      <w:lang w:val="en-US" w:eastAsia="zh-CN"/>
                    </w:rPr>
                    <w:t>草木灰</w:t>
                  </w:r>
                  <w:r>
                    <w:rPr>
                      <w:rFonts w:hint="eastAsia" w:ascii="Times New Roman" w:hAnsi="Times New Roman" w:eastAsia="Times New Roman" w:cs="Times New Roman"/>
                      <w:color w:val="000000"/>
                      <w:sz w:val="21"/>
                      <w:szCs w:val="21"/>
                      <w:lang w:val="en-US" w:eastAsia="zh-CN"/>
                    </w:rPr>
                    <w:t>筒仓呼吸废气（DA002）</w:t>
                  </w:r>
                </w:p>
              </w:tc>
              <w:tc>
                <w:tcPr>
                  <w:tcW w:w="199" w:type="pct"/>
                  <w:shd w:val="clear" w:color="auto" w:fill="auto"/>
                  <w:vAlign w:val="center"/>
                </w:tcPr>
                <w:p w14:paraId="1F66E594">
                  <w:pPr>
                    <w:adjustRightInd w:val="0"/>
                    <w:snapToGrid w:val="0"/>
                    <w:spacing w:before="62" w:beforeLines="20"/>
                    <w:jc w:val="center"/>
                    <w:rPr>
                      <w:rFonts w:hint="eastAsia" w:ascii="Times New Roman" w:hAnsi="Times New Roman" w:eastAsia="宋体" w:cs="Times New Roman"/>
                      <w:kern w:val="2"/>
                      <w:sz w:val="21"/>
                      <w:szCs w:val="21"/>
                      <w:lang w:val="en-US" w:eastAsia="zh-CN" w:bidi="ar-SA"/>
                    </w:rPr>
                  </w:pPr>
                  <w:r>
                    <w:rPr>
                      <w:rFonts w:hint="eastAsia"/>
                      <w:szCs w:val="21"/>
                      <w:lang w:eastAsia="zh-CN"/>
                    </w:rPr>
                    <w:t>颗粒物</w:t>
                  </w:r>
                </w:p>
              </w:tc>
              <w:tc>
                <w:tcPr>
                  <w:tcW w:w="346" w:type="pct"/>
                  <w:shd w:val="clear" w:color="auto" w:fill="auto"/>
                  <w:vAlign w:val="center"/>
                </w:tcPr>
                <w:p w14:paraId="1D4D31F3">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lang w:val="en-US" w:eastAsia="zh-CN"/>
                    </w:rPr>
                    <w:t>0.76</w:t>
                  </w:r>
                </w:p>
              </w:tc>
              <w:tc>
                <w:tcPr>
                  <w:tcW w:w="314" w:type="pct"/>
                  <w:shd w:val="clear" w:color="auto" w:fill="auto"/>
                  <w:vAlign w:val="center"/>
                </w:tcPr>
                <w:p w14:paraId="68412DF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633</w:t>
                  </w:r>
                </w:p>
              </w:tc>
              <w:tc>
                <w:tcPr>
                  <w:tcW w:w="261" w:type="pct"/>
                  <w:shd w:val="clear" w:color="auto" w:fill="auto"/>
                  <w:vAlign w:val="center"/>
                </w:tcPr>
                <w:p w14:paraId="27BF553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eastAsia="zh-CN"/>
                    </w:rPr>
                    <w:t>有组织</w:t>
                  </w:r>
                </w:p>
              </w:tc>
              <w:tc>
                <w:tcPr>
                  <w:tcW w:w="699" w:type="pct"/>
                  <w:gridSpan w:val="3"/>
                  <w:shd w:val="clear" w:color="auto" w:fill="auto"/>
                  <w:vAlign w:val="center"/>
                </w:tcPr>
                <w:p w14:paraId="64246F72">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color w:val="000000"/>
                      <w:sz w:val="21"/>
                      <w:szCs w:val="21"/>
                      <w:lang w:val="en-US" w:eastAsia="zh-CN"/>
                    </w:rPr>
                    <w:t>筒仓顶部配套高效脉冲袋式除尘装置（DA00</w:t>
                  </w:r>
                  <w:r>
                    <w:rPr>
                      <w:rFonts w:hint="eastAsia" w:eastAsia="Times New Roman" w:cs="Times New Roman"/>
                      <w:color w:val="000000"/>
                      <w:sz w:val="21"/>
                      <w:szCs w:val="21"/>
                      <w:lang w:val="en-US" w:eastAsia="zh-CN"/>
                    </w:rPr>
                    <w:t>2</w:t>
                  </w:r>
                  <w:r>
                    <w:rPr>
                      <w:rFonts w:hint="eastAsia" w:ascii="Times New Roman" w:hAnsi="Times New Roman" w:eastAsia="Times New Roman" w:cs="Times New Roman"/>
                      <w:color w:val="000000"/>
                      <w:sz w:val="21"/>
                      <w:szCs w:val="21"/>
                      <w:lang w:val="en-US" w:eastAsia="zh-CN"/>
                    </w:rPr>
                    <w:t>）</w:t>
                  </w:r>
                </w:p>
              </w:tc>
              <w:tc>
                <w:tcPr>
                  <w:tcW w:w="217" w:type="pct"/>
                  <w:shd w:val="clear" w:color="auto" w:fill="auto"/>
                  <w:vAlign w:val="center"/>
                </w:tcPr>
                <w:p w14:paraId="5F13410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312" w:type="pct"/>
                  <w:shd w:val="clear" w:color="auto" w:fill="auto"/>
                  <w:vAlign w:val="center"/>
                </w:tcPr>
                <w:p w14:paraId="4C2CB98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100%</w:t>
                  </w:r>
                </w:p>
              </w:tc>
              <w:tc>
                <w:tcPr>
                  <w:tcW w:w="337" w:type="pct"/>
                  <w:shd w:val="clear" w:color="auto" w:fill="auto"/>
                  <w:vAlign w:val="center"/>
                </w:tcPr>
                <w:p w14:paraId="6E490F89">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99.5%</w:t>
                  </w:r>
                </w:p>
              </w:tc>
              <w:tc>
                <w:tcPr>
                  <w:tcW w:w="337" w:type="pct"/>
                  <w:shd w:val="clear" w:color="auto" w:fill="auto"/>
                  <w:vAlign w:val="center"/>
                </w:tcPr>
                <w:p w14:paraId="3AC67C0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eastAsia="zh-CN"/>
                    </w:rPr>
                    <w:t>是</w:t>
                  </w:r>
                </w:p>
              </w:tc>
              <w:tc>
                <w:tcPr>
                  <w:tcW w:w="465" w:type="pct"/>
                  <w:gridSpan w:val="2"/>
                  <w:shd w:val="clear" w:color="auto" w:fill="auto"/>
                  <w:vAlign w:val="center"/>
                </w:tcPr>
                <w:p w14:paraId="40324CE0">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lang w:val="en-US" w:eastAsia="zh-CN"/>
                    </w:rPr>
                    <w:t>0.0038</w:t>
                  </w:r>
                </w:p>
              </w:tc>
              <w:tc>
                <w:tcPr>
                  <w:tcW w:w="299" w:type="pct"/>
                  <w:shd w:val="clear" w:color="auto" w:fill="auto"/>
                  <w:vAlign w:val="center"/>
                </w:tcPr>
                <w:p w14:paraId="1E15458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0.0032</w:t>
                  </w:r>
                </w:p>
              </w:tc>
              <w:tc>
                <w:tcPr>
                  <w:tcW w:w="309" w:type="pct"/>
                  <w:shd w:val="clear" w:color="auto" w:fill="auto"/>
                  <w:vAlign w:val="center"/>
                </w:tcPr>
                <w:p w14:paraId="2590CEA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1.58</w:t>
                  </w:r>
                </w:p>
              </w:tc>
              <w:tc>
                <w:tcPr>
                  <w:tcW w:w="431" w:type="pct"/>
                  <w:shd w:val="clear" w:color="auto" w:fill="auto"/>
                  <w:vAlign w:val="center"/>
                </w:tcPr>
                <w:p w14:paraId="6BCE169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p>
              </w:tc>
            </w:tr>
            <w:tr w14:paraId="5D19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vAlign w:val="center"/>
                </w:tcPr>
                <w:p w14:paraId="2CF2A85F">
                  <w:pPr>
                    <w:adjustRightInd w:val="0"/>
                    <w:snapToGrid w:val="0"/>
                    <w:jc w:val="center"/>
                    <w:rPr>
                      <w:rFonts w:hint="default" w:eastAsia="宋体" w:cs="Times New Roman"/>
                      <w:color w:val="000000"/>
                      <w:sz w:val="21"/>
                      <w:szCs w:val="21"/>
                      <w:lang w:val="en-US" w:eastAsia="zh-CN"/>
                    </w:rPr>
                  </w:pPr>
                  <w:r>
                    <w:rPr>
                      <w:color w:val="auto"/>
                      <w:szCs w:val="21"/>
                    </w:rPr>
                    <w:t>物料混合搅拌和下料废气、破碎松散废气</w:t>
                  </w:r>
                  <w:r>
                    <w:rPr>
                      <w:rFonts w:hint="eastAsia"/>
                      <w:szCs w:val="21"/>
                      <w:lang w:eastAsia="zh-CN"/>
                    </w:rPr>
                    <w:t>（</w:t>
                  </w:r>
                  <w:r>
                    <w:rPr>
                      <w:rFonts w:hint="eastAsia"/>
                      <w:szCs w:val="21"/>
                      <w:lang w:val="en-US" w:eastAsia="zh-CN"/>
                    </w:rPr>
                    <w:t>DA003）</w:t>
                  </w:r>
                </w:p>
              </w:tc>
              <w:tc>
                <w:tcPr>
                  <w:tcW w:w="199" w:type="pct"/>
                  <w:vMerge w:val="restart"/>
                  <w:vAlign w:val="center"/>
                </w:tcPr>
                <w:p w14:paraId="6417F298">
                  <w:pPr>
                    <w:adjustRightInd w:val="0"/>
                    <w:snapToGrid w:val="0"/>
                    <w:spacing w:before="62" w:beforeLines="20"/>
                    <w:jc w:val="center"/>
                    <w:rPr>
                      <w:rFonts w:hint="eastAsia"/>
                      <w:szCs w:val="21"/>
                      <w:lang w:eastAsia="zh-CN"/>
                    </w:rPr>
                  </w:pPr>
                  <w:r>
                    <w:rPr>
                      <w:rFonts w:hint="eastAsia"/>
                      <w:szCs w:val="21"/>
                      <w:lang w:eastAsia="zh-CN"/>
                    </w:rPr>
                    <w:t>颗粒物</w:t>
                  </w:r>
                </w:p>
              </w:tc>
              <w:tc>
                <w:tcPr>
                  <w:tcW w:w="925" w:type="dxa"/>
                  <w:vAlign w:val="center"/>
                </w:tcPr>
                <w:p w14:paraId="3B5C8B9B">
                  <w:pPr>
                    <w:adjustRightInd w:val="0"/>
                    <w:snapToGrid w:val="0"/>
                    <w:jc w:val="center"/>
                    <w:rPr>
                      <w:rFonts w:hint="eastAsia"/>
                      <w:lang w:val="en-US" w:eastAsia="zh-CN"/>
                    </w:rPr>
                  </w:pPr>
                  <w:r>
                    <w:rPr>
                      <w:rFonts w:hint="eastAsia"/>
                      <w:color w:val="auto"/>
                      <w:lang w:val="en-US" w:eastAsia="zh-CN"/>
                    </w:rPr>
                    <w:t>41.26</w:t>
                  </w:r>
                </w:p>
              </w:tc>
              <w:tc>
                <w:tcPr>
                  <w:tcW w:w="839" w:type="dxa"/>
                  <w:vAlign w:val="center"/>
                </w:tcPr>
                <w:p w14:paraId="40894D76">
                  <w:pPr>
                    <w:adjustRightInd w:val="0"/>
                    <w:snapToGrid w:val="0"/>
                    <w:jc w:val="center"/>
                    <w:rPr>
                      <w:rFonts w:hint="eastAsia"/>
                      <w:szCs w:val="21"/>
                      <w:lang w:val="en-US" w:eastAsia="zh-CN"/>
                    </w:rPr>
                  </w:pPr>
                  <w:r>
                    <w:rPr>
                      <w:rFonts w:hint="eastAsia"/>
                      <w:color w:val="auto"/>
                      <w:lang w:val="en-US" w:eastAsia="zh-CN"/>
                    </w:rPr>
                    <w:t>531</w:t>
                  </w:r>
                </w:p>
              </w:tc>
              <w:tc>
                <w:tcPr>
                  <w:tcW w:w="698" w:type="dxa"/>
                  <w:vAlign w:val="center"/>
                </w:tcPr>
                <w:p w14:paraId="09B7D77E">
                  <w:pPr>
                    <w:adjustRightInd w:val="0"/>
                    <w:snapToGrid w:val="0"/>
                    <w:jc w:val="center"/>
                    <w:rPr>
                      <w:rFonts w:hint="eastAsia"/>
                      <w:szCs w:val="21"/>
                      <w:lang w:eastAsia="zh-CN"/>
                    </w:rPr>
                  </w:pPr>
                  <w:r>
                    <w:rPr>
                      <w:color w:val="auto"/>
                      <w:szCs w:val="21"/>
                    </w:rPr>
                    <w:t>有组织</w:t>
                  </w:r>
                </w:p>
              </w:tc>
              <w:tc>
                <w:tcPr>
                  <w:tcW w:w="718" w:type="dxa"/>
                  <w:gridSpan w:val="2"/>
                  <w:shd w:val="clear" w:color="auto" w:fill="auto"/>
                  <w:vAlign w:val="center"/>
                </w:tcPr>
                <w:p w14:paraId="5A0C138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rPr>
                    <w:t>集气罩</w:t>
                  </w:r>
                </w:p>
              </w:tc>
              <w:tc>
                <w:tcPr>
                  <w:tcW w:w="1150" w:type="dxa"/>
                  <w:shd w:val="clear" w:color="auto" w:fill="auto"/>
                  <w:vAlign w:val="center"/>
                </w:tcPr>
                <w:p w14:paraId="60CC4E6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eastAsia="zh-CN"/>
                    </w:rPr>
                    <w:t>脉冲布袋除尘器</w:t>
                  </w:r>
                  <w:r>
                    <w:rPr>
                      <w:rFonts w:hint="eastAsia"/>
                      <w:color w:val="auto"/>
                      <w:szCs w:val="21"/>
                    </w:rPr>
                    <w:t>+15高排气筒（DA00</w:t>
                  </w:r>
                  <w:r>
                    <w:rPr>
                      <w:rFonts w:hint="eastAsia"/>
                      <w:color w:val="auto"/>
                      <w:szCs w:val="21"/>
                      <w:lang w:val="en-US" w:eastAsia="zh-CN"/>
                    </w:rPr>
                    <w:t>3</w:t>
                  </w:r>
                  <w:r>
                    <w:rPr>
                      <w:rFonts w:hint="eastAsia"/>
                      <w:color w:val="auto"/>
                      <w:szCs w:val="21"/>
                    </w:rPr>
                    <w:t>）</w:t>
                  </w:r>
                </w:p>
              </w:tc>
              <w:tc>
                <w:tcPr>
                  <w:tcW w:w="580" w:type="dxa"/>
                  <w:shd w:val="clear" w:color="auto" w:fill="auto"/>
                  <w:vAlign w:val="center"/>
                </w:tcPr>
                <w:p w14:paraId="3D44D80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rPr>
                    <w:t>/</w:t>
                  </w:r>
                </w:p>
              </w:tc>
              <w:tc>
                <w:tcPr>
                  <w:tcW w:w="834" w:type="dxa"/>
                  <w:shd w:val="clear" w:color="auto" w:fill="auto"/>
                  <w:vAlign w:val="center"/>
                </w:tcPr>
                <w:p w14:paraId="03E76834">
                  <w:pPr>
                    <w:adjustRightInd w:val="0"/>
                    <w:snapToGrid w:val="0"/>
                    <w:jc w:val="center"/>
                    <w:rPr>
                      <w:rFonts w:hint="eastAsia" w:ascii="Times New Roman" w:hAnsi="Times New Roman" w:eastAsia="宋体" w:cs="Times New Roman"/>
                      <w:kern w:val="2"/>
                      <w:sz w:val="21"/>
                      <w:szCs w:val="21"/>
                      <w:lang w:val="en-US" w:eastAsia="zh-CN" w:bidi="ar-SA"/>
                    </w:rPr>
                  </w:pPr>
                  <w:r>
                    <w:rPr>
                      <w:color w:val="auto"/>
                      <w:szCs w:val="21"/>
                    </w:rPr>
                    <w:t>90%</w:t>
                  </w:r>
                </w:p>
              </w:tc>
              <w:tc>
                <w:tcPr>
                  <w:tcW w:w="900" w:type="dxa"/>
                  <w:shd w:val="clear" w:color="auto" w:fill="auto"/>
                  <w:vAlign w:val="center"/>
                </w:tcPr>
                <w:p w14:paraId="1430E1BC">
                  <w:pPr>
                    <w:adjustRightInd w:val="0"/>
                    <w:snapToGrid w:val="0"/>
                    <w:jc w:val="center"/>
                    <w:rPr>
                      <w:rFonts w:hint="eastAsia" w:ascii="Times New Roman" w:hAnsi="Times New Roman" w:eastAsia="宋体" w:cs="Times New Roman"/>
                      <w:kern w:val="2"/>
                      <w:sz w:val="21"/>
                      <w:szCs w:val="21"/>
                      <w:lang w:val="en-US" w:eastAsia="zh-CN" w:bidi="ar-SA"/>
                    </w:rPr>
                  </w:pPr>
                  <w:r>
                    <w:rPr>
                      <w:color w:val="auto"/>
                      <w:szCs w:val="21"/>
                    </w:rPr>
                    <w:t>9</w:t>
                  </w:r>
                  <w:r>
                    <w:rPr>
                      <w:rFonts w:hint="eastAsia"/>
                      <w:color w:val="auto"/>
                      <w:szCs w:val="21"/>
                      <w:lang w:val="en-US" w:eastAsia="zh-CN"/>
                    </w:rPr>
                    <w:t>9</w:t>
                  </w:r>
                  <w:r>
                    <w:rPr>
                      <w:color w:val="auto"/>
                      <w:szCs w:val="21"/>
                    </w:rPr>
                    <w:t>%</w:t>
                  </w:r>
                </w:p>
              </w:tc>
              <w:tc>
                <w:tcPr>
                  <w:tcW w:w="337" w:type="pct"/>
                  <w:shd w:val="clear" w:color="auto" w:fill="auto"/>
                  <w:vAlign w:val="center"/>
                </w:tcPr>
                <w:p w14:paraId="03B7DDDF">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是</w:t>
                  </w:r>
                </w:p>
              </w:tc>
              <w:tc>
                <w:tcPr>
                  <w:tcW w:w="166" w:type="pct"/>
                  <w:vMerge w:val="restart"/>
                  <w:shd w:val="clear" w:color="auto" w:fill="auto"/>
                  <w:vAlign w:val="center"/>
                </w:tcPr>
                <w:p w14:paraId="28D55CB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有组织</w:t>
                  </w:r>
                </w:p>
              </w:tc>
              <w:tc>
                <w:tcPr>
                  <w:tcW w:w="298" w:type="pct"/>
                  <w:vMerge w:val="restart"/>
                  <w:shd w:val="clear" w:color="auto" w:fill="auto"/>
                  <w:vAlign w:val="center"/>
                </w:tcPr>
                <w:p w14:paraId="2FA452C1">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0.42</w:t>
                  </w:r>
                </w:p>
              </w:tc>
              <w:tc>
                <w:tcPr>
                  <w:tcW w:w="299" w:type="pct"/>
                  <w:vMerge w:val="restart"/>
                  <w:shd w:val="clear" w:color="auto" w:fill="auto"/>
                  <w:vAlign w:val="center"/>
                </w:tcPr>
                <w:p w14:paraId="4D7B1ADD">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0.175</w:t>
                  </w:r>
                </w:p>
              </w:tc>
              <w:tc>
                <w:tcPr>
                  <w:tcW w:w="309" w:type="pct"/>
                  <w:vMerge w:val="restart"/>
                  <w:shd w:val="clear" w:color="auto" w:fill="auto"/>
                  <w:vAlign w:val="center"/>
                </w:tcPr>
                <w:p w14:paraId="796265DD">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2.25</w:t>
                  </w:r>
                </w:p>
              </w:tc>
              <w:tc>
                <w:tcPr>
                  <w:tcW w:w="431" w:type="pct"/>
                  <w:vMerge w:val="restart"/>
                  <w:shd w:val="clear" w:color="auto" w:fill="auto"/>
                  <w:vAlign w:val="center"/>
                </w:tcPr>
                <w:p w14:paraId="609C1E8A">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r>
            <w:tr w14:paraId="0E12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vAlign w:val="center"/>
                </w:tcPr>
                <w:p w14:paraId="50645F91">
                  <w:pPr>
                    <w:adjustRightInd w:val="0"/>
                    <w:snapToGrid w:val="0"/>
                    <w:jc w:val="center"/>
                    <w:rPr>
                      <w:rFonts w:hint="eastAsia" w:eastAsia="Times New Roman" w:cs="Times New Roman"/>
                      <w:color w:val="000000"/>
                      <w:sz w:val="21"/>
                      <w:szCs w:val="21"/>
                      <w:lang w:val="en-US" w:eastAsia="zh-CN"/>
                    </w:rPr>
                  </w:pPr>
                </w:p>
              </w:tc>
              <w:tc>
                <w:tcPr>
                  <w:tcW w:w="199" w:type="pct"/>
                  <w:vMerge w:val="continue"/>
                  <w:vAlign w:val="center"/>
                </w:tcPr>
                <w:p w14:paraId="1C845A82">
                  <w:pPr>
                    <w:adjustRightInd w:val="0"/>
                    <w:snapToGrid w:val="0"/>
                    <w:spacing w:before="62" w:beforeLines="20"/>
                    <w:jc w:val="center"/>
                    <w:rPr>
                      <w:rFonts w:hint="eastAsia"/>
                      <w:szCs w:val="21"/>
                      <w:lang w:eastAsia="zh-CN"/>
                    </w:rPr>
                  </w:pPr>
                </w:p>
              </w:tc>
              <w:tc>
                <w:tcPr>
                  <w:tcW w:w="925" w:type="dxa"/>
                  <w:vAlign w:val="center"/>
                </w:tcPr>
                <w:p w14:paraId="68D015D6">
                  <w:pPr>
                    <w:adjustRightInd w:val="0"/>
                    <w:snapToGrid w:val="0"/>
                    <w:jc w:val="center"/>
                    <w:rPr>
                      <w:rFonts w:hint="eastAsia"/>
                      <w:lang w:val="en-US" w:eastAsia="zh-CN"/>
                    </w:rPr>
                  </w:pPr>
                  <w:r>
                    <w:rPr>
                      <w:rFonts w:hint="eastAsia"/>
                      <w:color w:val="auto"/>
                      <w:lang w:val="en-US" w:eastAsia="zh-CN"/>
                    </w:rPr>
                    <w:t>4.58</w:t>
                  </w:r>
                </w:p>
              </w:tc>
              <w:tc>
                <w:tcPr>
                  <w:tcW w:w="839" w:type="dxa"/>
                  <w:vAlign w:val="center"/>
                </w:tcPr>
                <w:p w14:paraId="1B01375B">
                  <w:pPr>
                    <w:adjustRightInd w:val="0"/>
                    <w:snapToGrid w:val="0"/>
                    <w:jc w:val="center"/>
                    <w:rPr>
                      <w:rFonts w:hint="eastAsia"/>
                      <w:szCs w:val="21"/>
                      <w:lang w:val="en-US" w:eastAsia="zh-CN"/>
                    </w:rPr>
                  </w:pPr>
                  <w:r>
                    <w:rPr>
                      <w:rFonts w:hint="eastAsia"/>
                      <w:color w:val="auto"/>
                      <w:szCs w:val="21"/>
                    </w:rPr>
                    <w:t>/</w:t>
                  </w:r>
                </w:p>
              </w:tc>
              <w:tc>
                <w:tcPr>
                  <w:tcW w:w="698" w:type="dxa"/>
                  <w:vAlign w:val="center"/>
                </w:tcPr>
                <w:p w14:paraId="6FB0C56F">
                  <w:pPr>
                    <w:adjustRightInd w:val="0"/>
                    <w:snapToGrid w:val="0"/>
                    <w:jc w:val="center"/>
                    <w:rPr>
                      <w:rFonts w:hint="eastAsia"/>
                      <w:szCs w:val="21"/>
                      <w:lang w:eastAsia="zh-CN"/>
                    </w:rPr>
                  </w:pPr>
                  <w:r>
                    <w:rPr>
                      <w:color w:val="auto"/>
                      <w:szCs w:val="21"/>
                    </w:rPr>
                    <w:t>无组织</w:t>
                  </w:r>
                </w:p>
              </w:tc>
              <w:tc>
                <w:tcPr>
                  <w:tcW w:w="718" w:type="dxa"/>
                  <w:gridSpan w:val="2"/>
                  <w:shd w:val="clear" w:color="auto" w:fill="auto"/>
                  <w:vAlign w:val="center"/>
                </w:tcPr>
                <w:p w14:paraId="25DF25F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rPr>
                    <w:t>/</w:t>
                  </w:r>
                </w:p>
              </w:tc>
              <w:tc>
                <w:tcPr>
                  <w:tcW w:w="1150" w:type="dxa"/>
                  <w:shd w:val="clear" w:color="auto" w:fill="auto"/>
                  <w:vAlign w:val="center"/>
                </w:tcPr>
                <w:p w14:paraId="70C6C67A">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w:t>
                  </w:r>
                </w:p>
              </w:tc>
              <w:tc>
                <w:tcPr>
                  <w:tcW w:w="580" w:type="dxa"/>
                  <w:shd w:val="clear" w:color="auto" w:fill="auto"/>
                  <w:vAlign w:val="center"/>
                </w:tcPr>
                <w:p w14:paraId="3B5072E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rPr>
                    <w:t>/</w:t>
                  </w:r>
                </w:p>
              </w:tc>
              <w:tc>
                <w:tcPr>
                  <w:tcW w:w="834" w:type="dxa"/>
                  <w:shd w:val="clear" w:color="auto" w:fill="auto"/>
                  <w:vAlign w:val="center"/>
                </w:tcPr>
                <w:p w14:paraId="62489AE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rPr>
                    <w:t>/</w:t>
                  </w:r>
                </w:p>
              </w:tc>
              <w:tc>
                <w:tcPr>
                  <w:tcW w:w="900" w:type="dxa"/>
                  <w:shd w:val="clear" w:color="auto" w:fill="auto"/>
                  <w:vAlign w:val="center"/>
                </w:tcPr>
                <w:p w14:paraId="6D3E35F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rPr>
                    <w:t>/</w:t>
                  </w:r>
                </w:p>
              </w:tc>
              <w:tc>
                <w:tcPr>
                  <w:tcW w:w="337" w:type="pct"/>
                  <w:shd w:val="clear" w:color="auto" w:fill="auto"/>
                  <w:vAlign w:val="center"/>
                </w:tcPr>
                <w:p w14:paraId="02437096">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w:t>
                  </w:r>
                </w:p>
              </w:tc>
              <w:tc>
                <w:tcPr>
                  <w:tcW w:w="166" w:type="pct"/>
                  <w:vMerge w:val="continue"/>
                  <w:shd w:val="clear" w:color="auto" w:fill="auto"/>
                  <w:vAlign w:val="center"/>
                </w:tcPr>
                <w:p w14:paraId="60F3C884">
                  <w:pPr>
                    <w:adjustRightInd w:val="0"/>
                    <w:snapToGrid w:val="0"/>
                    <w:jc w:val="center"/>
                    <w:rPr>
                      <w:rFonts w:hint="eastAsia" w:ascii="Times New Roman" w:hAnsi="Times New Roman" w:eastAsia="宋体" w:cs="Times New Roman"/>
                      <w:kern w:val="2"/>
                      <w:sz w:val="21"/>
                      <w:szCs w:val="21"/>
                      <w:lang w:val="en-US" w:eastAsia="zh-CN" w:bidi="ar-SA"/>
                    </w:rPr>
                  </w:pPr>
                </w:p>
              </w:tc>
              <w:tc>
                <w:tcPr>
                  <w:tcW w:w="298" w:type="pct"/>
                  <w:vMerge w:val="continue"/>
                  <w:shd w:val="clear" w:color="auto" w:fill="auto"/>
                  <w:vAlign w:val="center"/>
                </w:tcPr>
                <w:p w14:paraId="3605DA5A">
                  <w:pPr>
                    <w:adjustRightInd w:val="0"/>
                    <w:snapToGrid w:val="0"/>
                    <w:jc w:val="center"/>
                    <w:rPr>
                      <w:rFonts w:hint="eastAsia" w:ascii="Times New Roman" w:hAnsi="Times New Roman" w:eastAsia="宋体" w:cs="Times New Roman"/>
                      <w:kern w:val="2"/>
                      <w:sz w:val="21"/>
                      <w:szCs w:val="21"/>
                      <w:lang w:val="en-US" w:eastAsia="zh-CN" w:bidi="ar-SA"/>
                    </w:rPr>
                  </w:pPr>
                </w:p>
              </w:tc>
              <w:tc>
                <w:tcPr>
                  <w:tcW w:w="299" w:type="pct"/>
                  <w:vMerge w:val="continue"/>
                  <w:shd w:val="clear" w:color="auto" w:fill="auto"/>
                  <w:vAlign w:val="center"/>
                </w:tcPr>
                <w:p w14:paraId="5DD3223D">
                  <w:pPr>
                    <w:adjustRightInd w:val="0"/>
                    <w:snapToGrid w:val="0"/>
                    <w:jc w:val="center"/>
                    <w:rPr>
                      <w:rFonts w:hint="eastAsia" w:ascii="Times New Roman" w:hAnsi="Times New Roman" w:eastAsia="宋体" w:cs="Times New Roman"/>
                      <w:kern w:val="2"/>
                      <w:sz w:val="21"/>
                      <w:szCs w:val="21"/>
                      <w:lang w:val="en-US" w:eastAsia="zh-CN" w:bidi="ar-SA"/>
                    </w:rPr>
                  </w:pPr>
                </w:p>
              </w:tc>
              <w:tc>
                <w:tcPr>
                  <w:tcW w:w="309" w:type="pct"/>
                  <w:vMerge w:val="continue"/>
                  <w:shd w:val="clear" w:color="auto" w:fill="auto"/>
                  <w:vAlign w:val="center"/>
                </w:tcPr>
                <w:p w14:paraId="4598C694">
                  <w:pPr>
                    <w:adjustRightInd w:val="0"/>
                    <w:snapToGrid w:val="0"/>
                    <w:jc w:val="center"/>
                    <w:rPr>
                      <w:rFonts w:hint="eastAsia" w:ascii="Times New Roman" w:hAnsi="Times New Roman" w:eastAsia="宋体" w:cs="Times New Roman"/>
                      <w:kern w:val="2"/>
                      <w:sz w:val="21"/>
                      <w:szCs w:val="21"/>
                      <w:lang w:val="en-US" w:eastAsia="zh-CN" w:bidi="ar-SA"/>
                    </w:rPr>
                  </w:pPr>
                </w:p>
              </w:tc>
              <w:tc>
                <w:tcPr>
                  <w:tcW w:w="431" w:type="pct"/>
                  <w:vMerge w:val="continue"/>
                  <w:shd w:val="clear" w:color="auto" w:fill="auto"/>
                  <w:vAlign w:val="center"/>
                </w:tcPr>
                <w:p w14:paraId="50C6123D">
                  <w:pPr>
                    <w:adjustRightInd w:val="0"/>
                    <w:snapToGrid w:val="0"/>
                    <w:jc w:val="center"/>
                    <w:rPr>
                      <w:rFonts w:hint="eastAsia" w:ascii="Times New Roman" w:hAnsi="Times New Roman" w:eastAsia="宋体" w:cs="Times New Roman"/>
                      <w:kern w:val="2"/>
                      <w:sz w:val="21"/>
                      <w:szCs w:val="21"/>
                      <w:lang w:val="en-US" w:eastAsia="zh-CN" w:bidi="ar-SA"/>
                    </w:rPr>
                  </w:pPr>
                </w:p>
              </w:tc>
            </w:tr>
            <w:tr w14:paraId="58C1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vAlign w:val="center"/>
                </w:tcPr>
                <w:p w14:paraId="12FF41D5">
                  <w:pPr>
                    <w:adjustRightInd w:val="0"/>
                    <w:snapToGrid w:val="0"/>
                    <w:jc w:val="center"/>
                    <w:rPr>
                      <w:rFonts w:hint="default" w:eastAsia="Times New Roman" w:cs="Times New Roman"/>
                      <w:color w:val="000000"/>
                      <w:sz w:val="21"/>
                      <w:szCs w:val="21"/>
                      <w:lang w:val="en-US" w:eastAsia="zh-CN"/>
                    </w:rPr>
                  </w:pPr>
                  <w:r>
                    <w:rPr>
                      <w:rFonts w:hint="eastAsia"/>
                      <w:szCs w:val="21"/>
                      <w:lang w:val="en-US" w:eastAsia="zh-CN"/>
                    </w:rPr>
                    <w:t>物料混合搅拌废气、不合格品破碎、投料（DA003)</w:t>
                  </w:r>
                </w:p>
              </w:tc>
              <w:tc>
                <w:tcPr>
                  <w:tcW w:w="199" w:type="pct"/>
                  <w:vMerge w:val="restart"/>
                  <w:vAlign w:val="center"/>
                </w:tcPr>
                <w:p w14:paraId="3007AC8C">
                  <w:pPr>
                    <w:adjustRightInd w:val="0"/>
                    <w:snapToGrid w:val="0"/>
                    <w:spacing w:before="62" w:beforeLines="20"/>
                    <w:jc w:val="both"/>
                    <w:rPr>
                      <w:rFonts w:hint="default"/>
                      <w:szCs w:val="21"/>
                      <w:lang w:val="en-US" w:eastAsia="zh-CN"/>
                    </w:rPr>
                  </w:pPr>
                  <w:r>
                    <w:rPr>
                      <w:rFonts w:hint="eastAsia"/>
                      <w:szCs w:val="21"/>
                      <w:lang w:val="en-US" w:eastAsia="zh-CN"/>
                    </w:rPr>
                    <w:t>颗粒物</w:t>
                  </w:r>
                </w:p>
              </w:tc>
              <w:tc>
                <w:tcPr>
                  <w:tcW w:w="346" w:type="pct"/>
                  <w:vAlign w:val="center"/>
                </w:tcPr>
                <w:p w14:paraId="4C66145C">
                  <w:pPr>
                    <w:adjustRightInd w:val="0"/>
                    <w:snapToGrid w:val="0"/>
                    <w:jc w:val="center"/>
                    <w:rPr>
                      <w:rFonts w:hint="default"/>
                      <w:lang w:val="en-US" w:eastAsia="zh-CN"/>
                    </w:rPr>
                  </w:pPr>
                  <w:r>
                    <w:rPr>
                      <w:rFonts w:hint="eastAsia"/>
                      <w:lang w:val="en-US" w:eastAsia="zh-CN"/>
                    </w:rPr>
                    <w:t>0.3144</w:t>
                  </w:r>
                </w:p>
              </w:tc>
              <w:tc>
                <w:tcPr>
                  <w:tcW w:w="314" w:type="pct"/>
                  <w:vAlign w:val="center"/>
                </w:tcPr>
                <w:p w14:paraId="461EA8EA">
                  <w:pPr>
                    <w:adjustRightInd w:val="0"/>
                    <w:snapToGrid w:val="0"/>
                    <w:jc w:val="center"/>
                    <w:rPr>
                      <w:rFonts w:hint="default" w:eastAsia="宋体"/>
                      <w:szCs w:val="21"/>
                      <w:lang w:val="en-US" w:eastAsia="zh-CN"/>
                    </w:rPr>
                  </w:pPr>
                  <w:r>
                    <w:rPr>
                      <w:rFonts w:hint="eastAsia"/>
                      <w:szCs w:val="21"/>
                      <w:lang w:val="en-US" w:eastAsia="zh-CN"/>
                    </w:rPr>
                    <w:t>4.046</w:t>
                  </w:r>
                </w:p>
              </w:tc>
              <w:tc>
                <w:tcPr>
                  <w:tcW w:w="261" w:type="pct"/>
                  <w:vAlign w:val="center"/>
                </w:tcPr>
                <w:p w14:paraId="6A1EA36B">
                  <w:pPr>
                    <w:adjustRightInd w:val="0"/>
                    <w:snapToGrid w:val="0"/>
                    <w:jc w:val="center"/>
                    <w:rPr>
                      <w:szCs w:val="21"/>
                    </w:rPr>
                  </w:pPr>
                  <w:r>
                    <w:rPr>
                      <w:szCs w:val="21"/>
                    </w:rPr>
                    <w:t>有组织</w:t>
                  </w:r>
                </w:p>
              </w:tc>
              <w:tc>
                <w:tcPr>
                  <w:tcW w:w="268" w:type="pct"/>
                  <w:gridSpan w:val="2"/>
                  <w:shd w:val="clear" w:color="auto" w:fill="auto"/>
                  <w:vAlign w:val="center"/>
                </w:tcPr>
                <w:p w14:paraId="43BE295C">
                  <w:pPr>
                    <w:adjustRightInd w:val="0"/>
                    <w:snapToGrid w:val="0"/>
                    <w:jc w:val="center"/>
                    <w:rPr>
                      <w:rFonts w:hint="eastAsia"/>
                      <w:szCs w:val="21"/>
                    </w:rPr>
                  </w:pPr>
                  <w:r>
                    <w:rPr>
                      <w:rFonts w:hint="eastAsia"/>
                      <w:szCs w:val="21"/>
                    </w:rPr>
                    <w:t>集气罩</w:t>
                  </w:r>
                </w:p>
              </w:tc>
              <w:tc>
                <w:tcPr>
                  <w:tcW w:w="430" w:type="pct"/>
                  <w:shd w:val="clear" w:color="auto" w:fill="auto"/>
                  <w:vAlign w:val="center"/>
                </w:tcPr>
                <w:p w14:paraId="097840C7">
                  <w:pPr>
                    <w:adjustRightInd w:val="0"/>
                    <w:snapToGrid w:val="0"/>
                    <w:jc w:val="center"/>
                    <w:rPr>
                      <w:rFonts w:hint="eastAsia"/>
                      <w:szCs w:val="21"/>
                      <w:lang w:val="en-US" w:eastAsia="zh-CN"/>
                    </w:rPr>
                  </w:pPr>
                  <w:r>
                    <w:rPr>
                      <w:rFonts w:hint="eastAsia"/>
                      <w:szCs w:val="21"/>
                      <w:lang w:eastAsia="zh-CN"/>
                    </w:rPr>
                    <w:t>脉冲布袋除尘器</w:t>
                  </w:r>
                  <w:r>
                    <w:rPr>
                      <w:rFonts w:hint="eastAsia"/>
                      <w:szCs w:val="21"/>
                    </w:rPr>
                    <w:t>+15高排气筒（DA00</w:t>
                  </w:r>
                  <w:r>
                    <w:rPr>
                      <w:rFonts w:hint="eastAsia"/>
                      <w:szCs w:val="21"/>
                      <w:lang w:val="en-US" w:eastAsia="zh-CN"/>
                    </w:rPr>
                    <w:t>3</w:t>
                  </w:r>
                  <w:r>
                    <w:rPr>
                      <w:rFonts w:hint="eastAsia"/>
                      <w:szCs w:val="21"/>
                    </w:rPr>
                    <w:t>）</w:t>
                  </w:r>
                </w:p>
              </w:tc>
              <w:tc>
                <w:tcPr>
                  <w:tcW w:w="217" w:type="pct"/>
                  <w:shd w:val="clear" w:color="auto" w:fill="auto"/>
                  <w:vAlign w:val="center"/>
                </w:tcPr>
                <w:p w14:paraId="25C69CAE">
                  <w:pPr>
                    <w:adjustRightInd w:val="0"/>
                    <w:snapToGrid w:val="0"/>
                    <w:jc w:val="center"/>
                    <w:rPr>
                      <w:rFonts w:hint="eastAsia"/>
                      <w:szCs w:val="21"/>
                    </w:rPr>
                  </w:pPr>
                  <w:r>
                    <w:rPr>
                      <w:rFonts w:hint="eastAsia"/>
                      <w:szCs w:val="21"/>
                    </w:rPr>
                    <w:t>/</w:t>
                  </w:r>
                </w:p>
              </w:tc>
              <w:tc>
                <w:tcPr>
                  <w:tcW w:w="312" w:type="pct"/>
                  <w:shd w:val="clear" w:color="auto" w:fill="auto"/>
                  <w:vAlign w:val="center"/>
                </w:tcPr>
                <w:p w14:paraId="31B30456">
                  <w:pPr>
                    <w:adjustRightInd w:val="0"/>
                    <w:snapToGrid w:val="0"/>
                    <w:jc w:val="center"/>
                    <w:rPr>
                      <w:rFonts w:hint="eastAsia"/>
                      <w:szCs w:val="21"/>
                    </w:rPr>
                  </w:pPr>
                  <w:r>
                    <w:rPr>
                      <w:szCs w:val="21"/>
                    </w:rPr>
                    <w:t>90%</w:t>
                  </w:r>
                </w:p>
              </w:tc>
              <w:tc>
                <w:tcPr>
                  <w:tcW w:w="337" w:type="pct"/>
                  <w:shd w:val="clear" w:color="auto" w:fill="auto"/>
                  <w:vAlign w:val="center"/>
                </w:tcPr>
                <w:p w14:paraId="1CDDBD1D">
                  <w:pPr>
                    <w:adjustRightInd w:val="0"/>
                    <w:snapToGrid w:val="0"/>
                    <w:jc w:val="center"/>
                    <w:rPr>
                      <w:rFonts w:hint="eastAsia"/>
                      <w:szCs w:val="21"/>
                    </w:rPr>
                  </w:pPr>
                  <w:r>
                    <w:rPr>
                      <w:szCs w:val="21"/>
                    </w:rPr>
                    <w:t>9</w:t>
                  </w:r>
                  <w:r>
                    <w:rPr>
                      <w:rFonts w:hint="eastAsia"/>
                      <w:szCs w:val="21"/>
                      <w:lang w:val="en-US" w:eastAsia="zh-CN"/>
                    </w:rPr>
                    <w:t>9</w:t>
                  </w:r>
                  <w:r>
                    <w:rPr>
                      <w:szCs w:val="21"/>
                    </w:rPr>
                    <w:t>%</w:t>
                  </w:r>
                </w:p>
              </w:tc>
              <w:tc>
                <w:tcPr>
                  <w:tcW w:w="337" w:type="pct"/>
                  <w:shd w:val="clear" w:color="auto" w:fill="auto"/>
                  <w:vAlign w:val="center"/>
                </w:tcPr>
                <w:p w14:paraId="05EF7199">
                  <w:pPr>
                    <w:adjustRightInd w:val="0"/>
                    <w:snapToGrid w:val="0"/>
                    <w:jc w:val="center"/>
                    <w:rPr>
                      <w:rFonts w:hint="eastAsia"/>
                      <w:szCs w:val="21"/>
                    </w:rPr>
                  </w:pPr>
                  <w:r>
                    <w:rPr>
                      <w:rFonts w:hint="eastAsia"/>
                      <w:szCs w:val="21"/>
                    </w:rPr>
                    <w:t>是</w:t>
                  </w:r>
                </w:p>
              </w:tc>
              <w:tc>
                <w:tcPr>
                  <w:tcW w:w="166" w:type="pct"/>
                  <w:vMerge w:val="restart"/>
                  <w:shd w:val="clear" w:color="auto" w:fill="auto"/>
                  <w:vAlign w:val="center"/>
                </w:tcPr>
                <w:p w14:paraId="7EA43040">
                  <w:pPr>
                    <w:adjustRightInd w:val="0"/>
                    <w:snapToGrid w:val="0"/>
                    <w:jc w:val="center"/>
                    <w:rPr>
                      <w:rFonts w:hint="eastAsia"/>
                      <w:lang w:val="en-US" w:eastAsia="zh-CN"/>
                    </w:rPr>
                  </w:pPr>
                  <w:r>
                    <w:rPr>
                      <w:rFonts w:hint="eastAsia" w:eastAsia="宋体"/>
                      <w:sz w:val="21"/>
                      <w:szCs w:val="21"/>
                      <w:lang w:val="en-US" w:eastAsia="zh-CN"/>
                    </w:rPr>
                    <w:t>无组织</w:t>
                  </w:r>
                </w:p>
              </w:tc>
              <w:tc>
                <w:tcPr>
                  <w:tcW w:w="298" w:type="pct"/>
                  <w:vMerge w:val="restart"/>
                  <w:shd w:val="clear" w:color="auto" w:fill="auto"/>
                  <w:vAlign w:val="center"/>
                </w:tcPr>
                <w:p w14:paraId="32E6D6AE">
                  <w:pPr>
                    <w:adjustRightInd w:val="0"/>
                    <w:snapToGrid w:val="0"/>
                    <w:jc w:val="center"/>
                    <w:rPr>
                      <w:rFonts w:hint="default"/>
                      <w:lang w:val="en-US" w:eastAsia="zh-CN"/>
                    </w:rPr>
                  </w:pPr>
                  <w:r>
                    <w:rPr>
                      <w:rFonts w:hint="eastAsia"/>
                      <w:lang w:val="en-US" w:eastAsia="zh-CN"/>
                    </w:rPr>
                    <w:t>0.23</w:t>
                  </w:r>
                </w:p>
              </w:tc>
              <w:tc>
                <w:tcPr>
                  <w:tcW w:w="299" w:type="pct"/>
                  <w:vMerge w:val="restart"/>
                  <w:shd w:val="clear" w:color="auto" w:fill="auto"/>
                  <w:vAlign w:val="center"/>
                </w:tcPr>
                <w:p w14:paraId="372BF12D">
                  <w:pPr>
                    <w:adjustRightInd w:val="0"/>
                    <w:snapToGrid w:val="0"/>
                    <w:jc w:val="center"/>
                    <w:rPr>
                      <w:rFonts w:hint="default"/>
                      <w:szCs w:val="21"/>
                      <w:lang w:val="en-US" w:eastAsia="zh-CN"/>
                    </w:rPr>
                  </w:pPr>
                  <w:r>
                    <w:rPr>
                      <w:rFonts w:hint="eastAsia"/>
                      <w:szCs w:val="21"/>
                      <w:lang w:val="en-US" w:eastAsia="zh-CN"/>
                    </w:rPr>
                    <w:t>/</w:t>
                  </w:r>
                </w:p>
              </w:tc>
              <w:tc>
                <w:tcPr>
                  <w:tcW w:w="309" w:type="pct"/>
                  <w:vMerge w:val="restart"/>
                  <w:shd w:val="clear" w:color="auto" w:fill="auto"/>
                  <w:vAlign w:val="center"/>
                </w:tcPr>
                <w:p w14:paraId="6D31BE30">
                  <w:pPr>
                    <w:adjustRightInd w:val="0"/>
                    <w:snapToGrid w:val="0"/>
                    <w:jc w:val="center"/>
                    <w:rPr>
                      <w:rFonts w:hint="eastAsia" w:eastAsia="宋体"/>
                      <w:szCs w:val="21"/>
                      <w:lang w:val="en-US" w:eastAsia="zh-CN"/>
                    </w:rPr>
                  </w:pPr>
                  <w:r>
                    <w:rPr>
                      <w:rFonts w:hint="eastAsia"/>
                      <w:szCs w:val="21"/>
                      <w:lang w:val="en-US" w:eastAsia="zh-CN"/>
                    </w:rPr>
                    <w:t>/</w:t>
                  </w:r>
                </w:p>
              </w:tc>
              <w:tc>
                <w:tcPr>
                  <w:tcW w:w="431" w:type="pct"/>
                  <w:vMerge w:val="restart"/>
                  <w:shd w:val="clear" w:color="auto" w:fill="auto"/>
                  <w:vAlign w:val="center"/>
                </w:tcPr>
                <w:p w14:paraId="397F4FDC">
                  <w:pPr>
                    <w:adjustRightInd w:val="0"/>
                    <w:snapToGrid w:val="0"/>
                    <w:jc w:val="center"/>
                    <w:rPr>
                      <w:rFonts w:hint="default"/>
                      <w:szCs w:val="21"/>
                      <w:lang w:val="en-US" w:eastAsia="zh-CN"/>
                    </w:rPr>
                  </w:pPr>
                  <w:r>
                    <w:rPr>
                      <w:rFonts w:hint="eastAsia"/>
                      <w:szCs w:val="21"/>
                      <w:lang w:val="en-US" w:eastAsia="zh-CN"/>
                    </w:rPr>
                    <w:t>1.0</w:t>
                  </w:r>
                </w:p>
              </w:tc>
            </w:tr>
            <w:tr w14:paraId="4A1B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vAlign w:val="center"/>
                </w:tcPr>
                <w:p w14:paraId="1041204A">
                  <w:pPr>
                    <w:adjustRightInd w:val="0"/>
                    <w:snapToGrid w:val="0"/>
                    <w:jc w:val="center"/>
                    <w:rPr>
                      <w:rFonts w:hint="eastAsia" w:eastAsia="Times New Roman" w:cs="Times New Roman"/>
                      <w:color w:val="000000"/>
                      <w:sz w:val="21"/>
                      <w:szCs w:val="21"/>
                      <w:lang w:val="en-US" w:eastAsia="zh-CN"/>
                    </w:rPr>
                  </w:pPr>
                </w:p>
              </w:tc>
              <w:tc>
                <w:tcPr>
                  <w:tcW w:w="199" w:type="pct"/>
                  <w:vMerge w:val="continue"/>
                  <w:vAlign w:val="center"/>
                </w:tcPr>
                <w:p w14:paraId="16C24985">
                  <w:pPr>
                    <w:adjustRightInd w:val="0"/>
                    <w:snapToGrid w:val="0"/>
                    <w:spacing w:before="62" w:beforeLines="20"/>
                    <w:jc w:val="center"/>
                    <w:rPr>
                      <w:rFonts w:hint="eastAsia"/>
                      <w:szCs w:val="21"/>
                      <w:lang w:eastAsia="zh-CN"/>
                    </w:rPr>
                  </w:pPr>
                </w:p>
              </w:tc>
              <w:tc>
                <w:tcPr>
                  <w:tcW w:w="346" w:type="pct"/>
                  <w:vAlign w:val="center"/>
                </w:tcPr>
                <w:p w14:paraId="550BC37B">
                  <w:pPr>
                    <w:adjustRightInd w:val="0"/>
                    <w:snapToGrid w:val="0"/>
                    <w:jc w:val="center"/>
                    <w:rPr>
                      <w:rFonts w:hint="default"/>
                      <w:lang w:val="en-US" w:eastAsia="zh-CN"/>
                    </w:rPr>
                  </w:pPr>
                  <w:r>
                    <w:rPr>
                      <w:rFonts w:hint="eastAsia"/>
                      <w:lang w:val="en-US" w:eastAsia="zh-CN"/>
                    </w:rPr>
                    <w:t>0.035</w:t>
                  </w:r>
                </w:p>
              </w:tc>
              <w:tc>
                <w:tcPr>
                  <w:tcW w:w="314" w:type="pct"/>
                  <w:vAlign w:val="center"/>
                </w:tcPr>
                <w:p w14:paraId="021675C0">
                  <w:pPr>
                    <w:adjustRightInd w:val="0"/>
                    <w:snapToGrid w:val="0"/>
                    <w:jc w:val="center"/>
                    <w:rPr>
                      <w:rFonts w:hint="default" w:eastAsia="宋体"/>
                      <w:szCs w:val="21"/>
                      <w:lang w:val="en-US" w:eastAsia="zh-CN"/>
                    </w:rPr>
                  </w:pPr>
                  <w:r>
                    <w:rPr>
                      <w:rFonts w:hint="eastAsia"/>
                      <w:szCs w:val="21"/>
                      <w:lang w:val="en-US" w:eastAsia="zh-CN"/>
                    </w:rPr>
                    <w:t>/</w:t>
                  </w:r>
                </w:p>
              </w:tc>
              <w:tc>
                <w:tcPr>
                  <w:tcW w:w="261" w:type="pct"/>
                  <w:vAlign w:val="center"/>
                </w:tcPr>
                <w:p w14:paraId="22C7A7F5">
                  <w:pPr>
                    <w:adjustRightInd w:val="0"/>
                    <w:snapToGrid w:val="0"/>
                    <w:jc w:val="center"/>
                    <w:rPr>
                      <w:szCs w:val="21"/>
                    </w:rPr>
                  </w:pPr>
                  <w:r>
                    <w:rPr>
                      <w:szCs w:val="21"/>
                    </w:rPr>
                    <w:t>无组织</w:t>
                  </w:r>
                </w:p>
              </w:tc>
              <w:tc>
                <w:tcPr>
                  <w:tcW w:w="268" w:type="pct"/>
                  <w:gridSpan w:val="2"/>
                  <w:shd w:val="clear" w:color="auto" w:fill="auto"/>
                  <w:vAlign w:val="center"/>
                </w:tcPr>
                <w:p w14:paraId="512CB556">
                  <w:pPr>
                    <w:adjustRightInd w:val="0"/>
                    <w:snapToGrid w:val="0"/>
                    <w:jc w:val="center"/>
                    <w:rPr>
                      <w:rFonts w:hint="eastAsia"/>
                      <w:szCs w:val="21"/>
                    </w:rPr>
                  </w:pPr>
                  <w:r>
                    <w:rPr>
                      <w:rFonts w:hint="eastAsia"/>
                      <w:szCs w:val="21"/>
                    </w:rPr>
                    <w:t>/</w:t>
                  </w:r>
                </w:p>
              </w:tc>
              <w:tc>
                <w:tcPr>
                  <w:tcW w:w="430" w:type="pct"/>
                  <w:shd w:val="clear" w:color="auto" w:fill="auto"/>
                  <w:vAlign w:val="center"/>
                </w:tcPr>
                <w:p w14:paraId="1769DEA8">
                  <w:pPr>
                    <w:adjustRightInd w:val="0"/>
                    <w:snapToGrid w:val="0"/>
                    <w:jc w:val="center"/>
                    <w:rPr>
                      <w:rFonts w:hint="eastAsia"/>
                      <w:szCs w:val="21"/>
                      <w:lang w:val="en-US" w:eastAsia="zh-CN"/>
                    </w:rPr>
                  </w:pPr>
                  <w:r>
                    <w:rPr>
                      <w:rFonts w:hint="eastAsia"/>
                      <w:szCs w:val="21"/>
                      <w:lang w:val="en-US" w:eastAsia="zh-CN"/>
                    </w:rPr>
                    <w:t>/</w:t>
                  </w:r>
                </w:p>
              </w:tc>
              <w:tc>
                <w:tcPr>
                  <w:tcW w:w="217" w:type="pct"/>
                  <w:shd w:val="clear" w:color="auto" w:fill="auto"/>
                  <w:vAlign w:val="center"/>
                </w:tcPr>
                <w:p w14:paraId="280513B6">
                  <w:pPr>
                    <w:adjustRightInd w:val="0"/>
                    <w:snapToGrid w:val="0"/>
                    <w:jc w:val="center"/>
                    <w:rPr>
                      <w:rFonts w:hint="eastAsia"/>
                      <w:szCs w:val="21"/>
                    </w:rPr>
                  </w:pPr>
                  <w:r>
                    <w:rPr>
                      <w:rFonts w:hint="eastAsia"/>
                      <w:szCs w:val="21"/>
                    </w:rPr>
                    <w:t>/</w:t>
                  </w:r>
                </w:p>
              </w:tc>
              <w:tc>
                <w:tcPr>
                  <w:tcW w:w="312" w:type="pct"/>
                  <w:shd w:val="clear" w:color="auto" w:fill="auto"/>
                  <w:vAlign w:val="center"/>
                </w:tcPr>
                <w:p w14:paraId="095F12C6">
                  <w:pPr>
                    <w:adjustRightInd w:val="0"/>
                    <w:snapToGrid w:val="0"/>
                    <w:jc w:val="center"/>
                    <w:rPr>
                      <w:rFonts w:hint="eastAsia"/>
                      <w:szCs w:val="21"/>
                    </w:rPr>
                  </w:pPr>
                  <w:r>
                    <w:rPr>
                      <w:rFonts w:hint="eastAsia"/>
                      <w:szCs w:val="21"/>
                    </w:rPr>
                    <w:t>/</w:t>
                  </w:r>
                </w:p>
              </w:tc>
              <w:tc>
                <w:tcPr>
                  <w:tcW w:w="337" w:type="pct"/>
                  <w:shd w:val="clear" w:color="auto" w:fill="auto"/>
                  <w:vAlign w:val="center"/>
                </w:tcPr>
                <w:p w14:paraId="23902A54">
                  <w:pPr>
                    <w:adjustRightInd w:val="0"/>
                    <w:snapToGrid w:val="0"/>
                    <w:jc w:val="center"/>
                    <w:rPr>
                      <w:rFonts w:hint="eastAsia"/>
                      <w:szCs w:val="21"/>
                    </w:rPr>
                  </w:pPr>
                  <w:r>
                    <w:rPr>
                      <w:rFonts w:hint="eastAsia"/>
                      <w:szCs w:val="21"/>
                    </w:rPr>
                    <w:t>/</w:t>
                  </w:r>
                </w:p>
              </w:tc>
              <w:tc>
                <w:tcPr>
                  <w:tcW w:w="337" w:type="pct"/>
                  <w:shd w:val="clear" w:color="auto" w:fill="auto"/>
                  <w:vAlign w:val="center"/>
                </w:tcPr>
                <w:p w14:paraId="0CD6106D">
                  <w:pPr>
                    <w:adjustRightInd w:val="0"/>
                    <w:snapToGrid w:val="0"/>
                    <w:jc w:val="center"/>
                    <w:rPr>
                      <w:rFonts w:hint="eastAsia"/>
                      <w:szCs w:val="21"/>
                    </w:rPr>
                  </w:pPr>
                  <w:r>
                    <w:rPr>
                      <w:rFonts w:hint="eastAsia"/>
                      <w:szCs w:val="21"/>
                    </w:rPr>
                    <w:t>/</w:t>
                  </w:r>
                </w:p>
              </w:tc>
              <w:tc>
                <w:tcPr>
                  <w:tcW w:w="166" w:type="pct"/>
                  <w:vMerge w:val="continue"/>
                  <w:shd w:val="clear" w:color="auto" w:fill="auto"/>
                  <w:vAlign w:val="center"/>
                </w:tcPr>
                <w:p w14:paraId="5676D965">
                  <w:pPr>
                    <w:adjustRightInd w:val="0"/>
                    <w:snapToGrid w:val="0"/>
                    <w:jc w:val="center"/>
                    <w:rPr>
                      <w:rFonts w:hint="eastAsia"/>
                      <w:lang w:val="en-US" w:eastAsia="zh-CN"/>
                    </w:rPr>
                  </w:pPr>
                </w:p>
              </w:tc>
              <w:tc>
                <w:tcPr>
                  <w:tcW w:w="298" w:type="pct"/>
                  <w:vMerge w:val="continue"/>
                  <w:shd w:val="clear" w:color="auto" w:fill="auto"/>
                  <w:vAlign w:val="center"/>
                </w:tcPr>
                <w:p w14:paraId="27FEC742">
                  <w:pPr>
                    <w:adjustRightInd w:val="0"/>
                    <w:snapToGrid w:val="0"/>
                    <w:jc w:val="center"/>
                    <w:rPr>
                      <w:rFonts w:hint="eastAsia"/>
                      <w:lang w:val="en-US" w:eastAsia="zh-CN"/>
                    </w:rPr>
                  </w:pPr>
                </w:p>
              </w:tc>
              <w:tc>
                <w:tcPr>
                  <w:tcW w:w="299" w:type="pct"/>
                  <w:vMerge w:val="continue"/>
                  <w:shd w:val="clear" w:color="auto" w:fill="auto"/>
                  <w:vAlign w:val="center"/>
                </w:tcPr>
                <w:p w14:paraId="7898D71C">
                  <w:pPr>
                    <w:adjustRightInd w:val="0"/>
                    <w:snapToGrid w:val="0"/>
                    <w:jc w:val="center"/>
                    <w:rPr>
                      <w:rFonts w:hint="eastAsia"/>
                      <w:szCs w:val="21"/>
                      <w:lang w:val="en-US" w:eastAsia="zh-CN"/>
                    </w:rPr>
                  </w:pPr>
                </w:p>
              </w:tc>
              <w:tc>
                <w:tcPr>
                  <w:tcW w:w="309" w:type="pct"/>
                  <w:vMerge w:val="continue"/>
                  <w:shd w:val="clear" w:color="auto" w:fill="auto"/>
                  <w:vAlign w:val="center"/>
                </w:tcPr>
                <w:p w14:paraId="324A2633">
                  <w:pPr>
                    <w:adjustRightInd w:val="0"/>
                    <w:snapToGrid w:val="0"/>
                    <w:jc w:val="center"/>
                    <w:rPr>
                      <w:rFonts w:hint="eastAsia"/>
                      <w:szCs w:val="21"/>
                    </w:rPr>
                  </w:pPr>
                </w:p>
              </w:tc>
              <w:tc>
                <w:tcPr>
                  <w:tcW w:w="431" w:type="pct"/>
                  <w:vMerge w:val="continue"/>
                  <w:shd w:val="clear" w:color="auto" w:fill="auto"/>
                  <w:vAlign w:val="center"/>
                </w:tcPr>
                <w:p w14:paraId="64BF8628">
                  <w:pPr>
                    <w:adjustRightInd w:val="0"/>
                    <w:snapToGrid w:val="0"/>
                    <w:jc w:val="center"/>
                    <w:rPr>
                      <w:rFonts w:hint="eastAsia"/>
                      <w:szCs w:val="21"/>
                      <w:lang w:val="en-US" w:eastAsia="zh-CN"/>
                    </w:rPr>
                  </w:pPr>
                </w:p>
              </w:tc>
            </w:tr>
            <w:tr w14:paraId="1020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shd w:val="clear" w:color="auto" w:fill="auto"/>
                  <w:vAlign w:val="center"/>
                </w:tcPr>
                <w:p w14:paraId="664AC339">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原料装卸</w:t>
                  </w:r>
                </w:p>
              </w:tc>
              <w:tc>
                <w:tcPr>
                  <w:tcW w:w="199" w:type="pct"/>
                  <w:shd w:val="clear" w:color="auto" w:fill="auto"/>
                  <w:vAlign w:val="center"/>
                </w:tcPr>
                <w:p w14:paraId="2BA4A691">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颗粒物</w:t>
                  </w:r>
                </w:p>
              </w:tc>
              <w:tc>
                <w:tcPr>
                  <w:tcW w:w="346" w:type="pct"/>
                  <w:shd w:val="clear" w:color="auto" w:fill="auto"/>
                  <w:vAlign w:val="center"/>
                </w:tcPr>
                <w:p w14:paraId="7A45A76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0.021</w:t>
                  </w:r>
                </w:p>
              </w:tc>
              <w:tc>
                <w:tcPr>
                  <w:tcW w:w="314" w:type="pct"/>
                  <w:shd w:val="clear" w:color="auto" w:fill="auto"/>
                  <w:vAlign w:val="center"/>
                </w:tcPr>
                <w:p w14:paraId="5BB14E5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261" w:type="pct"/>
                  <w:shd w:val="clear" w:color="auto" w:fill="auto"/>
                  <w:vAlign w:val="center"/>
                </w:tcPr>
                <w:p w14:paraId="6D99DFE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eastAsia="zh-CN"/>
                    </w:rPr>
                    <w:t>无组织</w:t>
                  </w:r>
                </w:p>
              </w:tc>
              <w:tc>
                <w:tcPr>
                  <w:tcW w:w="699" w:type="pct"/>
                  <w:gridSpan w:val="3"/>
                  <w:shd w:val="clear" w:color="auto" w:fill="auto"/>
                  <w:vAlign w:val="center"/>
                </w:tcPr>
                <w:p w14:paraId="3FA51071">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sz w:val="21"/>
                      <w:szCs w:val="21"/>
                      <w:lang w:eastAsia="zh-CN"/>
                    </w:rPr>
                    <w:t>车间密闭、喷淋洒水抑尘</w:t>
                  </w:r>
                </w:p>
              </w:tc>
              <w:tc>
                <w:tcPr>
                  <w:tcW w:w="217" w:type="pct"/>
                  <w:shd w:val="clear" w:color="auto" w:fill="auto"/>
                  <w:vAlign w:val="center"/>
                </w:tcPr>
                <w:p w14:paraId="05826E0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bCs/>
                      <w:kern w:val="24"/>
                      <w:szCs w:val="21"/>
                      <w:lang w:val="en-US" w:eastAsia="zh-CN"/>
                    </w:rPr>
                    <w:t>/</w:t>
                  </w:r>
                </w:p>
              </w:tc>
              <w:tc>
                <w:tcPr>
                  <w:tcW w:w="312" w:type="pct"/>
                  <w:shd w:val="clear" w:color="auto" w:fill="auto"/>
                  <w:vAlign w:val="center"/>
                </w:tcPr>
                <w:p w14:paraId="7B7C9987">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337" w:type="pct"/>
                  <w:shd w:val="clear" w:color="auto" w:fill="auto"/>
                  <w:vAlign w:val="center"/>
                </w:tcPr>
                <w:p w14:paraId="1501060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8</w:t>
                  </w:r>
                  <w:r>
                    <w:rPr>
                      <w:szCs w:val="21"/>
                    </w:rPr>
                    <w:t>0%</w:t>
                  </w:r>
                </w:p>
              </w:tc>
              <w:tc>
                <w:tcPr>
                  <w:tcW w:w="337" w:type="pct"/>
                  <w:shd w:val="clear" w:color="auto" w:fill="auto"/>
                  <w:vAlign w:val="center"/>
                </w:tcPr>
                <w:p w14:paraId="00C902BC">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是</w:t>
                  </w:r>
                </w:p>
              </w:tc>
              <w:tc>
                <w:tcPr>
                  <w:tcW w:w="465" w:type="pct"/>
                  <w:gridSpan w:val="2"/>
                  <w:shd w:val="clear" w:color="auto" w:fill="auto"/>
                  <w:vAlign w:val="center"/>
                </w:tcPr>
                <w:p w14:paraId="7ED044C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0.0042</w:t>
                  </w:r>
                </w:p>
              </w:tc>
              <w:tc>
                <w:tcPr>
                  <w:tcW w:w="299" w:type="pct"/>
                  <w:shd w:val="clear" w:color="auto" w:fill="auto"/>
                  <w:vAlign w:val="center"/>
                </w:tcPr>
                <w:p w14:paraId="7F43C9D2">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0.005</w:t>
                  </w:r>
                </w:p>
              </w:tc>
              <w:tc>
                <w:tcPr>
                  <w:tcW w:w="309" w:type="pct"/>
                  <w:shd w:val="clear" w:color="auto" w:fill="auto"/>
                  <w:vAlign w:val="center"/>
                </w:tcPr>
                <w:p w14:paraId="205703F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431" w:type="pct"/>
                  <w:shd w:val="clear" w:color="auto" w:fill="auto"/>
                  <w:vAlign w:val="center"/>
                </w:tcPr>
                <w:p w14:paraId="0C964D95">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1.0</w:t>
                  </w:r>
                </w:p>
              </w:tc>
            </w:tr>
            <w:tr w14:paraId="23CD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shd w:val="clear" w:color="auto" w:fill="auto"/>
                  <w:vAlign w:val="center"/>
                </w:tcPr>
                <w:p w14:paraId="02B89129">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投料输送粉尘</w:t>
                  </w:r>
                </w:p>
              </w:tc>
              <w:tc>
                <w:tcPr>
                  <w:tcW w:w="199" w:type="pct"/>
                  <w:shd w:val="clear" w:color="auto" w:fill="auto"/>
                  <w:vAlign w:val="center"/>
                </w:tcPr>
                <w:p w14:paraId="0747222C">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颗粒物</w:t>
                  </w:r>
                </w:p>
              </w:tc>
              <w:tc>
                <w:tcPr>
                  <w:tcW w:w="925" w:type="dxa"/>
                  <w:shd w:val="clear" w:color="auto" w:fill="auto"/>
                  <w:vAlign w:val="center"/>
                </w:tcPr>
                <w:p w14:paraId="22CA81BA">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4.75</w:t>
                  </w:r>
                </w:p>
              </w:tc>
              <w:tc>
                <w:tcPr>
                  <w:tcW w:w="839" w:type="dxa"/>
                  <w:shd w:val="clear" w:color="auto" w:fill="auto"/>
                  <w:vAlign w:val="center"/>
                </w:tcPr>
                <w:p w14:paraId="271E0E08">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color w:val="auto"/>
                      <w:lang w:val="en-US" w:eastAsia="zh-CN"/>
                    </w:rPr>
                    <w:t>/</w:t>
                  </w:r>
                </w:p>
              </w:tc>
              <w:tc>
                <w:tcPr>
                  <w:tcW w:w="698" w:type="dxa"/>
                  <w:shd w:val="clear" w:color="auto" w:fill="auto"/>
                  <w:vAlign w:val="center"/>
                </w:tcPr>
                <w:p w14:paraId="5BB40E4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eastAsia="zh-CN"/>
                    </w:rPr>
                    <w:t>无组织</w:t>
                  </w:r>
                </w:p>
              </w:tc>
              <w:tc>
                <w:tcPr>
                  <w:tcW w:w="1868" w:type="dxa"/>
                  <w:gridSpan w:val="3"/>
                  <w:shd w:val="clear" w:color="auto" w:fill="auto"/>
                  <w:vAlign w:val="center"/>
                </w:tcPr>
                <w:p w14:paraId="7D024BE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lang w:eastAsia="zh-CN"/>
                    </w:rPr>
                    <w:t>厂房密闭、皮带机全密闭、喷雾降尘</w:t>
                  </w:r>
                </w:p>
              </w:tc>
              <w:tc>
                <w:tcPr>
                  <w:tcW w:w="580" w:type="dxa"/>
                  <w:shd w:val="clear" w:color="auto" w:fill="auto"/>
                  <w:vAlign w:val="center"/>
                </w:tcPr>
                <w:p w14:paraId="7DC5EF4E">
                  <w:pPr>
                    <w:adjustRightInd w:val="0"/>
                    <w:snapToGrid w:val="0"/>
                    <w:jc w:val="center"/>
                    <w:rPr>
                      <w:rFonts w:hint="default" w:ascii="Times New Roman" w:hAnsi="Times New Roman" w:eastAsia="宋体" w:cs="Times New Roman"/>
                      <w:bCs/>
                      <w:kern w:val="24"/>
                      <w:sz w:val="21"/>
                      <w:szCs w:val="21"/>
                      <w:lang w:val="en-US" w:eastAsia="zh-CN" w:bidi="ar-SA"/>
                    </w:rPr>
                  </w:pPr>
                  <w:r>
                    <w:rPr>
                      <w:rFonts w:hint="eastAsia"/>
                      <w:bCs/>
                      <w:color w:val="auto"/>
                      <w:kern w:val="24"/>
                      <w:szCs w:val="21"/>
                      <w:lang w:val="en-US" w:eastAsia="zh-CN"/>
                    </w:rPr>
                    <w:t>/</w:t>
                  </w:r>
                </w:p>
              </w:tc>
              <w:tc>
                <w:tcPr>
                  <w:tcW w:w="834" w:type="dxa"/>
                  <w:shd w:val="clear" w:color="auto" w:fill="auto"/>
                  <w:vAlign w:val="center"/>
                </w:tcPr>
                <w:p w14:paraId="31D50FB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w:t>
                  </w:r>
                </w:p>
              </w:tc>
              <w:tc>
                <w:tcPr>
                  <w:tcW w:w="900" w:type="dxa"/>
                  <w:shd w:val="clear" w:color="auto" w:fill="auto"/>
                  <w:vAlign w:val="center"/>
                </w:tcPr>
                <w:p w14:paraId="6650F07D">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98%</w:t>
                  </w:r>
                </w:p>
              </w:tc>
              <w:tc>
                <w:tcPr>
                  <w:tcW w:w="900" w:type="dxa"/>
                  <w:shd w:val="clear" w:color="auto" w:fill="auto"/>
                  <w:vAlign w:val="center"/>
                </w:tcPr>
                <w:p w14:paraId="5154476B">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eastAsia="zh-CN"/>
                    </w:rPr>
                    <w:t>是</w:t>
                  </w:r>
                </w:p>
              </w:tc>
              <w:tc>
                <w:tcPr>
                  <w:tcW w:w="1242" w:type="dxa"/>
                  <w:gridSpan w:val="2"/>
                  <w:shd w:val="clear" w:color="auto" w:fill="auto"/>
                  <w:vAlign w:val="center"/>
                </w:tcPr>
                <w:p w14:paraId="1134C8F8">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0.019</w:t>
                  </w:r>
                </w:p>
              </w:tc>
              <w:tc>
                <w:tcPr>
                  <w:tcW w:w="800" w:type="dxa"/>
                  <w:shd w:val="clear" w:color="auto" w:fill="auto"/>
                  <w:vAlign w:val="center"/>
                </w:tcPr>
                <w:p w14:paraId="1D04F7B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0.008</w:t>
                  </w:r>
                </w:p>
              </w:tc>
              <w:tc>
                <w:tcPr>
                  <w:tcW w:w="825" w:type="dxa"/>
                  <w:shd w:val="clear" w:color="auto" w:fill="auto"/>
                  <w:vAlign w:val="center"/>
                </w:tcPr>
                <w:p w14:paraId="361A2AB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w:t>
                  </w:r>
                </w:p>
              </w:tc>
              <w:tc>
                <w:tcPr>
                  <w:tcW w:w="1152" w:type="dxa"/>
                  <w:shd w:val="clear" w:color="auto" w:fill="auto"/>
                  <w:vAlign w:val="center"/>
                </w:tcPr>
                <w:p w14:paraId="30180A1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color w:val="auto"/>
                      <w:szCs w:val="21"/>
                      <w:lang w:val="en-US" w:eastAsia="zh-CN"/>
                    </w:rPr>
                    <w:t>1.0</w:t>
                  </w:r>
                </w:p>
              </w:tc>
            </w:tr>
            <w:tr w14:paraId="0840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shd w:val="clear" w:color="auto" w:fill="auto"/>
                  <w:vAlign w:val="center"/>
                </w:tcPr>
                <w:p w14:paraId="0DCB000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卸料起尘</w:t>
                  </w:r>
                </w:p>
              </w:tc>
              <w:tc>
                <w:tcPr>
                  <w:tcW w:w="199" w:type="pct"/>
                  <w:shd w:val="clear" w:color="auto" w:fill="auto"/>
                  <w:vAlign w:val="center"/>
                </w:tcPr>
                <w:p w14:paraId="17F7BCB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颗粒物</w:t>
                  </w:r>
                </w:p>
              </w:tc>
              <w:tc>
                <w:tcPr>
                  <w:tcW w:w="346" w:type="pct"/>
                  <w:shd w:val="clear" w:color="auto" w:fill="auto"/>
                  <w:vAlign w:val="center"/>
                </w:tcPr>
                <w:p w14:paraId="62470E0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0.021</w:t>
                  </w:r>
                </w:p>
              </w:tc>
              <w:tc>
                <w:tcPr>
                  <w:tcW w:w="314" w:type="pct"/>
                  <w:shd w:val="clear" w:color="auto" w:fill="auto"/>
                  <w:vAlign w:val="center"/>
                </w:tcPr>
                <w:p w14:paraId="1CEB4DA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261" w:type="pct"/>
                  <w:shd w:val="clear" w:color="auto" w:fill="auto"/>
                  <w:vAlign w:val="center"/>
                </w:tcPr>
                <w:p w14:paraId="5E8C615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无组织</w:t>
                  </w:r>
                </w:p>
              </w:tc>
              <w:tc>
                <w:tcPr>
                  <w:tcW w:w="699" w:type="pct"/>
                  <w:gridSpan w:val="3"/>
                  <w:shd w:val="clear" w:color="auto" w:fill="auto"/>
                  <w:vAlign w:val="center"/>
                </w:tcPr>
                <w:p w14:paraId="43A5221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洒水降尘+降低</w:t>
                  </w:r>
                  <w:r>
                    <w:rPr>
                      <w:rFonts w:hint="eastAsia"/>
                      <w:color w:val="auto"/>
                      <w:szCs w:val="21"/>
                      <w:lang w:eastAsia="zh-CN"/>
                    </w:rPr>
                    <w:t>卸料</w:t>
                  </w:r>
                  <w:r>
                    <w:rPr>
                      <w:rFonts w:hint="eastAsia"/>
                      <w:color w:val="auto"/>
                      <w:szCs w:val="21"/>
                    </w:rPr>
                    <w:t>高度</w:t>
                  </w:r>
                </w:p>
              </w:tc>
              <w:tc>
                <w:tcPr>
                  <w:tcW w:w="217" w:type="pct"/>
                  <w:shd w:val="clear" w:color="auto" w:fill="auto"/>
                  <w:vAlign w:val="center"/>
                </w:tcPr>
                <w:p w14:paraId="4C687E5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312" w:type="pct"/>
                  <w:shd w:val="clear" w:color="auto" w:fill="auto"/>
                  <w:vAlign w:val="center"/>
                </w:tcPr>
                <w:p w14:paraId="140D2F9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337" w:type="pct"/>
                  <w:shd w:val="clear" w:color="auto" w:fill="auto"/>
                  <w:vAlign w:val="center"/>
                </w:tcPr>
                <w:p w14:paraId="0243FA0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80</w:t>
                  </w:r>
                  <w:r>
                    <w:rPr>
                      <w:color w:val="auto"/>
                      <w:szCs w:val="21"/>
                    </w:rPr>
                    <w:t>%</w:t>
                  </w:r>
                </w:p>
              </w:tc>
              <w:tc>
                <w:tcPr>
                  <w:tcW w:w="337" w:type="pct"/>
                  <w:shd w:val="clear" w:color="auto" w:fill="auto"/>
                  <w:vAlign w:val="center"/>
                </w:tcPr>
                <w:p w14:paraId="2BF6CF8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是</w:t>
                  </w:r>
                </w:p>
              </w:tc>
              <w:tc>
                <w:tcPr>
                  <w:tcW w:w="465" w:type="pct"/>
                  <w:gridSpan w:val="2"/>
                  <w:shd w:val="clear" w:color="auto" w:fill="auto"/>
                  <w:vAlign w:val="center"/>
                </w:tcPr>
                <w:p w14:paraId="1D85DA8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0.0042</w:t>
                  </w:r>
                </w:p>
              </w:tc>
              <w:tc>
                <w:tcPr>
                  <w:tcW w:w="299" w:type="pct"/>
                  <w:shd w:val="clear" w:color="auto" w:fill="auto"/>
                  <w:vAlign w:val="center"/>
                </w:tcPr>
                <w:p w14:paraId="01BC711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0.005</w:t>
                  </w:r>
                </w:p>
              </w:tc>
              <w:tc>
                <w:tcPr>
                  <w:tcW w:w="309" w:type="pct"/>
                  <w:shd w:val="clear" w:color="auto" w:fill="auto"/>
                  <w:vAlign w:val="center"/>
                </w:tcPr>
                <w:p w14:paraId="789A76F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431" w:type="pct"/>
                  <w:shd w:val="clear" w:color="auto" w:fill="auto"/>
                  <w:vAlign w:val="center"/>
                </w:tcPr>
                <w:p w14:paraId="0878D25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r>
          </w:tbl>
          <w:p w14:paraId="13131F0F">
            <w:pPr>
              <w:adjustRightInd w:val="0"/>
              <w:snapToGrid w:val="0"/>
              <w:spacing w:before="156" w:beforeLines="50" w:line="360" w:lineRule="auto"/>
              <w:ind w:firstLine="482" w:firstLineChars="200"/>
              <w:rPr>
                <w:b/>
                <w:bCs/>
                <w:kern w:val="0"/>
                <w:sz w:val="24"/>
              </w:rPr>
            </w:pPr>
            <w:r>
              <w:rPr>
                <w:rFonts w:hint="eastAsia"/>
                <w:b/>
                <w:bCs/>
                <w:kern w:val="0"/>
                <w:sz w:val="24"/>
              </w:rPr>
              <w:t>排气口设置及监测计划</w:t>
            </w:r>
          </w:p>
          <w:p w14:paraId="4ECED543">
            <w:pPr>
              <w:adjustRightInd w:val="0"/>
              <w:snapToGrid w:val="0"/>
              <w:spacing w:line="360" w:lineRule="auto"/>
              <w:ind w:firstLine="480" w:firstLineChars="200"/>
              <w:rPr>
                <w:kern w:val="0"/>
                <w:sz w:val="24"/>
              </w:rPr>
            </w:pPr>
            <w:r>
              <w:rPr>
                <w:rFonts w:hint="eastAsia"/>
                <w:kern w:val="0"/>
                <w:sz w:val="24"/>
              </w:rPr>
              <w:t>根据</w:t>
            </w:r>
            <w:r>
              <w:rPr>
                <w:rFonts w:hint="default" w:ascii="Times New Roman" w:hAnsi="Times New Roman" w:cs="Times New Roman"/>
                <w:color w:val="auto"/>
                <w:sz w:val="24"/>
                <w:szCs w:val="24"/>
                <w:lang w:val="en-US" w:eastAsia="zh-CN"/>
              </w:rPr>
              <w:t>对照《固定污染源排污许可分类管理名录（2019年版）》</w:t>
            </w:r>
            <w:r>
              <w:rPr>
                <w:rFonts w:hint="eastAsia"/>
                <w:kern w:val="0"/>
                <w:sz w:val="24"/>
              </w:rPr>
              <w:t>，</w:t>
            </w:r>
            <w:r>
              <w:rPr>
                <w:rFonts w:hint="eastAsia"/>
                <w:kern w:val="0"/>
                <w:sz w:val="24"/>
                <w:lang w:eastAsia="zh-CN"/>
              </w:rPr>
              <w:t>本项目无需进行排污许可管理，实际本项目与原项目</w:t>
            </w:r>
            <w:r>
              <w:rPr>
                <w:rFonts w:hint="eastAsia"/>
                <w:color w:val="000000" w:themeColor="text1"/>
                <w:kern w:val="0"/>
                <w:sz w:val="24"/>
                <w14:textFill>
                  <w14:solidFill>
                    <w14:schemeClr w14:val="tx1"/>
                  </w14:solidFill>
                </w14:textFill>
              </w:rPr>
              <w:t>道路建养材料生产项目</w:t>
            </w:r>
            <w:r>
              <w:rPr>
                <w:rFonts w:hint="eastAsia"/>
                <w:color w:val="000000" w:themeColor="text1"/>
                <w:kern w:val="0"/>
                <w:sz w:val="24"/>
                <w:lang w:eastAsia="zh-CN"/>
                <w14:textFill>
                  <w14:solidFill>
                    <w14:schemeClr w14:val="tx1"/>
                  </w14:solidFill>
                </w14:textFill>
              </w:rPr>
              <w:t>（C3021水泥制品制造）</w:t>
            </w:r>
            <w:r>
              <w:rPr>
                <w:rFonts w:hint="eastAsia"/>
                <w:kern w:val="0"/>
                <w:sz w:val="24"/>
                <w:lang w:eastAsia="zh-CN"/>
              </w:rPr>
              <w:t>共用一套环保设备，故监测计划依照《排污单位自行监测技术指南 水泥工业》（HJ848-2017）</w:t>
            </w:r>
            <w:r>
              <w:rPr>
                <w:rFonts w:hint="eastAsia"/>
                <w:kern w:val="0"/>
                <w:sz w:val="24"/>
              </w:rPr>
              <w:t>：</w:t>
            </w:r>
          </w:p>
          <w:p w14:paraId="772D1252">
            <w:pPr>
              <w:adjustRightInd w:val="0"/>
              <w:snapToGrid w:val="0"/>
              <w:spacing w:line="360" w:lineRule="auto"/>
              <w:jc w:val="center"/>
              <w:rPr>
                <w:b/>
                <w:bCs/>
                <w:kern w:val="0"/>
                <w:sz w:val="24"/>
              </w:rPr>
            </w:pPr>
            <w:r>
              <w:rPr>
                <w:b/>
                <w:bCs/>
                <w:kern w:val="0"/>
                <w:sz w:val="24"/>
              </w:rPr>
              <w:t>表4</w:t>
            </w:r>
            <w:r>
              <w:rPr>
                <w:rFonts w:hint="eastAsia"/>
                <w:b/>
                <w:bCs/>
                <w:kern w:val="0"/>
                <w:sz w:val="24"/>
                <w:lang w:val="en-US" w:eastAsia="zh-CN"/>
              </w:rPr>
              <w:t>-</w:t>
            </w:r>
            <w:r>
              <w:rPr>
                <w:rFonts w:hint="eastAsia"/>
                <w:b/>
                <w:bCs/>
                <w:kern w:val="0"/>
                <w:sz w:val="24"/>
              </w:rPr>
              <w:t>2</w:t>
            </w:r>
            <w:r>
              <w:rPr>
                <w:b/>
                <w:bCs/>
                <w:kern w:val="0"/>
                <w:sz w:val="24"/>
              </w:rPr>
              <w:t xml:space="preserve"> </w:t>
            </w:r>
            <w:r>
              <w:rPr>
                <w:rFonts w:hint="eastAsia"/>
                <w:b/>
                <w:bCs/>
                <w:kern w:val="0"/>
                <w:sz w:val="24"/>
              </w:rPr>
              <w:t xml:space="preserve"> </w:t>
            </w:r>
            <w:r>
              <w:rPr>
                <w:b/>
                <w:bCs/>
                <w:kern w:val="0"/>
                <w:sz w:val="24"/>
              </w:rPr>
              <w:t>废气排放口</w:t>
            </w:r>
            <w:r>
              <w:rPr>
                <w:rFonts w:hint="eastAsia"/>
                <w:b/>
                <w:bCs/>
                <w:kern w:val="0"/>
                <w:sz w:val="24"/>
              </w:rPr>
              <w:t>设置及大气污染物监测计划</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76"/>
              <w:gridCol w:w="927"/>
              <w:gridCol w:w="1031"/>
              <w:gridCol w:w="985"/>
              <w:gridCol w:w="2254"/>
              <w:gridCol w:w="1301"/>
              <w:gridCol w:w="1079"/>
              <w:gridCol w:w="2062"/>
              <w:gridCol w:w="1295"/>
            </w:tblGrid>
            <w:tr w14:paraId="0180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restart"/>
                  <w:vAlign w:val="center"/>
                </w:tcPr>
                <w:p w14:paraId="16690997">
                  <w:pPr>
                    <w:adjustRightInd w:val="0"/>
                    <w:snapToGrid w:val="0"/>
                    <w:jc w:val="center"/>
                    <w:rPr>
                      <w:kern w:val="0"/>
                      <w:szCs w:val="21"/>
                    </w:rPr>
                  </w:pPr>
                  <w:r>
                    <w:rPr>
                      <w:kern w:val="0"/>
                      <w:szCs w:val="21"/>
                    </w:rPr>
                    <w:t>污染源类别</w:t>
                  </w:r>
                </w:p>
              </w:tc>
              <w:tc>
                <w:tcPr>
                  <w:tcW w:w="515" w:type="pct"/>
                  <w:vMerge w:val="restart"/>
                  <w:vAlign w:val="center"/>
                </w:tcPr>
                <w:p w14:paraId="07642AAB">
                  <w:pPr>
                    <w:adjustRightInd w:val="0"/>
                    <w:snapToGrid w:val="0"/>
                    <w:jc w:val="center"/>
                    <w:rPr>
                      <w:kern w:val="0"/>
                      <w:szCs w:val="21"/>
                    </w:rPr>
                  </w:pPr>
                  <w:r>
                    <w:rPr>
                      <w:kern w:val="0"/>
                      <w:szCs w:val="21"/>
                    </w:rPr>
                    <w:t>排放口编号及名称</w:t>
                  </w:r>
                </w:p>
              </w:tc>
              <w:tc>
                <w:tcPr>
                  <w:tcW w:w="2433" w:type="pct"/>
                  <w:gridSpan w:val="5"/>
                  <w:vAlign w:val="center"/>
                </w:tcPr>
                <w:p w14:paraId="1FCAEE9A">
                  <w:pPr>
                    <w:adjustRightInd w:val="0"/>
                    <w:snapToGrid w:val="0"/>
                    <w:jc w:val="center"/>
                    <w:rPr>
                      <w:kern w:val="0"/>
                      <w:szCs w:val="21"/>
                    </w:rPr>
                  </w:pPr>
                  <w:r>
                    <w:rPr>
                      <w:kern w:val="0"/>
                      <w:szCs w:val="21"/>
                    </w:rPr>
                    <w:t>排放口基本情况</w:t>
                  </w:r>
                </w:p>
              </w:tc>
              <w:tc>
                <w:tcPr>
                  <w:tcW w:w="1661" w:type="pct"/>
                  <w:gridSpan w:val="3"/>
                  <w:vAlign w:val="center"/>
                </w:tcPr>
                <w:p w14:paraId="58602D0C">
                  <w:pPr>
                    <w:adjustRightInd w:val="0"/>
                    <w:snapToGrid w:val="0"/>
                    <w:jc w:val="center"/>
                    <w:rPr>
                      <w:kern w:val="0"/>
                      <w:szCs w:val="21"/>
                    </w:rPr>
                  </w:pPr>
                  <w:r>
                    <w:rPr>
                      <w:kern w:val="0"/>
                      <w:szCs w:val="21"/>
                    </w:rPr>
                    <w:t>监测要求</w:t>
                  </w:r>
                </w:p>
              </w:tc>
            </w:tr>
            <w:tr w14:paraId="6C75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Merge w:val="continue"/>
                  <w:vAlign w:val="center"/>
                </w:tcPr>
                <w:p w14:paraId="085E1C4D">
                  <w:pPr>
                    <w:adjustRightInd w:val="0"/>
                    <w:snapToGrid w:val="0"/>
                    <w:jc w:val="center"/>
                    <w:rPr>
                      <w:kern w:val="0"/>
                      <w:szCs w:val="21"/>
                    </w:rPr>
                  </w:pPr>
                </w:p>
              </w:tc>
              <w:tc>
                <w:tcPr>
                  <w:tcW w:w="515" w:type="pct"/>
                  <w:vMerge w:val="continue"/>
                  <w:vAlign w:val="center"/>
                </w:tcPr>
                <w:p w14:paraId="19643148">
                  <w:pPr>
                    <w:adjustRightInd w:val="0"/>
                    <w:snapToGrid w:val="0"/>
                    <w:jc w:val="center"/>
                    <w:rPr>
                      <w:kern w:val="0"/>
                      <w:szCs w:val="21"/>
                    </w:rPr>
                  </w:pPr>
                </w:p>
              </w:tc>
              <w:tc>
                <w:tcPr>
                  <w:tcW w:w="347" w:type="pct"/>
                  <w:vAlign w:val="center"/>
                </w:tcPr>
                <w:p w14:paraId="4D249AAE">
                  <w:pPr>
                    <w:adjustRightInd w:val="0"/>
                    <w:snapToGrid w:val="0"/>
                    <w:jc w:val="center"/>
                    <w:rPr>
                      <w:kern w:val="0"/>
                      <w:szCs w:val="21"/>
                    </w:rPr>
                  </w:pPr>
                  <w:r>
                    <w:rPr>
                      <w:kern w:val="0"/>
                      <w:szCs w:val="21"/>
                    </w:rPr>
                    <w:t>高度/m</w:t>
                  </w:r>
                </w:p>
              </w:tc>
              <w:tc>
                <w:tcPr>
                  <w:tcW w:w="386" w:type="pct"/>
                  <w:vAlign w:val="center"/>
                </w:tcPr>
                <w:p w14:paraId="0A72799C">
                  <w:pPr>
                    <w:adjustRightInd w:val="0"/>
                    <w:snapToGrid w:val="0"/>
                    <w:jc w:val="center"/>
                    <w:rPr>
                      <w:kern w:val="0"/>
                      <w:szCs w:val="21"/>
                    </w:rPr>
                  </w:pPr>
                  <w:r>
                    <w:rPr>
                      <w:kern w:val="0"/>
                      <w:szCs w:val="21"/>
                    </w:rPr>
                    <w:t>内径/m</w:t>
                  </w:r>
                </w:p>
              </w:tc>
              <w:tc>
                <w:tcPr>
                  <w:tcW w:w="368" w:type="pct"/>
                  <w:vAlign w:val="center"/>
                </w:tcPr>
                <w:p w14:paraId="17948E65">
                  <w:pPr>
                    <w:adjustRightInd w:val="0"/>
                    <w:snapToGrid w:val="0"/>
                    <w:jc w:val="center"/>
                    <w:rPr>
                      <w:kern w:val="0"/>
                      <w:szCs w:val="21"/>
                    </w:rPr>
                  </w:pPr>
                  <w:r>
                    <w:rPr>
                      <w:kern w:val="0"/>
                      <w:szCs w:val="21"/>
                    </w:rPr>
                    <w:t>温度℃</w:t>
                  </w:r>
                </w:p>
              </w:tc>
              <w:tc>
                <w:tcPr>
                  <w:tcW w:w="844" w:type="pct"/>
                  <w:vAlign w:val="center"/>
                </w:tcPr>
                <w:p w14:paraId="55A9DA5E">
                  <w:pPr>
                    <w:adjustRightInd w:val="0"/>
                    <w:snapToGrid w:val="0"/>
                    <w:jc w:val="center"/>
                    <w:rPr>
                      <w:kern w:val="0"/>
                      <w:szCs w:val="21"/>
                    </w:rPr>
                  </w:pPr>
                  <w:r>
                    <w:rPr>
                      <w:kern w:val="0"/>
                      <w:szCs w:val="21"/>
                    </w:rPr>
                    <w:t>坐标</w:t>
                  </w:r>
                </w:p>
              </w:tc>
              <w:tc>
                <w:tcPr>
                  <w:tcW w:w="487" w:type="pct"/>
                  <w:vAlign w:val="center"/>
                </w:tcPr>
                <w:p w14:paraId="2AEC8F92">
                  <w:pPr>
                    <w:adjustRightInd w:val="0"/>
                    <w:snapToGrid w:val="0"/>
                    <w:jc w:val="center"/>
                    <w:rPr>
                      <w:kern w:val="0"/>
                      <w:szCs w:val="21"/>
                    </w:rPr>
                  </w:pPr>
                  <w:r>
                    <w:rPr>
                      <w:kern w:val="0"/>
                      <w:szCs w:val="21"/>
                    </w:rPr>
                    <w:t>类型</w:t>
                  </w:r>
                </w:p>
              </w:tc>
              <w:tc>
                <w:tcPr>
                  <w:tcW w:w="404" w:type="pct"/>
                  <w:vAlign w:val="center"/>
                </w:tcPr>
                <w:p w14:paraId="2422A44B">
                  <w:pPr>
                    <w:adjustRightInd w:val="0"/>
                    <w:snapToGrid w:val="0"/>
                    <w:jc w:val="center"/>
                    <w:rPr>
                      <w:kern w:val="0"/>
                      <w:szCs w:val="21"/>
                    </w:rPr>
                  </w:pPr>
                  <w:r>
                    <w:rPr>
                      <w:kern w:val="0"/>
                      <w:szCs w:val="21"/>
                    </w:rPr>
                    <w:t>监测点位</w:t>
                  </w:r>
                </w:p>
              </w:tc>
              <w:tc>
                <w:tcPr>
                  <w:tcW w:w="772" w:type="pct"/>
                  <w:vAlign w:val="center"/>
                </w:tcPr>
                <w:p w14:paraId="7AF08FCA">
                  <w:pPr>
                    <w:adjustRightInd w:val="0"/>
                    <w:snapToGrid w:val="0"/>
                    <w:jc w:val="center"/>
                    <w:rPr>
                      <w:kern w:val="0"/>
                      <w:szCs w:val="21"/>
                    </w:rPr>
                  </w:pPr>
                  <w:r>
                    <w:rPr>
                      <w:kern w:val="0"/>
                      <w:szCs w:val="21"/>
                    </w:rPr>
                    <w:t>监测因子</w:t>
                  </w:r>
                </w:p>
              </w:tc>
              <w:tc>
                <w:tcPr>
                  <w:tcW w:w="484" w:type="pct"/>
                  <w:vAlign w:val="center"/>
                </w:tcPr>
                <w:p w14:paraId="46C2415C">
                  <w:pPr>
                    <w:adjustRightInd w:val="0"/>
                    <w:snapToGrid w:val="0"/>
                    <w:jc w:val="center"/>
                    <w:rPr>
                      <w:kern w:val="0"/>
                      <w:szCs w:val="21"/>
                    </w:rPr>
                  </w:pPr>
                  <w:r>
                    <w:rPr>
                      <w:kern w:val="0"/>
                      <w:szCs w:val="21"/>
                    </w:rPr>
                    <w:t>监测频次</w:t>
                  </w:r>
                </w:p>
              </w:tc>
            </w:tr>
            <w:tr w14:paraId="3D4D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 w:type="pct"/>
                  <w:vAlign w:val="center"/>
                </w:tcPr>
                <w:p w14:paraId="7F16C968">
                  <w:pPr>
                    <w:adjustRightInd w:val="0"/>
                    <w:snapToGrid w:val="0"/>
                    <w:jc w:val="center"/>
                    <w:rPr>
                      <w:color w:val="auto"/>
                      <w:kern w:val="0"/>
                      <w:szCs w:val="21"/>
                    </w:rPr>
                  </w:pPr>
                  <w:r>
                    <w:rPr>
                      <w:color w:val="auto"/>
                      <w:kern w:val="0"/>
                      <w:szCs w:val="21"/>
                    </w:rPr>
                    <w:t>有组织</w:t>
                  </w:r>
                </w:p>
              </w:tc>
              <w:tc>
                <w:tcPr>
                  <w:tcW w:w="515" w:type="pct"/>
                  <w:vAlign w:val="center"/>
                </w:tcPr>
                <w:p w14:paraId="6A18002F">
                  <w:pPr>
                    <w:adjustRightInd w:val="0"/>
                    <w:snapToGrid w:val="0"/>
                    <w:jc w:val="center"/>
                    <w:rPr>
                      <w:color w:val="auto"/>
                      <w:kern w:val="0"/>
                      <w:szCs w:val="21"/>
                    </w:rPr>
                  </w:pPr>
                  <w:r>
                    <w:rPr>
                      <w:color w:val="auto"/>
                      <w:szCs w:val="21"/>
                    </w:rPr>
                    <w:t>物料混合搅拌和下料废气、破碎松散废气</w:t>
                  </w:r>
                </w:p>
              </w:tc>
              <w:tc>
                <w:tcPr>
                  <w:tcW w:w="347" w:type="pct"/>
                  <w:vAlign w:val="center"/>
                </w:tcPr>
                <w:p w14:paraId="0B013A0B">
                  <w:pPr>
                    <w:adjustRightInd w:val="0"/>
                    <w:snapToGrid w:val="0"/>
                    <w:jc w:val="center"/>
                    <w:rPr>
                      <w:color w:val="auto"/>
                      <w:kern w:val="0"/>
                      <w:szCs w:val="21"/>
                    </w:rPr>
                  </w:pPr>
                  <w:r>
                    <w:rPr>
                      <w:color w:val="auto"/>
                      <w:kern w:val="0"/>
                      <w:szCs w:val="21"/>
                    </w:rPr>
                    <w:t>15</w:t>
                  </w:r>
                </w:p>
              </w:tc>
              <w:tc>
                <w:tcPr>
                  <w:tcW w:w="386" w:type="pct"/>
                  <w:vAlign w:val="center"/>
                </w:tcPr>
                <w:p w14:paraId="15A1D520">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0.6</w:t>
                  </w:r>
                </w:p>
              </w:tc>
              <w:tc>
                <w:tcPr>
                  <w:tcW w:w="368" w:type="pct"/>
                  <w:vAlign w:val="center"/>
                </w:tcPr>
                <w:p w14:paraId="35745CC8">
                  <w:pPr>
                    <w:adjustRightInd w:val="0"/>
                    <w:snapToGrid w:val="0"/>
                    <w:jc w:val="center"/>
                    <w:rPr>
                      <w:color w:val="auto"/>
                      <w:kern w:val="0"/>
                      <w:szCs w:val="21"/>
                    </w:rPr>
                  </w:pPr>
                  <w:r>
                    <w:rPr>
                      <w:color w:val="auto"/>
                      <w:kern w:val="0"/>
                      <w:szCs w:val="21"/>
                    </w:rPr>
                    <w:t>25</w:t>
                  </w:r>
                </w:p>
              </w:tc>
              <w:tc>
                <w:tcPr>
                  <w:tcW w:w="844" w:type="pct"/>
                  <w:vAlign w:val="center"/>
                </w:tcPr>
                <w:p w14:paraId="5866EA1D">
                  <w:pPr>
                    <w:adjustRightInd w:val="0"/>
                    <w:snapToGrid w:val="0"/>
                    <w:jc w:val="center"/>
                    <w:rPr>
                      <w:color w:val="auto"/>
                      <w:kern w:val="0"/>
                      <w:szCs w:val="21"/>
                    </w:rPr>
                  </w:pPr>
                  <w:r>
                    <w:rPr>
                      <w:rFonts w:hint="eastAsia"/>
                      <w:color w:val="auto"/>
                      <w:kern w:val="0"/>
                      <w:szCs w:val="21"/>
                      <w:lang w:eastAsia="zh-CN"/>
                    </w:rPr>
                    <w:t>经度：116.9425206</w:t>
                  </w:r>
                  <w:r>
                    <w:rPr>
                      <w:color w:val="auto"/>
                      <w:kern w:val="0"/>
                      <w:szCs w:val="21"/>
                    </w:rPr>
                    <w:t>，</w:t>
                  </w:r>
                </w:p>
                <w:p w14:paraId="5E3E39D9">
                  <w:pPr>
                    <w:adjustRightInd w:val="0"/>
                    <w:snapToGrid w:val="0"/>
                    <w:jc w:val="center"/>
                    <w:rPr>
                      <w:rFonts w:hint="eastAsia" w:eastAsia="宋体"/>
                      <w:color w:val="auto"/>
                      <w:kern w:val="0"/>
                      <w:szCs w:val="21"/>
                      <w:lang w:eastAsia="zh-CN"/>
                    </w:rPr>
                  </w:pPr>
                  <w:r>
                    <w:rPr>
                      <w:rFonts w:hint="eastAsia"/>
                      <w:color w:val="auto"/>
                      <w:kern w:val="0"/>
                      <w:szCs w:val="21"/>
                      <w:lang w:eastAsia="zh-CN"/>
                    </w:rPr>
                    <w:t>维度：33.5000556</w:t>
                  </w:r>
                </w:p>
              </w:tc>
              <w:tc>
                <w:tcPr>
                  <w:tcW w:w="487" w:type="pct"/>
                  <w:vAlign w:val="center"/>
                </w:tcPr>
                <w:p w14:paraId="59C1FDA8">
                  <w:pPr>
                    <w:adjustRightInd w:val="0"/>
                    <w:snapToGrid w:val="0"/>
                    <w:jc w:val="center"/>
                    <w:rPr>
                      <w:color w:val="auto"/>
                      <w:kern w:val="0"/>
                      <w:szCs w:val="21"/>
                    </w:rPr>
                  </w:pPr>
                  <w:r>
                    <w:rPr>
                      <w:color w:val="auto"/>
                      <w:kern w:val="0"/>
                      <w:szCs w:val="21"/>
                    </w:rPr>
                    <w:t>一般排放口</w:t>
                  </w:r>
                </w:p>
              </w:tc>
              <w:tc>
                <w:tcPr>
                  <w:tcW w:w="404" w:type="pct"/>
                  <w:vAlign w:val="center"/>
                </w:tcPr>
                <w:p w14:paraId="2D3040A7">
                  <w:pPr>
                    <w:adjustRightInd w:val="0"/>
                    <w:snapToGrid w:val="0"/>
                    <w:jc w:val="center"/>
                    <w:rPr>
                      <w:rFonts w:hint="eastAsia" w:eastAsia="宋体"/>
                      <w:color w:val="auto"/>
                      <w:kern w:val="0"/>
                      <w:szCs w:val="21"/>
                      <w:lang w:eastAsia="zh-CN"/>
                    </w:rPr>
                  </w:pPr>
                  <w:r>
                    <w:rPr>
                      <w:color w:val="auto"/>
                      <w:kern w:val="0"/>
                      <w:szCs w:val="21"/>
                    </w:rPr>
                    <w:t>DA00</w:t>
                  </w:r>
                  <w:r>
                    <w:rPr>
                      <w:rFonts w:hint="eastAsia"/>
                      <w:color w:val="auto"/>
                      <w:kern w:val="0"/>
                      <w:szCs w:val="21"/>
                      <w:lang w:val="en-US" w:eastAsia="zh-CN"/>
                    </w:rPr>
                    <w:t>3</w:t>
                  </w:r>
                </w:p>
              </w:tc>
              <w:tc>
                <w:tcPr>
                  <w:tcW w:w="772" w:type="pct"/>
                  <w:vAlign w:val="center"/>
                </w:tcPr>
                <w:p w14:paraId="703E6F58">
                  <w:pPr>
                    <w:adjustRightInd w:val="0"/>
                    <w:snapToGrid w:val="0"/>
                    <w:jc w:val="center"/>
                    <w:rPr>
                      <w:rFonts w:hint="eastAsia" w:eastAsia="宋体"/>
                      <w:color w:val="auto"/>
                      <w:kern w:val="0"/>
                      <w:szCs w:val="21"/>
                      <w:lang w:eastAsia="zh-CN"/>
                    </w:rPr>
                  </w:pPr>
                  <w:r>
                    <w:rPr>
                      <w:rFonts w:hint="eastAsia"/>
                      <w:color w:val="auto"/>
                      <w:kern w:val="0"/>
                      <w:szCs w:val="21"/>
                      <w:lang w:eastAsia="zh-CN"/>
                    </w:rPr>
                    <w:t>颗粒物</w:t>
                  </w:r>
                </w:p>
              </w:tc>
              <w:tc>
                <w:tcPr>
                  <w:tcW w:w="484" w:type="pct"/>
                  <w:vAlign w:val="center"/>
                </w:tcPr>
                <w:p w14:paraId="56049D6E">
                  <w:pPr>
                    <w:adjustRightInd w:val="0"/>
                    <w:snapToGrid w:val="0"/>
                    <w:jc w:val="center"/>
                    <w:rPr>
                      <w:color w:val="auto"/>
                      <w:kern w:val="0"/>
                      <w:szCs w:val="21"/>
                    </w:rPr>
                  </w:pPr>
                  <w:r>
                    <w:rPr>
                      <w:color w:val="auto"/>
                      <w:kern w:val="0"/>
                      <w:szCs w:val="21"/>
                    </w:rPr>
                    <w:t>1次/</w:t>
                  </w:r>
                  <w:r>
                    <w:rPr>
                      <w:rFonts w:hint="eastAsia"/>
                      <w:color w:val="auto"/>
                      <w:kern w:val="0"/>
                      <w:szCs w:val="21"/>
                      <w:lang w:eastAsia="zh-CN"/>
                    </w:rPr>
                    <w:t>半</w:t>
                  </w:r>
                  <w:r>
                    <w:rPr>
                      <w:color w:val="auto"/>
                      <w:kern w:val="0"/>
                      <w:szCs w:val="21"/>
                    </w:rPr>
                    <w:t>年</w:t>
                  </w:r>
                </w:p>
              </w:tc>
            </w:tr>
            <w:tr w14:paraId="3C7E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0" w:type="pct"/>
                  <w:vMerge w:val="restart"/>
                  <w:vAlign w:val="center"/>
                </w:tcPr>
                <w:p w14:paraId="3A5358CF">
                  <w:pPr>
                    <w:adjustRightInd w:val="0"/>
                    <w:snapToGrid w:val="0"/>
                    <w:jc w:val="center"/>
                    <w:rPr>
                      <w:color w:val="auto"/>
                      <w:kern w:val="0"/>
                      <w:szCs w:val="21"/>
                    </w:rPr>
                  </w:pPr>
                  <w:r>
                    <w:rPr>
                      <w:color w:val="auto"/>
                      <w:kern w:val="0"/>
                      <w:szCs w:val="21"/>
                    </w:rPr>
                    <w:t>无组织</w:t>
                  </w:r>
                </w:p>
              </w:tc>
              <w:tc>
                <w:tcPr>
                  <w:tcW w:w="515" w:type="pct"/>
                  <w:vMerge w:val="restart"/>
                  <w:vAlign w:val="center"/>
                </w:tcPr>
                <w:p w14:paraId="56634B7F">
                  <w:pPr>
                    <w:adjustRightInd w:val="0"/>
                    <w:snapToGrid w:val="0"/>
                    <w:jc w:val="center"/>
                    <w:rPr>
                      <w:color w:val="auto"/>
                      <w:kern w:val="0"/>
                      <w:szCs w:val="21"/>
                    </w:rPr>
                  </w:pPr>
                  <w:r>
                    <w:rPr>
                      <w:color w:val="auto"/>
                      <w:kern w:val="0"/>
                      <w:szCs w:val="21"/>
                    </w:rPr>
                    <w:t>厂界</w:t>
                  </w:r>
                </w:p>
              </w:tc>
              <w:tc>
                <w:tcPr>
                  <w:tcW w:w="347" w:type="pct"/>
                  <w:vMerge w:val="restart"/>
                  <w:vAlign w:val="center"/>
                </w:tcPr>
                <w:p w14:paraId="30D3BEE1">
                  <w:pPr>
                    <w:adjustRightInd w:val="0"/>
                    <w:snapToGrid w:val="0"/>
                    <w:jc w:val="center"/>
                    <w:rPr>
                      <w:color w:val="auto"/>
                      <w:kern w:val="0"/>
                      <w:szCs w:val="21"/>
                    </w:rPr>
                  </w:pPr>
                  <w:r>
                    <w:rPr>
                      <w:color w:val="auto"/>
                      <w:kern w:val="0"/>
                      <w:szCs w:val="21"/>
                    </w:rPr>
                    <w:t>/</w:t>
                  </w:r>
                </w:p>
              </w:tc>
              <w:tc>
                <w:tcPr>
                  <w:tcW w:w="386" w:type="pct"/>
                  <w:vMerge w:val="restart"/>
                  <w:vAlign w:val="center"/>
                </w:tcPr>
                <w:p w14:paraId="33D04D26">
                  <w:pPr>
                    <w:adjustRightInd w:val="0"/>
                    <w:snapToGrid w:val="0"/>
                    <w:jc w:val="center"/>
                    <w:rPr>
                      <w:color w:val="auto"/>
                      <w:kern w:val="0"/>
                      <w:szCs w:val="21"/>
                    </w:rPr>
                  </w:pPr>
                  <w:r>
                    <w:rPr>
                      <w:color w:val="auto"/>
                      <w:kern w:val="0"/>
                      <w:szCs w:val="21"/>
                    </w:rPr>
                    <w:t>/</w:t>
                  </w:r>
                </w:p>
              </w:tc>
              <w:tc>
                <w:tcPr>
                  <w:tcW w:w="368" w:type="pct"/>
                  <w:vMerge w:val="restart"/>
                  <w:vAlign w:val="center"/>
                </w:tcPr>
                <w:p w14:paraId="4D14B966">
                  <w:pPr>
                    <w:adjustRightInd w:val="0"/>
                    <w:snapToGrid w:val="0"/>
                    <w:jc w:val="center"/>
                    <w:rPr>
                      <w:color w:val="auto"/>
                      <w:kern w:val="0"/>
                      <w:szCs w:val="21"/>
                    </w:rPr>
                  </w:pPr>
                  <w:r>
                    <w:rPr>
                      <w:color w:val="auto"/>
                      <w:kern w:val="0"/>
                      <w:szCs w:val="21"/>
                    </w:rPr>
                    <w:t>/</w:t>
                  </w:r>
                </w:p>
              </w:tc>
              <w:tc>
                <w:tcPr>
                  <w:tcW w:w="844" w:type="pct"/>
                  <w:vMerge w:val="restart"/>
                  <w:vAlign w:val="center"/>
                </w:tcPr>
                <w:p w14:paraId="163B485A">
                  <w:pPr>
                    <w:adjustRightInd w:val="0"/>
                    <w:snapToGrid w:val="0"/>
                    <w:jc w:val="center"/>
                    <w:rPr>
                      <w:color w:val="auto"/>
                      <w:kern w:val="0"/>
                      <w:szCs w:val="21"/>
                    </w:rPr>
                  </w:pPr>
                  <w:r>
                    <w:rPr>
                      <w:color w:val="auto"/>
                      <w:kern w:val="0"/>
                      <w:szCs w:val="21"/>
                    </w:rPr>
                    <w:t>/</w:t>
                  </w:r>
                </w:p>
              </w:tc>
              <w:tc>
                <w:tcPr>
                  <w:tcW w:w="487" w:type="pct"/>
                  <w:vMerge w:val="restart"/>
                  <w:vAlign w:val="center"/>
                </w:tcPr>
                <w:p w14:paraId="114709C1">
                  <w:pPr>
                    <w:adjustRightInd w:val="0"/>
                    <w:snapToGrid w:val="0"/>
                    <w:jc w:val="center"/>
                    <w:rPr>
                      <w:color w:val="auto"/>
                      <w:kern w:val="0"/>
                      <w:szCs w:val="21"/>
                    </w:rPr>
                  </w:pPr>
                  <w:r>
                    <w:rPr>
                      <w:color w:val="auto"/>
                      <w:kern w:val="0"/>
                      <w:szCs w:val="21"/>
                    </w:rPr>
                    <w:t>/</w:t>
                  </w:r>
                </w:p>
              </w:tc>
              <w:tc>
                <w:tcPr>
                  <w:tcW w:w="404" w:type="pct"/>
                  <w:vMerge w:val="restart"/>
                  <w:vAlign w:val="center"/>
                </w:tcPr>
                <w:p w14:paraId="1AB174C3">
                  <w:pPr>
                    <w:adjustRightInd w:val="0"/>
                    <w:snapToGrid w:val="0"/>
                    <w:jc w:val="center"/>
                    <w:rPr>
                      <w:color w:val="auto"/>
                      <w:kern w:val="0"/>
                      <w:szCs w:val="21"/>
                    </w:rPr>
                  </w:pPr>
                  <w:r>
                    <w:rPr>
                      <w:color w:val="auto"/>
                      <w:kern w:val="0"/>
                      <w:szCs w:val="21"/>
                    </w:rPr>
                    <w:t>厂界</w:t>
                  </w:r>
                </w:p>
              </w:tc>
              <w:tc>
                <w:tcPr>
                  <w:tcW w:w="772" w:type="pct"/>
                  <w:vAlign w:val="center"/>
                </w:tcPr>
                <w:p w14:paraId="46277520">
                  <w:pPr>
                    <w:adjustRightInd w:val="0"/>
                    <w:snapToGrid w:val="0"/>
                    <w:jc w:val="center"/>
                    <w:rPr>
                      <w:color w:val="auto"/>
                      <w:kern w:val="0"/>
                      <w:szCs w:val="21"/>
                    </w:rPr>
                  </w:pPr>
                  <w:r>
                    <w:rPr>
                      <w:rFonts w:hint="eastAsia" w:eastAsia="宋体"/>
                      <w:color w:val="auto"/>
                      <w:sz w:val="21"/>
                      <w:szCs w:val="21"/>
                      <w:highlight w:val="none"/>
                      <w:lang w:eastAsia="zh-CN"/>
                    </w:rPr>
                    <w:t>颗粒物</w:t>
                  </w:r>
                </w:p>
              </w:tc>
              <w:tc>
                <w:tcPr>
                  <w:tcW w:w="484" w:type="pct"/>
                  <w:vAlign w:val="center"/>
                </w:tcPr>
                <w:p w14:paraId="069169EF">
                  <w:pPr>
                    <w:adjustRightInd w:val="0"/>
                    <w:snapToGrid w:val="0"/>
                    <w:jc w:val="center"/>
                    <w:rPr>
                      <w:rFonts w:hint="eastAsia" w:eastAsia="宋体"/>
                      <w:color w:val="auto"/>
                      <w:kern w:val="0"/>
                      <w:szCs w:val="21"/>
                      <w:lang w:eastAsia="zh-CN"/>
                    </w:rPr>
                  </w:pPr>
                  <w:r>
                    <w:rPr>
                      <w:color w:val="auto"/>
                      <w:kern w:val="0"/>
                      <w:szCs w:val="21"/>
                    </w:rPr>
                    <w:t>1次/</w:t>
                  </w:r>
                  <w:r>
                    <w:rPr>
                      <w:rFonts w:hint="eastAsia"/>
                      <w:color w:val="auto"/>
                      <w:kern w:val="0"/>
                      <w:szCs w:val="21"/>
                      <w:lang w:eastAsia="zh-CN"/>
                    </w:rPr>
                    <w:t>季度</w:t>
                  </w:r>
                </w:p>
              </w:tc>
            </w:tr>
            <w:tr w14:paraId="5135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0" w:type="pct"/>
                  <w:vMerge w:val="continue"/>
                  <w:vAlign w:val="center"/>
                </w:tcPr>
                <w:p w14:paraId="66CA99F6">
                  <w:pPr>
                    <w:adjustRightInd w:val="0"/>
                    <w:snapToGrid w:val="0"/>
                    <w:jc w:val="center"/>
                    <w:rPr>
                      <w:color w:val="auto"/>
                    </w:rPr>
                  </w:pPr>
                </w:p>
              </w:tc>
              <w:tc>
                <w:tcPr>
                  <w:tcW w:w="515" w:type="pct"/>
                  <w:vMerge w:val="continue"/>
                  <w:vAlign w:val="center"/>
                </w:tcPr>
                <w:p w14:paraId="7E137D47">
                  <w:pPr>
                    <w:adjustRightInd w:val="0"/>
                    <w:snapToGrid w:val="0"/>
                    <w:jc w:val="center"/>
                    <w:rPr>
                      <w:color w:val="auto"/>
                    </w:rPr>
                  </w:pPr>
                </w:p>
              </w:tc>
              <w:tc>
                <w:tcPr>
                  <w:tcW w:w="347" w:type="pct"/>
                  <w:vMerge w:val="continue"/>
                  <w:vAlign w:val="center"/>
                </w:tcPr>
                <w:p w14:paraId="484C5A8A">
                  <w:pPr>
                    <w:adjustRightInd w:val="0"/>
                    <w:snapToGrid w:val="0"/>
                    <w:jc w:val="center"/>
                    <w:rPr>
                      <w:color w:val="auto"/>
                    </w:rPr>
                  </w:pPr>
                </w:p>
              </w:tc>
              <w:tc>
                <w:tcPr>
                  <w:tcW w:w="386" w:type="pct"/>
                  <w:vMerge w:val="continue"/>
                  <w:vAlign w:val="center"/>
                </w:tcPr>
                <w:p w14:paraId="5F2B3AB6">
                  <w:pPr>
                    <w:adjustRightInd w:val="0"/>
                    <w:snapToGrid w:val="0"/>
                    <w:jc w:val="center"/>
                    <w:rPr>
                      <w:color w:val="auto"/>
                    </w:rPr>
                  </w:pPr>
                </w:p>
              </w:tc>
              <w:tc>
                <w:tcPr>
                  <w:tcW w:w="368" w:type="pct"/>
                  <w:vMerge w:val="continue"/>
                  <w:vAlign w:val="center"/>
                </w:tcPr>
                <w:p w14:paraId="75BEEBCC">
                  <w:pPr>
                    <w:adjustRightInd w:val="0"/>
                    <w:snapToGrid w:val="0"/>
                    <w:jc w:val="center"/>
                    <w:rPr>
                      <w:color w:val="auto"/>
                    </w:rPr>
                  </w:pPr>
                </w:p>
              </w:tc>
              <w:tc>
                <w:tcPr>
                  <w:tcW w:w="844" w:type="pct"/>
                  <w:vMerge w:val="continue"/>
                  <w:vAlign w:val="center"/>
                </w:tcPr>
                <w:p w14:paraId="28E0568D">
                  <w:pPr>
                    <w:adjustRightInd w:val="0"/>
                    <w:snapToGrid w:val="0"/>
                    <w:jc w:val="center"/>
                    <w:rPr>
                      <w:color w:val="auto"/>
                    </w:rPr>
                  </w:pPr>
                </w:p>
              </w:tc>
              <w:tc>
                <w:tcPr>
                  <w:tcW w:w="487" w:type="pct"/>
                  <w:vMerge w:val="continue"/>
                  <w:vAlign w:val="center"/>
                </w:tcPr>
                <w:p w14:paraId="7EDEAD8D">
                  <w:pPr>
                    <w:adjustRightInd w:val="0"/>
                    <w:snapToGrid w:val="0"/>
                    <w:jc w:val="center"/>
                    <w:rPr>
                      <w:color w:val="auto"/>
                    </w:rPr>
                  </w:pPr>
                </w:p>
              </w:tc>
              <w:tc>
                <w:tcPr>
                  <w:tcW w:w="404" w:type="pct"/>
                  <w:vMerge w:val="continue"/>
                  <w:vAlign w:val="center"/>
                </w:tcPr>
                <w:p w14:paraId="2D96A85F">
                  <w:pPr>
                    <w:adjustRightInd w:val="0"/>
                    <w:snapToGrid w:val="0"/>
                    <w:jc w:val="center"/>
                    <w:rPr>
                      <w:color w:val="auto"/>
                    </w:rPr>
                  </w:pPr>
                </w:p>
              </w:tc>
              <w:tc>
                <w:tcPr>
                  <w:tcW w:w="772" w:type="pct"/>
                  <w:vAlign w:val="center"/>
                </w:tcPr>
                <w:p w14:paraId="3AEEA20F">
                  <w:pPr>
                    <w:adjustRightInd w:val="0"/>
                    <w:snapToGrid w:val="0"/>
                    <w:jc w:val="center"/>
                    <w:rPr>
                      <w:rFonts w:hint="eastAsia" w:eastAsia="宋体"/>
                      <w:color w:val="auto"/>
                      <w:sz w:val="21"/>
                      <w:szCs w:val="21"/>
                      <w:highlight w:val="none"/>
                      <w:lang w:eastAsia="zh-CN"/>
                    </w:rPr>
                  </w:pPr>
                  <w:r>
                    <w:rPr>
                      <w:rFonts w:hint="eastAsia" w:ascii="Times New Roman" w:hAnsi="Times New Roman" w:eastAsia="Times New Roman" w:cs="Times New Roman"/>
                      <w:color w:val="auto"/>
                      <w:sz w:val="21"/>
                      <w:szCs w:val="21"/>
                      <w:lang w:val="en-US" w:eastAsia="zh-CN"/>
                    </w:rPr>
                    <w:t>H</w:t>
                  </w:r>
                  <w:r>
                    <w:rPr>
                      <w:rFonts w:hint="eastAsia" w:ascii="Times New Roman" w:hAnsi="Times New Roman" w:eastAsia="Times New Roman" w:cs="Times New Roman"/>
                      <w:color w:val="auto"/>
                      <w:sz w:val="21"/>
                      <w:szCs w:val="21"/>
                      <w:vertAlign w:val="subscript"/>
                      <w:lang w:val="en-US" w:eastAsia="zh-CN"/>
                    </w:rPr>
                    <w:t>2</w:t>
                  </w:r>
                  <w:r>
                    <w:rPr>
                      <w:rFonts w:hint="eastAsia" w:ascii="Times New Roman" w:hAnsi="Times New Roman" w:eastAsia="Times New Roman" w:cs="Times New Roman"/>
                      <w:color w:val="auto"/>
                      <w:sz w:val="21"/>
                      <w:szCs w:val="21"/>
                      <w:lang w:val="en-US" w:eastAsia="zh-CN"/>
                    </w:rPr>
                    <w:t>S、</w:t>
                  </w:r>
                  <w:r>
                    <w:rPr>
                      <w:rFonts w:hint="eastAsia" w:ascii="Times New Roman" w:hAnsi="Times New Roman" w:eastAsia="宋体" w:cs="Times New Roman"/>
                      <w:b w:val="0"/>
                      <w:bCs w:val="0"/>
                      <w:color w:val="auto"/>
                      <w:kern w:val="0"/>
                      <w:szCs w:val="21"/>
                      <w:highlight w:val="none"/>
                      <w:lang w:val="en-US" w:eastAsia="zh-CN" w:bidi="ar"/>
                    </w:rPr>
                    <w:t>NH</w:t>
                  </w:r>
                  <w:r>
                    <w:rPr>
                      <w:rFonts w:hint="eastAsia" w:ascii="Times New Roman" w:hAnsi="Times New Roman" w:eastAsia="宋体" w:cs="Times New Roman"/>
                      <w:b w:val="0"/>
                      <w:bCs w:val="0"/>
                      <w:color w:val="auto"/>
                      <w:kern w:val="0"/>
                      <w:szCs w:val="21"/>
                      <w:highlight w:val="none"/>
                      <w:vertAlign w:val="subscript"/>
                      <w:lang w:val="en-US" w:eastAsia="zh-CN" w:bidi="ar"/>
                    </w:rPr>
                    <w:t>3</w:t>
                  </w:r>
                  <w:r>
                    <w:rPr>
                      <w:rFonts w:hint="eastAsia" w:ascii="Times New Roman" w:hAnsi="Times New Roman" w:eastAsia="Times New Roman" w:cs="Times New Roman"/>
                      <w:color w:val="auto"/>
                      <w:sz w:val="21"/>
                      <w:szCs w:val="21"/>
                      <w:lang w:val="en-US" w:eastAsia="zh-CN"/>
                    </w:rPr>
                    <w:t>、臭气浓度</w:t>
                  </w:r>
                </w:p>
              </w:tc>
              <w:tc>
                <w:tcPr>
                  <w:tcW w:w="484" w:type="pct"/>
                  <w:vAlign w:val="center"/>
                </w:tcPr>
                <w:p w14:paraId="19347F16">
                  <w:pPr>
                    <w:adjustRightInd w:val="0"/>
                    <w:snapToGrid w:val="0"/>
                    <w:jc w:val="center"/>
                    <w:rPr>
                      <w:rFonts w:hint="eastAsia" w:eastAsia="宋体"/>
                      <w:color w:val="auto"/>
                      <w:sz w:val="21"/>
                      <w:szCs w:val="21"/>
                      <w:highlight w:val="none"/>
                      <w:lang w:eastAsia="zh-CN"/>
                    </w:rPr>
                  </w:pPr>
                  <w:r>
                    <w:rPr>
                      <w:color w:val="auto"/>
                      <w:kern w:val="0"/>
                      <w:szCs w:val="21"/>
                    </w:rPr>
                    <w:t>1次/</w:t>
                  </w:r>
                  <w:r>
                    <w:rPr>
                      <w:rFonts w:hint="eastAsia"/>
                      <w:color w:val="auto"/>
                      <w:kern w:val="0"/>
                      <w:szCs w:val="21"/>
                      <w:lang w:eastAsia="zh-CN"/>
                    </w:rPr>
                    <w:t>年</w:t>
                  </w:r>
                </w:p>
              </w:tc>
            </w:tr>
          </w:tbl>
          <w:p w14:paraId="45B36706">
            <w:pPr>
              <w:adjustRightInd w:val="0"/>
              <w:snapToGrid w:val="0"/>
              <w:spacing w:line="360" w:lineRule="auto"/>
              <w:rPr>
                <w:kern w:val="0"/>
                <w:sz w:val="10"/>
                <w:szCs w:val="10"/>
              </w:rPr>
            </w:pPr>
          </w:p>
          <w:p w14:paraId="6BF17140">
            <w:pPr>
              <w:adjustRightInd w:val="0"/>
              <w:snapToGrid w:val="0"/>
              <w:spacing w:line="360" w:lineRule="auto"/>
              <w:rPr>
                <w:kern w:val="0"/>
                <w:sz w:val="24"/>
              </w:rPr>
            </w:pPr>
          </w:p>
          <w:p w14:paraId="4298CFFB">
            <w:pPr>
              <w:adjustRightInd w:val="0"/>
              <w:snapToGrid w:val="0"/>
              <w:spacing w:line="360" w:lineRule="auto"/>
              <w:rPr>
                <w:kern w:val="0"/>
                <w:sz w:val="24"/>
              </w:rPr>
            </w:pPr>
          </w:p>
          <w:p w14:paraId="4522C676">
            <w:pPr>
              <w:adjustRightInd w:val="0"/>
              <w:snapToGrid w:val="0"/>
              <w:spacing w:line="360" w:lineRule="auto"/>
              <w:rPr>
                <w:kern w:val="0"/>
                <w:sz w:val="24"/>
              </w:rPr>
            </w:pPr>
          </w:p>
        </w:tc>
      </w:tr>
    </w:tbl>
    <w:p w14:paraId="7589ABD8">
      <w:pPr>
        <w:pStyle w:val="33"/>
        <w:rPr>
          <w:color w:val="auto"/>
          <w:kern w:val="0"/>
        </w:rPr>
        <w:sectPr>
          <w:pgSz w:w="16838" w:h="11906" w:orient="landscape"/>
          <w:pgMar w:top="1800" w:right="1440" w:bottom="1800" w:left="1440" w:header="851" w:footer="992" w:gutter="0"/>
          <w:cols w:space="425" w:num="1"/>
          <w:docGrid w:type="lines" w:linePitch="312" w:charSpace="0"/>
        </w:sectPr>
      </w:pP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8037"/>
      </w:tblGrid>
      <w:tr w14:paraId="44E16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52" w:hRule="atLeast"/>
          <w:jc w:val="center"/>
        </w:trPr>
        <w:tc>
          <w:tcPr>
            <w:tcW w:w="0" w:type="auto"/>
            <w:tcBorders>
              <w:tl2br w:val="nil"/>
              <w:tr2bl w:val="nil"/>
            </w:tcBorders>
            <w:vAlign w:val="center"/>
          </w:tcPr>
          <w:p w14:paraId="0E546205">
            <w:pPr>
              <w:adjustRightInd w:val="0"/>
              <w:snapToGrid w:val="0"/>
              <w:jc w:val="center"/>
              <w:rPr>
                <w:kern w:val="0"/>
                <w:sz w:val="24"/>
              </w:rPr>
            </w:pPr>
            <w:r>
              <w:rPr>
                <w:kern w:val="0"/>
                <w:sz w:val="24"/>
              </w:rPr>
              <w:t>运营</w:t>
            </w:r>
          </w:p>
          <w:p w14:paraId="3CDDC67A">
            <w:pPr>
              <w:adjustRightInd w:val="0"/>
              <w:snapToGrid w:val="0"/>
              <w:jc w:val="center"/>
              <w:rPr>
                <w:kern w:val="0"/>
                <w:sz w:val="24"/>
              </w:rPr>
            </w:pPr>
            <w:r>
              <w:rPr>
                <w:kern w:val="0"/>
                <w:sz w:val="24"/>
              </w:rPr>
              <w:t>期环</w:t>
            </w:r>
          </w:p>
          <w:p w14:paraId="0C55D0C0">
            <w:pPr>
              <w:adjustRightInd w:val="0"/>
              <w:snapToGrid w:val="0"/>
              <w:jc w:val="center"/>
              <w:rPr>
                <w:kern w:val="0"/>
                <w:sz w:val="24"/>
              </w:rPr>
            </w:pPr>
            <w:r>
              <w:rPr>
                <w:kern w:val="0"/>
                <w:sz w:val="24"/>
              </w:rPr>
              <w:t>境影</w:t>
            </w:r>
          </w:p>
          <w:p w14:paraId="53527A57">
            <w:pPr>
              <w:adjustRightInd w:val="0"/>
              <w:snapToGrid w:val="0"/>
              <w:jc w:val="center"/>
              <w:rPr>
                <w:kern w:val="0"/>
                <w:sz w:val="24"/>
              </w:rPr>
            </w:pPr>
            <w:r>
              <w:rPr>
                <w:kern w:val="0"/>
                <w:sz w:val="24"/>
              </w:rPr>
              <w:t>响和</w:t>
            </w:r>
          </w:p>
          <w:p w14:paraId="07307DEA">
            <w:pPr>
              <w:adjustRightInd w:val="0"/>
              <w:snapToGrid w:val="0"/>
              <w:jc w:val="center"/>
              <w:rPr>
                <w:kern w:val="0"/>
                <w:sz w:val="24"/>
              </w:rPr>
            </w:pPr>
            <w:r>
              <w:rPr>
                <w:kern w:val="0"/>
                <w:sz w:val="24"/>
              </w:rPr>
              <w:t>保护</w:t>
            </w:r>
          </w:p>
          <w:p w14:paraId="1C04F0E7">
            <w:pPr>
              <w:pStyle w:val="33"/>
              <w:jc w:val="center"/>
              <w:rPr>
                <w:color w:val="auto"/>
                <w:kern w:val="0"/>
              </w:rPr>
            </w:pPr>
            <w:r>
              <w:rPr>
                <w:color w:val="auto"/>
                <w:kern w:val="0"/>
              </w:rPr>
              <w:t>措施</w:t>
            </w:r>
          </w:p>
        </w:tc>
        <w:tc>
          <w:tcPr>
            <w:tcW w:w="0" w:type="auto"/>
            <w:tcBorders>
              <w:tl2br w:val="nil"/>
              <w:tr2bl w:val="nil"/>
            </w:tcBorders>
            <w:vAlign w:val="center"/>
          </w:tcPr>
          <w:p w14:paraId="36D5545D">
            <w:pPr>
              <w:adjustRightInd w:val="0"/>
              <w:snapToGrid w:val="0"/>
              <w:spacing w:line="360" w:lineRule="auto"/>
              <w:ind w:firstLine="482" w:firstLineChars="200"/>
              <w:rPr>
                <w:b/>
                <w:sz w:val="24"/>
              </w:rPr>
            </w:pPr>
            <w:r>
              <w:rPr>
                <w:b/>
                <w:sz w:val="24"/>
              </w:rPr>
              <w:t>废气</w:t>
            </w:r>
            <w:r>
              <w:rPr>
                <w:rFonts w:hint="eastAsia"/>
                <w:b/>
                <w:sz w:val="24"/>
              </w:rPr>
              <w:t>工艺可行性</w:t>
            </w:r>
            <w:r>
              <w:rPr>
                <w:b/>
                <w:sz w:val="24"/>
              </w:rPr>
              <w:t>分析</w:t>
            </w:r>
          </w:p>
          <w:p w14:paraId="6597C7B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宋体" w:cs="Times New Roman"/>
                <w:b w:val="0"/>
                <w:bCs/>
                <w:color w:val="auto"/>
                <w:kern w:val="2"/>
                <w:sz w:val="24"/>
                <w:szCs w:val="24"/>
                <w:lang w:val="en-US" w:eastAsia="zh-CN" w:bidi="ar-SA"/>
              </w:rPr>
            </w:pPr>
            <w:r>
              <w:rPr>
                <w:rFonts w:hint="eastAsia"/>
                <w:color w:val="auto"/>
                <w:sz w:val="24"/>
                <w:szCs w:val="24"/>
                <w:lang w:val="en-US" w:eastAsia="zh-CN"/>
              </w:rPr>
              <w:t>根据</w:t>
            </w:r>
            <w:r>
              <w:rPr>
                <w:rFonts w:hint="eastAsia"/>
                <w:color w:val="000000" w:themeColor="text1"/>
                <w:sz w:val="24"/>
                <w:szCs w:val="24"/>
                <w:lang w:val="en-US" w:eastAsia="zh-CN"/>
                <w14:textFill>
                  <w14:solidFill>
                    <w14:schemeClr w14:val="tx1"/>
                  </w14:solidFill>
                </w14:textFill>
              </w:rPr>
              <w:t>《排污单位自行监测技术指南 总则》（HJ819-2017）中</w:t>
            </w:r>
            <w:r>
              <w:rPr>
                <w:rFonts w:hint="default" w:ascii="Times New Roman" w:hAnsi="Times New Roman" w:eastAsia="宋体" w:cs="Times New Roman"/>
                <w:sz w:val="24"/>
                <w:szCs w:val="24"/>
                <w:highlight w:val="none"/>
                <w:lang w:eastAsia="zh-CN"/>
              </w:rPr>
              <w:t>粉尘的污染防治设施名称及工艺包括布袋除尘、旋风除尘等</w:t>
            </w:r>
            <w:r>
              <w:rPr>
                <w:rFonts w:hint="eastAsia" w:ascii="Times New Roman" w:hAnsi="Times New Roman" w:eastAsia="宋体" w:cs="Times New Roman"/>
                <w:b w:val="0"/>
                <w:bCs/>
                <w:color w:val="auto"/>
                <w:kern w:val="2"/>
                <w:sz w:val="24"/>
                <w:szCs w:val="24"/>
                <w:lang w:val="en-US" w:eastAsia="zh-CN" w:bidi="ar-SA"/>
              </w:rPr>
              <w:t>。</w:t>
            </w:r>
          </w:p>
          <w:p w14:paraId="44A27769">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本次评价要求：</w:t>
            </w:r>
            <w:r>
              <w:rPr>
                <w:rFonts w:ascii="宋体" w:hAnsi="宋体" w:eastAsia="宋体" w:cs="宋体"/>
                <w:sz w:val="24"/>
                <w:szCs w:val="24"/>
              </w:rPr>
              <w:t>投料输送废气、物料混合搅拌和下料废气、破碎松散废气</w:t>
            </w:r>
            <w:r>
              <w:rPr>
                <w:rFonts w:hint="eastAsia" w:ascii="Times New Roman" w:hAnsi="Times New Roman" w:eastAsia="宋体" w:cs="Times New Roman"/>
                <w:b w:val="0"/>
                <w:bCs/>
                <w:color w:val="auto"/>
                <w:kern w:val="2"/>
                <w:sz w:val="24"/>
                <w:szCs w:val="24"/>
                <w:lang w:val="en-US" w:eastAsia="zh-CN" w:bidi="ar-SA"/>
              </w:rPr>
              <w:t>均采用集气罩收集后汇入脉冲除尘器处理尾气通过15m高排气筒（DA00</w:t>
            </w:r>
            <w:r>
              <w:rPr>
                <w:rFonts w:hint="eastAsia" w:cs="Times New Roman"/>
                <w:b w:val="0"/>
                <w:bCs/>
                <w:color w:val="auto"/>
                <w:kern w:val="2"/>
                <w:sz w:val="24"/>
                <w:szCs w:val="24"/>
                <w:lang w:val="en-US" w:eastAsia="zh-CN" w:bidi="ar-SA"/>
              </w:rPr>
              <w:t>3</w:t>
            </w:r>
            <w:r>
              <w:rPr>
                <w:rFonts w:hint="eastAsia" w:ascii="Times New Roman" w:hAnsi="Times New Roman" w:eastAsia="宋体" w:cs="Times New Roman"/>
                <w:b w:val="0"/>
                <w:bCs/>
                <w:color w:val="auto"/>
                <w:kern w:val="2"/>
                <w:sz w:val="24"/>
                <w:szCs w:val="24"/>
                <w:lang w:val="en-US" w:eastAsia="zh-CN" w:bidi="ar-SA"/>
              </w:rPr>
              <w:t>）排放，均为可行技术。因此本项目的废气处理工艺是可行的。</w:t>
            </w:r>
          </w:p>
          <w:p w14:paraId="5B1FDE27">
            <w:pPr>
              <w:keepNext w:val="0"/>
              <w:keepLines w:val="0"/>
              <w:widowControl w:val="0"/>
              <w:suppressLineNumbers w:val="0"/>
              <w:autoSpaceDE w:val="0"/>
              <w:autoSpaceDN/>
              <w:spacing w:before="0" w:beforeAutospacing="0" w:after="0" w:afterAutospacing="0" w:line="360" w:lineRule="auto"/>
              <w:ind w:left="0" w:leftChars="0" w:right="0" w:rightChars="0" w:firstLine="482" w:firstLineChars="200"/>
              <w:jc w:val="both"/>
              <w:rPr>
                <w:rFonts w:hint="eastAsia" w:ascii="Times New Roman" w:hAnsi="Times New Roman" w:eastAsia="宋体" w:cs="宋体"/>
                <w:b/>
                <w:bCs/>
                <w:color w:val="auto"/>
                <w:kern w:val="0"/>
                <w:sz w:val="24"/>
                <w:szCs w:val="24"/>
                <w:highlight w:val="none"/>
              </w:rPr>
            </w:pPr>
            <w:r>
              <w:rPr>
                <w:rFonts w:hint="eastAsia" w:ascii="Times New Roman" w:hAnsi="Times New Roman" w:eastAsia="宋体" w:cs="宋体"/>
                <w:b/>
                <w:bCs/>
                <w:color w:val="auto"/>
                <w:kern w:val="2"/>
                <w:sz w:val="24"/>
                <w:szCs w:val="24"/>
                <w:highlight w:val="none"/>
                <w:lang w:val="en-US" w:eastAsia="zh-CN" w:bidi="ar"/>
              </w:rPr>
              <w:t>废气达标排放情况</w:t>
            </w:r>
          </w:p>
          <w:p w14:paraId="445E3CE0">
            <w:pPr>
              <w:widowControl/>
              <w:spacing w:line="360" w:lineRule="auto"/>
              <w:ind w:firstLine="480" w:firstLineChars="200"/>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val="en-US" w:eastAsia="zh-CN" w:bidi="ar"/>
              </w:rPr>
              <w:t>①</w:t>
            </w:r>
            <w:r>
              <w:rPr>
                <w:rFonts w:hint="eastAsia" w:ascii="Times New Roman" w:hAnsi="Times New Roman" w:eastAsia="宋体" w:cs="Times New Roman"/>
                <w:color w:val="auto"/>
                <w:kern w:val="0"/>
                <w:sz w:val="24"/>
                <w:u w:val="none" w:color="auto"/>
                <w:lang w:val="en-US" w:eastAsia="zh-CN" w:bidi="ar"/>
              </w:rPr>
              <w:t>有</w:t>
            </w:r>
            <w:r>
              <w:rPr>
                <w:rFonts w:hint="default" w:ascii="Times New Roman" w:hAnsi="Times New Roman" w:eastAsia="宋体" w:cs="Times New Roman"/>
                <w:color w:val="auto"/>
                <w:kern w:val="0"/>
                <w:sz w:val="24"/>
                <w:u w:val="none" w:color="auto"/>
                <w:lang w:val="en-US" w:eastAsia="zh-CN" w:bidi="ar"/>
              </w:rPr>
              <w:t>组织废气</w:t>
            </w:r>
          </w:p>
          <w:p w14:paraId="59087361">
            <w:pPr>
              <w:adjustRightInd w:val="0"/>
              <w:snapToGrid w:val="0"/>
              <w:spacing w:line="360" w:lineRule="auto"/>
              <w:ind w:firstLine="480" w:firstLineChars="200"/>
              <w:rPr>
                <w:rFonts w:hint="eastAsia" w:ascii="Times New Roman" w:hAnsi="Times New Roman" w:eastAsia="宋体" w:cs="Times New Roman"/>
                <w:color w:val="auto"/>
                <w:kern w:val="0"/>
                <w:sz w:val="24"/>
              </w:rPr>
            </w:pPr>
            <w:r>
              <w:rPr>
                <w:rFonts w:hint="eastAsia" w:ascii="宋体" w:hAnsi="宋体" w:eastAsia="宋体" w:cs="宋体"/>
                <w:color w:val="auto"/>
                <w:sz w:val="24"/>
                <w:szCs w:val="24"/>
              </w:rPr>
              <w:t>物料混合搅拌和下料废气、破碎松散废气</w:t>
            </w:r>
            <w:r>
              <w:rPr>
                <w:rFonts w:hint="eastAsia" w:ascii="Times New Roman" w:hAnsi="Times New Roman" w:eastAsia="宋体" w:cs="Times New Roman"/>
                <w:color w:val="auto"/>
                <w:kern w:val="0"/>
                <w:sz w:val="24"/>
                <w:lang w:val="en-US" w:eastAsia="zh-CN"/>
              </w:rPr>
              <w:t>排气筒DA00</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lang w:val="en-US" w:eastAsia="zh-CN"/>
              </w:rPr>
              <w:t>外排废气颗粒物排放浓度为</w:t>
            </w:r>
            <w:r>
              <w:rPr>
                <w:rFonts w:hint="eastAsia" w:cs="Times New Roman"/>
                <w:color w:val="auto"/>
                <w:kern w:val="0"/>
                <w:sz w:val="24"/>
                <w:lang w:val="en-US" w:eastAsia="zh-CN"/>
              </w:rPr>
              <w:t>5.28</w:t>
            </w:r>
            <w:r>
              <w:rPr>
                <w:rFonts w:hint="eastAsia" w:ascii="Times New Roman" w:hAnsi="Times New Roman" w:eastAsia="宋体" w:cs="Times New Roman"/>
                <w:color w:val="auto"/>
                <w:kern w:val="0"/>
                <w:sz w:val="24"/>
                <w:lang w:val="en-US" w:eastAsia="zh-CN"/>
              </w:rPr>
              <w:t>mg/m</w:t>
            </w:r>
            <w:r>
              <w:rPr>
                <w:rFonts w:hint="eastAsia" w:ascii="Times New Roman" w:hAnsi="Times New Roman" w:eastAsia="宋体" w:cs="Times New Roman"/>
                <w:color w:val="auto"/>
                <w:kern w:val="0"/>
                <w:sz w:val="24"/>
                <w:vertAlign w:val="superscript"/>
                <w:lang w:val="en-US" w:eastAsia="zh-CN"/>
              </w:rPr>
              <w:t>3</w:t>
            </w:r>
            <w:r>
              <w:rPr>
                <w:rFonts w:hint="eastAsia" w:ascii="Times New Roman" w:hAnsi="Times New Roman" w:eastAsia="宋体" w:cs="Times New Roman"/>
                <w:color w:val="auto"/>
                <w:kern w:val="0"/>
                <w:sz w:val="24"/>
                <w:lang w:val="en-US" w:eastAsia="zh-CN"/>
              </w:rPr>
              <w:t>，满足《大气污染物综合排放标准》（GB16297-1996）表2中二级排放标准</w:t>
            </w:r>
            <w:r>
              <w:rPr>
                <w:rFonts w:hint="eastAsia" w:cs="Times New Roman"/>
                <w:color w:val="auto"/>
                <w:kern w:val="0"/>
                <w:sz w:val="24"/>
                <w:lang w:val="en-US" w:eastAsia="zh-CN"/>
              </w:rPr>
              <w:t>中的要求</w:t>
            </w:r>
            <w:r>
              <w:rPr>
                <w:rFonts w:hint="eastAsia" w:ascii="Times New Roman" w:hAnsi="Times New Roman" w:eastAsia="宋体" w:cs="Times New Roman"/>
                <w:color w:val="auto"/>
                <w:kern w:val="0"/>
                <w:sz w:val="24"/>
              </w:rPr>
              <w:t>。</w:t>
            </w:r>
          </w:p>
          <w:p w14:paraId="69BAAEFF">
            <w:pPr>
              <w:widowControl/>
              <w:spacing w:line="360" w:lineRule="auto"/>
              <w:ind w:firstLine="480" w:firstLineChars="200"/>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val="en-US" w:eastAsia="zh-CN" w:bidi="ar"/>
              </w:rPr>
              <w:t>②无组织废气</w:t>
            </w:r>
          </w:p>
          <w:p w14:paraId="39760694">
            <w:pPr>
              <w:widowControl/>
              <w:spacing w:line="360" w:lineRule="auto"/>
              <w:ind w:firstLine="480" w:firstLineChars="200"/>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本环评要求建设单位采取以下措施对粉尘</w:t>
            </w:r>
            <w:r>
              <w:rPr>
                <w:rFonts w:hint="eastAsia" w:ascii="Times New Roman" w:hAnsi="Times New Roman" w:eastAsia="宋体" w:cs="Times New Roman"/>
                <w:color w:val="auto"/>
                <w:kern w:val="0"/>
                <w:sz w:val="24"/>
                <w:u w:val="none" w:color="auto"/>
                <w:lang w:eastAsia="zh-CN" w:bidi="ar"/>
              </w:rPr>
              <w:t>、恶臭废气</w:t>
            </w:r>
            <w:r>
              <w:rPr>
                <w:rFonts w:hint="default" w:ascii="Times New Roman" w:hAnsi="Times New Roman" w:eastAsia="宋体" w:cs="Times New Roman"/>
                <w:color w:val="auto"/>
                <w:kern w:val="0"/>
                <w:sz w:val="24"/>
                <w:u w:val="none" w:color="auto"/>
                <w:lang w:bidi="ar"/>
              </w:rPr>
              <w:t>进行控制。</w:t>
            </w:r>
          </w:p>
          <w:p w14:paraId="21F07DFD">
            <w:pPr>
              <w:widowControl/>
              <w:spacing w:line="360" w:lineRule="auto"/>
              <w:ind w:firstLine="480" w:firstLineChars="200"/>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A、装卸料时尽量降低高度、减少落差；</w:t>
            </w:r>
          </w:p>
          <w:p w14:paraId="2276245B">
            <w:pPr>
              <w:widowControl/>
              <w:spacing w:line="360" w:lineRule="auto"/>
              <w:ind w:firstLine="480" w:firstLineChars="200"/>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bidi="ar"/>
              </w:rPr>
              <w:t>B、</w:t>
            </w:r>
            <w:r>
              <w:rPr>
                <w:rFonts w:hint="eastAsia" w:ascii="Times New Roman" w:hAnsi="Times New Roman" w:eastAsia="宋体" w:cs="Times New Roman"/>
                <w:color w:val="auto"/>
                <w:kern w:val="0"/>
                <w:sz w:val="24"/>
                <w:u w:val="none" w:color="auto"/>
                <w:lang w:eastAsia="zh-CN" w:bidi="ar"/>
              </w:rPr>
              <w:t>原料仓库封闭，并</w:t>
            </w:r>
            <w:r>
              <w:rPr>
                <w:rFonts w:hint="default" w:ascii="Times New Roman" w:hAnsi="Times New Roman" w:eastAsia="宋体" w:cs="Times New Roman"/>
                <w:color w:val="auto"/>
                <w:kern w:val="0"/>
                <w:sz w:val="24"/>
                <w:u w:val="none" w:color="auto"/>
                <w:lang w:bidi="ar"/>
              </w:rPr>
              <w:t>在原料</w:t>
            </w:r>
            <w:r>
              <w:rPr>
                <w:rFonts w:hint="eastAsia" w:ascii="Times New Roman" w:hAnsi="Times New Roman" w:eastAsia="宋体" w:cs="Times New Roman"/>
                <w:color w:val="auto"/>
                <w:kern w:val="0"/>
                <w:sz w:val="24"/>
                <w:u w:val="none" w:color="auto"/>
                <w:lang w:eastAsia="zh-CN" w:bidi="ar"/>
              </w:rPr>
              <w:t>仓库</w:t>
            </w:r>
            <w:r>
              <w:rPr>
                <w:rFonts w:hint="default" w:ascii="Times New Roman" w:hAnsi="Times New Roman" w:eastAsia="宋体" w:cs="Times New Roman"/>
                <w:color w:val="auto"/>
                <w:kern w:val="0"/>
                <w:sz w:val="24"/>
                <w:u w:val="none" w:color="auto"/>
                <w:lang w:bidi="ar"/>
              </w:rPr>
              <w:t>内设置</w:t>
            </w:r>
            <w:r>
              <w:rPr>
                <w:rFonts w:hint="eastAsia" w:ascii="Times New Roman" w:hAnsi="Times New Roman" w:eastAsia="宋体" w:cs="Times New Roman"/>
                <w:color w:val="auto"/>
                <w:kern w:val="0"/>
                <w:sz w:val="24"/>
                <w:u w:val="none" w:color="auto"/>
                <w:lang w:eastAsia="zh-CN" w:bidi="ar"/>
              </w:rPr>
              <w:t>喷雾</w:t>
            </w:r>
            <w:r>
              <w:rPr>
                <w:rFonts w:hint="default" w:ascii="Times New Roman" w:hAnsi="Times New Roman" w:eastAsia="宋体" w:cs="Times New Roman"/>
                <w:color w:val="auto"/>
                <w:kern w:val="0"/>
                <w:sz w:val="24"/>
                <w:u w:val="none" w:color="auto"/>
                <w:lang w:bidi="ar"/>
              </w:rPr>
              <w:t>降尘措施；</w:t>
            </w:r>
          </w:p>
          <w:p w14:paraId="065AA5D0">
            <w:pPr>
              <w:widowControl/>
              <w:spacing w:line="360" w:lineRule="auto"/>
              <w:ind w:firstLine="480" w:firstLineChars="200"/>
              <w:rPr>
                <w:rFonts w:hint="eastAsia" w:ascii="Times New Roman" w:hAnsi="Times New Roman" w:eastAsia="宋体" w:cs="Times New Roman"/>
                <w:color w:val="auto"/>
                <w:kern w:val="0"/>
                <w:sz w:val="24"/>
                <w:u w:val="none" w:color="auto"/>
                <w:lang w:eastAsia="zh-CN" w:bidi="ar"/>
              </w:rPr>
            </w:pPr>
            <w:r>
              <w:rPr>
                <w:rFonts w:hint="default" w:ascii="Times New Roman" w:hAnsi="Times New Roman" w:eastAsia="宋体" w:cs="Times New Roman"/>
                <w:color w:val="auto"/>
                <w:kern w:val="0"/>
                <w:sz w:val="24"/>
                <w:u w:val="none" w:color="auto"/>
                <w:lang w:val="en-US" w:eastAsia="zh-CN" w:bidi="ar"/>
              </w:rPr>
              <w:t>C</w:t>
            </w:r>
            <w:r>
              <w:rPr>
                <w:rFonts w:hint="default" w:ascii="Times New Roman" w:hAnsi="Times New Roman" w:eastAsia="宋体" w:cs="Times New Roman"/>
                <w:color w:val="auto"/>
                <w:kern w:val="0"/>
                <w:sz w:val="24"/>
                <w:u w:val="none" w:color="auto"/>
                <w:lang w:bidi="ar"/>
              </w:rPr>
              <w:t>、转运装卸物料时进行洒水抑尘，同时在大风天气不进行装卸作业</w:t>
            </w:r>
            <w:r>
              <w:rPr>
                <w:rFonts w:hint="eastAsia" w:ascii="Times New Roman" w:hAnsi="Times New Roman" w:eastAsia="宋体" w:cs="Times New Roman"/>
                <w:color w:val="auto"/>
                <w:kern w:val="0"/>
                <w:sz w:val="24"/>
                <w:u w:val="none" w:color="auto"/>
                <w:lang w:eastAsia="zh-CN" w:bidi="ar"/>
              </w:rPr>
              <w:t>；</w:t>
            </w:r>
          </w:p>
          <w:p w14:paraId="5B034943">
            <w:pPr>
              <w:widowControl/>
              <w:spacing w:line="360" w:lineRule="auto"/>
              <w:ind w:firstLine="480" w:firstLineChars="200"/>
              <w:rPr>
                <w:rFonts w:hint="default" w:ascii="Times New Roman" w:hAnsi="Times New Roman" w:eastAsia="宋体" w:cs="Times New Roman"/>
                <w:color w:val="auto"/>
                <w:kern w:val="0"/>
                <w:sz w:val="24"/>
                <w:u w:val="none" w:color="auto"/>
                <w:lang w:bidi="ar"/>
              </w:rPr>
            </w:pPr>
            <w:r>
              <w:rPr>
                <w:rFonts w:hint="default" w:ascii="Times New Roman" w:hAnsi="Times New Roman" w:eastAsia="宋体" w:cs="Times New Roman"/>
                <w:color w:val="auto"/>
                <w:kern w:val="0"/>
                <w:sz w:val="24"/>
                <w:u w:val="none" w:color="auto"/>
                <w:lang w:val="en-US" w:eastAsia="zh-CN" w:bidi="ar"/>
              </w:rPr>
              <w:t>D</w:t>
            </w:r>
            <w:r>
              <w:rPr>
                <w:rFonts w:hint="default" w:ascii="Times New Roman" w:hAnsi="Times New Roman" w:eastAsia="宋体" w:cs="Times New Roman"/>
                <w:color w:val="auto"/>
                <w:kern w:val="0"/>
                <w:sz w:val="24"/>
                <w:u w:val="none" w:color="auto"/>
                <w:lang w:bidi="ar"/>
              </w:rPr>
              <w:t>、场地硬化、并对车辆行驶的路面实施洒水抑尘。</w:t>
            </w:r>
          </w:p>
          <w:p w14:paraId="321B8857">
            <w:pPr>
              <w:widowControl/>
              <w:spacing w:line="360" w:lineRule="auto"/>
              <w:ind w:firstLine="480" w:firstLineChars="200"/>
              <w:rPr>
                <w:rFonts w:hint="eastAsia" w:ascii="Times New Roman" w:hAnsi="Times New Roman" w:eastAsia="宋体" w:cs="Times New Roman"/>
                <w:color w:val="auto"/>
                <w:kern w:val="0"/>
                <w:sz w:val="24"/>
                <w:u w:val="none" w:color="auto"/>
                <w:lang w:val="en-US" w:eastAsia="zh-CN" w:bidi="ar"/>
              </w:rPr>
            </w:pPr>
            <w:r>
              <w:rPr>
                <w:rFonts w:hint="eastAsia" w:ascii="Times New Roman" w:hAnsi="Times New Roman" w:eastAsia="宋体" w:cs="Times New Roman"/>
                <w:color w:val="auto"/>
                <w:kern w:val="0"/>
                <w:sz w:val="24"/>
                <w:u w:val="none" w:color="auto"/>
                <w:lang w:val="en-US" w:eastAsia="zh-CN" w:bidi="ar"/>
              </w:rPr>
              <w:t>E、污泥贮存场所和绿化营养土堆放场所设置封闭隔断，采取喷洒除臭剂等措施。</w:t>
            </w:r>
          </w:p>
          <w:p w14:paraId="1D2F7B56">
            <w:pPr>
              <w:widowControl/>
              <w:spacing w:line="360" w:lineRule="auto"/>
              <w:ind w:firstLine="480" w:firstLineChars="200"/>
              <w:rPr>
                <w:rFonts w:hint="default" w:ascii="Times New Roman" w:hAnsi="Times New Roman" w:eastAsia="宋体" w:cs="Times New Roman"/>
                <w:bCs/>
                <w:color w:val="auto"/>
                <w:kern w:val="21"/>
                <w:sz w:val="24"/>
                <w:u w:val="none" w:color="auto"/>
              </w:rPr>
            </w:pPr>
            <w:r>
              <w:rPr>
                <w:rFonts w:hint="eastAsia" w:ascii="Times New Roman" w:hAnsi="Times New Roman" w:eastAsia="宋体" w:cs="Times New Roman"/>
                <w:bCs/>
                <w:color w:val="auto"/>
                <w:kern w:val="21"/>
                <w:sz w:val="24"/>
                <w:u w:val="none" w:color="auto"/>
                <w:lang w:eastAsia="zh-CN"/>
              </w:rPr>
              <w:t>③</w:t>
            </w:r>
            <w:r>
              <w:rPr>
                <w:rFonts w:hint="default" w:ascii="Times New Roman" w:hAnsi="Times New Roman" w:eastAsia="宋体" w:cs="Times New Roman"/>
                <w:bCs/>
                <w:color w:val="auto"/>
                <w:kern w:val="21"/>
                <w:sz w:val="24"/>
                <w:u w:val="none" w:color="auto"/>
              </w:rPr>
              <w:t>车辆运输对周边敏感目标的影响分析</w:t>
            </w:r>
          </w:p>
          <w:p w14:paraId="7B5C7C30">
            <w:pPr>
              <w:adjustRightInd w:val="0"/>
              <w:snapToGrid w:val="0"/>
              <w:spacing w:line="360" w:lineRule="auto"/>
              <w:ind w:firstLine="480" w:firstLineChars="200"/>
              <w:rPr>
                <w:rFonts w:hint="default" w:ascii="Times New Roman" w:hAnsi="Times New Roman" w:eastAsia="宋体" w:cs="Times New Roman"/>
                <w:bCs/>
                <w:color w:val="auto"/>
                <w:kern w:val="21"/>
                <w:sz w:val="24"/>
                <w:u w:val="none" w:color="auto"/>
              </w:rPr>
            </w:pPr>
            <w:r>
              <w:rPr>
                <w:rFonts w:hint="default" w:ascii="Times New Roman" w:hAnsi="Times New Roman" w:eastAsia="宋体" w:cs="Times New Roman"/>
                <w:bCs/>
                <w:color w:val="auto"/>
                <w:kern w:val="21"/>
                <w:sz w:val="24"/>
                <w:u w:val="none" w:color="auto"/>
              </w:rPr>
              <w:t>本项目物料采用汽车运输方式，汽车运输时产生的扬尘和噪声对道路两侧敏感点会产生一定范围内会造成影响。扬尘量的大小与车流量、道路状况、气候条件、汽车行驶速度等均有关系。因此，要做好运输途中的扬尘和噪声对敏感点的防护措施。本项目运输路径主要敏感点为运输道路</w:t>
            </w:r>
            <w:r>
              <w:rPr>
                <w:rFonts w:hint="eastAsia" w:ascii="Times New Roman" w:hAnsi="Times New Roman" w:eastAsia="宋体" w:cs="Times New Roman"/>
                <w:bCs/>
                <w:color w:val="auto"/>
                <w:kern w:val="21"/>
                <w:sz w:val="24"/>
                <w:u w:val="none" w:color="auto"/>
                <w:lang w:eastAsia="zh-CN"/>
              </w:rPr>
              <w:t>沿线</w:t>
            </w:r>
            <w:r>
              <w:rPr>
                <w:rFonts w:hint="default" w:ascii="Times New Roman" w:hAnsi="Times New Roman" w:eastAsia="宋体" w:cs="Times New Roman"/>
                <w:bCs/>
                <w:color w:val="auto"/>
                <w:kern w:val="21"/>
                <w:sz w:val="24"/>
                <w:u w:val="none" w:color="auto"/>
              </w:rPr>
              <w:t>200m范围内两侧居民点；为了减少物料运输给沿途敏感点、农作物带来的不利影响，应采取如下措施：</w:t>
            </w:r>
          </w:p>
          <w:p w14:paraId="16804272">
            <w:pPr>
              <w:adjustRightInd w:val="0"/>
              <w:snapToGrid w:val="0"/>
              <w:spacing w:line="360" w:lineRule="auto"/>
              <w:ind w:firstLine="480" w:firstLineChars="200"/>
              <w:rPr>
                <w:rFonts w:hint="default" w:ascii="Times New Roman" w:hAnsi="Times New Roman" w:eastAsia="宋体" w:cs="Times New Roman"/>
                <w:bCs/>
                <w:color w:val="auto"/>
                <w:kern w:val="21"/>
                <w:sz w:val="24"/>
                <w:u w:val="none" w:color="auto"/>
              </w:rPr>
            </w:pPr>
            <w:r>
              <w:rPr>
                <w:rFonts w:hint="eastAsia" w:ascii="Times New Roman" w:hAnsi="Times New Roman" w:eastAsia="宋体" w:cs="Times New Roman"/>
                <w:bCs/>
                <w:color w:val="auto"/>
                <w:kern w:val="21"/>
                <w:sz w:val="24"/>
                <w:u w:val="none" w:color="auto"/>
                <w:lang w:val="en-US" w:eastAsia="zh-CN"/>
              </w:rPr>
              <w:t>A.</w:t>
            </w:r>
            <w:r>
              <w:rPr>
                <w:rFonts w:hint="default" w:ascii="Times New Roman" w:hAnsi="Times New Roman" w:eastAsia="宋体" w:cs="Times New Roman"/>
                <w:bCs/>
                <w:color w:val="auto"/>
                <w:kern w:val="21"/>
                <w:sz w:val="24"/>
                <w:u w:val="none" w:color="auto"/>
              </w:rPr>
              <w:t>及时对场区内进行定时洒水降尘；</w:t>
            </w:r>
          </w:p>
          <w:p w14:paraId="4C196C75">
            <w:pPr>
              <w:adjustRightInd w:val="0"/>
              <w:snapToGrid w:val="0"/>
              <w:spacing w:line="360" w:lineRule="auto"/>
              <w:ind w:firstLine="480" w:firstLineChars="200"/>
              <w:rPr>
                <w:rFonts w:hint="eastAsia" w:ascii="Times New Roman" w:hAnsi="Times New Roman" w:eastAsia="宋体" w:cs="Times New Roman"/>
                <w:bCs/>
                <w:color w:val="auto"/>
                <w:kern w:val="21"/>
                <w:sz w:val="24"/>
                <w:u w:val="none" w:color="auto"/>
                <w:lang w:eastAsia="zh-CN"/>
              </w:rPr>
            </w:pPr>
            <w:r>
              <w:rPr>
                <w:rFonts w:hint="eastAsia" w:ascii="Times New Roman" w:hAnsi="Times New Roman" w:eastAsia="宋体" w:cs="Times New Roman"/>
                <w:bCs/>
                <w:color w:val="auto"/>
                <w:kern w:val="21"/>
                <w:sz w:val="24"/>
                <w:u w:val="none" w:color="auto"/>
                <w:lang w:val="en-US" w:eastAsia="zh-CN"/>
              </w:rPr>
              <w:t>B.</w:t>
            </w:r>
            <w:r>
              <w:rPr>
                <w:rFonts w:hint="default" w:ascii="Times New Roman" w:hAnsi="Times New Roman" w:eastAsia="宋体" w:cs="Times New Roman"/>
                <w:bCs/>
                <w:color w:val="auto"/>
                <w:kern w:val="21"/>
                <w:sz w:val="24"/>
                <w:u w:val="none" w:color="auto"/>
              </w:rPr>
              <w:t>运输车辆要严密遮盖，以减少物料的散落；</w:t>
            </w:r>
            <w:r>
              <w:rPr>
                <w:rFonts w:hint="eastAsia" w:ascii="Times New Roman" w:hAnsi="Times New Roman" w:eastAsia="宋体" w:cs="Times New Roman"/>
                <w:bCs/>
                <w:color w:val="auto"/>
                <w:kern w:val="21"/>
                <w:sz w:val="24"/>
                <w:u w:val="none" w:color="auto"/>
                <w:lang w:eastAsia="zh-CN"/>
              </w:rPr>
              <w:t>污泥需采用专用密闭运输车辆进厂。</w:t>
            </w:r>
          </w:p>
          <w:p w14:paraId="6B056C30">
            <w:pPr>
              <w:adjustRightInd w:val="0"/>
              <w:snapToGrid w:val="0"/>
              <w:spacing w:line="360" w:lineRule="auto"/>
              <w:ind w:firstLine="480" w:firstLineChars="200"/>
              <w:rPr>
                <w:rFonts w:hint="default" w:ascii="Times New Roman" w:hAnsi="Times New Roman" w:eastAsia="宋体" w:cs="Times New Roman"/>
                <w:bCs/>
                <w:color w:val="auto"/>
                <w:kern w:val="21"/>
                <w:sz w:val="24"/>
                <w:u w:val="none" w:color="auto"/>
              </w:rPr>
            </w:pPr>
            <w:r>
              <w:rPr>
                <w:rFonts w:hint="eastAsia" w:ascii="Times New Roman" w:hAnsi="Times New Roman" w:eastAsia="宋体" w:cs="Times New Roman"/>
                <w:bCs/>
                <w:color w:val="auto"/>
                <w:kern w:val="21"/>
                <w:sz w:val="24"/>
                <w:u w:val="none" w:color="auto"/>
                <w:lang w:val="en-US" w:eastAsia="zh-CN"/>
              </w:rPr>
              <w:t>C.</w:t>
            </w:r>
            <w:r>
              <w:rPr>
                <w:rFonts w:hint="default" w:ascii="Times New Roman" w:hAnsi="Times New Roman" w:eastAsia="宋体" w:cs="Times New Roman"/>
                <w:bCs/>
                <w:color w:val="auto"/>
                <w:kern w:val="21"/>
                <w:sz w:val="24"/>
                <w:u w:val="none" w:color="auto"/>
              </w:rPr>
              <w:t>对原料进行洒水，保证原料的表面湿润，以减少原料中细小颗粒的扬起；</w:t>
            </w:r>
          </w:p>
          <w:p w14:paraId="21AD1B97">
            <w:pPr>
              <w:adjustRightInd w:val="0"/>
              <w:snapToGrid w:val="0"/>
              <w:spacing w:line="360" w:lineRule="auto"/>
              <w:ind w:firstLine="480" w:firstLineChars="200"/>
              <w:rPr>
                <w:rFonts w:hint="default" w:ascii="Times New Roman" w:hAnsi="Times New Roman" w:eastAsia="宋体" w:cs="Times New Roman"/>
                <w:bCs/>
                <w:color w:val="auto"/>
                <w:kern w:val="21"/>
                <w:sz w:val="24"/>
                <w:u w:val="none" w:color="auto"/>
              </w:rPr>
            </w:pPr>
            <w:r>
              <w:rPr>
                <w:rFonts w:hint="eastAsia" w:ascii="Times New Roman" w:hAnsi="Times New Roman" w:eastAsia="宋体" w:cs="Times New Roman"/>
                <w:bCs/>
                <w:color w:val="auto"/>
                <w:kern w:val="21"/>
                <w:sz w:val="24"/>
                <w:u w:val="none" w:color="auto"/>
                <w:lang w:val="en-US" w:eastAsia="zh-CN"/>
              </w:rPr>
              <w:t>D.</w:t>
            </w:r>
            <w:r>
              <w:rPr>
                <w:rFonts w:hint="default" w:ascii="Times New Roman" w:hAnsi="Times New Roman" w:eastAsia="宋体" w:cs="Times New Roman"/>
                <w:bCs/>
                <w:color w:val="auto"/>
                <w:kern w:val="21"/>
                <w:sz w:val="24"/>
                <w:u w:val="none" w:color="auto"/>
              </w:rPr>
              <w:t>物料运输单位应采用合格的车辆，运输途经敏感点应降低车速，禁止鸣笛，减少噪声对沿途居民的影响；</w:t>
            </w:r>
          </w:p>
          <w:p w14:paraId="66B41C90">
            <w:pPr>
              <w:adjustRightInd w:val="0"/>
              <w:snapToGrid w:val="0"/>
              <w:spacing w:line="360" w:lineRule="auto"/>
              <w:ind w:firstLine="480" w:firstLineChars="200"/>
              <w:rPr>
                <w:rFonts w:hint="default" w:ascii="Times New Roman" w:hAnsi="Times New Roman" w:eastAsia="宋体" w:cs="Times New Roman"/>
                <w:bCs/>
                <w:color w:val="auto"/>
                <w:kern w:val="21"/>
                <w:sz w:val="24"/>
                <w:u w:val="none" w:color="auto"/>
              </w:rPr>
            </w:pPr>
            <w:r>
              <w:rPr>
                <w:rFonts w:hint="eastAsia" w:ascii="Times New Roman" w:hAnsi="Times New Roman" w:eastAsia="宋体" w:cs="Times New Roman"/>
                <w:bCs/>
                <w:color w:val="auto"/>
                <w:kern w:val="21"/>
                <w:sz w:val="24"/>
                <w:u w:val="none" w:color="auto"/>
                <w:lang w:val="en-US" w:eastAsia="zh-CN"/>
              </w:rPr>
              <w:t>E.</w:t>
            </w:r>
            <w:r>
              <w:rPr>
                <w:rFonts w:hint="default" w:ascii="Times New Roman" w:hAnsi="Times New Roman" w:eastAsia="宋体" w:cs="Times New Roman"/>
                <w:bCs/>
                <w:color w:val="auto"/>
                <w:kern w:val="21"/>
                <w:sz w:val="24"/>
                <w:u w:val="none" w:color="auto"/>
              </w:rPr>
              <w:t>合理选择运输车辆的行驶路线，尽量绕开沿途居民点；</w:t>
            </w:r>
          </w:p>
          <w:p w14:paraId="6F6A80A9">
            <w:pPr>
              <w:autoSpaceDE w:val="0"/>
              <w:spacing w:line="360" w:lineRule="auto"/>
              <w:ind w:firstLine="480" w:firstLineChars="200"/>
              <w:rPr>
                <w:rFonts w:hint="default" w:ascii="Times New Roman" w:hAnsi="Times New Roman" w:cs="Times New Roman"/>
                <w:color w:val="auto"/>
                <w:sz w:val="24"/>
                <w:szCs w:val="24"/>
                <w:lang w:bidi="ar"/>
              </w:rPr>
            </w:pPr>
            <w:r>
              <w:rPr>
                <w:rFonts w:hint="eastAsia" w:ascii="Times New Roman" w:hAnsi="Times New Roman" w:eastAsia="宋体" w:cs="Times New Roman"/>
                <w:bCs/>
                <w:color w:val="auto"/>
                <w:kern w:val="21"/>
                <w:sz w:val="24"/>
                <w:u w:val="none" w:color="auto"/>
                <w:lang w:val="en-US" w:eastAsia="zh-CN"/>
              </w:rPr>
              <w:t>F.</w:t>
            </w:r>
            <w:r>
              <w:rPr>
                <w:rFonts w:hint="default" w:ascii="Times New Roman" w:hAnsi="Times New Roman" w:eastAsia="宋体" w:cs="Times New Roman"/>
                <w:bCs/>
                <w:color w:val="auto"/>
                <w:kern w:val="21"/>
                <w:sz w:val="24"/>
                <w:u w:val="none" w:color="auto"/>
              </w:rPr>
              <w:t>合理安排运输时间，尽量避开在夜间（22：00至次日凌晨6：00），午休（12：00至14：00）进行运输，尽量避开经过居民密集的路段，以防发生噪声扰民现象。</w:t>
            </w:r>
          </w:p>
          <w:p w14:paraId="196765EC">
            <w:pPr>
              <w:autoSpaceDE w:val="0"/>
              <w:spacing w:line="360" w:lineRule="auto"/>
              <w:ind w:firstLine="480" w:firstLineChars="200"/>
              <w:rPr>
                <w:rFonts w:hint="default" w:ascii="Times New Roman" w:hAnsi="Times New Roman" w:eastAsia="宋体" w:cs="Times New Roman"/>
                <w:bCs/>
                <w:color w:val="auto"/>
                <w:kern w:val="21"/>
                <w:sz w:val="24"/>
                <w:u w:val="none" w:color="auto"/>
              </w:rPr>
            </w:pPr>
            <w:r>
              <w:rPr>
                <w:rFonts w:hint="default" w:ascii="Times New Roman" w:hAnsi="Times New Roman" w:eastAsia="宋体" w:cs="Times New Roman"/>
                <w:bCs/>
                <w:color w:val="auto"/>
                <w:kern w:val="21"/>
                <w:sz w:val="24"/>
                <w:u w:val="none" w:color="auto"/>
              </w:rPr>
              <w:t>同时为进一步降低污泥贮存过程中产生的恶臭气体，环评要求：①污泥进厂后，应设置封闭的贮存间进行贮存；②应尽量避免污泥在厂区长期堆存，污泥贮存间必须采取地基防渗、防雨淋与冲刷等防止流失和二次污染措施。③定时喷洒除臭剂，从进厂至后续使用过程中多次喷洒，尽量降低恶臭气体的产生；④加强管理，对散落的污泥及时清理确保地面干净整洁；⑤加强厂区绿化。</w:t>
            </w:r>
          </w:p>
          <w:p w14:paraId="2CB39624">
            <w:pPr>
              <w:autoSpaceDE w:val="0"/>
              <w:spacing w:line="360" w:lineRule="auto"/>
              <w:ind w:firstLine="480" w:firstLineChars="200"/>
              <w:rPr>
                <w:b/>
                <w:bCs/>
                <w:kern w:val="0"/>
                <w:sz w:val="24"/>
              </w:rPr>
            </w:pPr>
            <w:r>
              <w:rPr>
                <w:rFonts w:hint="default" w:ascii="Times New Roman" w:hAnsi="Times New Roman" w:eastAsia="宋体" w:cs="Times New Roman"/>
                <w:bCs/>
                <w:color w:val="auto"/>
                <w:kern w:val="21"/>
                <w:sz w:val="24"/>
                <w:u w:val="none" w:color="auto"/>
              </w:rPr>
              <w:t>综上所述，本项目废气在采取各种环保措施后，均能够做到达标排放，对沿途居民及周边环境影响较小。</w:t>
            </w:r>
          </w:p>
          <w:p w14:paraId="77D61B58">
            <w:pPr>
              <w:adjustRightInd w:val="0"/>
              <w:snapToGrid w:val="0"/>
              <w:spacing w:line="360" w:lineRule="auto"/>
              <w:ind w:firstLine="482" w:firstLineChars="200"/>
              <w:rPr>
                <w:b/>
                <w:bCs/>
                <w:kern w:val="0"/>
                <w:sz w:val="24"/>
              </w:rPr>
            </w:pPr>
            <w:r>
              <w:rPr>
                <w:b/>
                <w:bCs/>
                <w:kern w:val="0"/>
                <w:sz w:val="24"/>
              </w:rPr>
              <w:t>非正常工况分析</w:t>
            </w:r>
          </w:p>
          <w:p w14:paraId="62AAB869">
            <w:pPr>
              <w:widowControl/>
              <w:adjustRightInd w:val="0"/>
              <w:snapToGrid w:val="0"/>
              <w:spacing w:line="360" w:lineRule="auto"/>
              <w:ind w:firstLine="480" w:firstLineChars="200"/>
              <w:jc w:val="left"/>
              <w:rPr>
                <w:sz w:val="24"/>
              </w:rPr>
            </w:pPr>
            <w:r>
              <w:rPr>
                <w:sz w:val="24"/>
              </w:rPr>
              <w:t>非正常工况是指生产运行阶段的检修、操作不正常或设备故障等引起的一般性事故排放。根据本项目的污染物特点及工程分析，</w:t>
            </w:r>
            <w:r>
              <w:rPr>
                <w:rFonts w:hint="eastAsia" w:ascii="宋体" w:hAnsi="宋体" w:cs="宋体"/>
                <w:kern w:val="0"/>
                <w:sz w:val="24"/>
                <w:lang w:bidi="ar"/>
              </w:rPr>
              <w:t>本项目非正常工况下分析污染源主要为：</w:t>
            </w:r>
            <w:r>
              <w:rPr>
                <w:rFonts w:ascii="宋体" w:hAnsi="宋体" w:eastAsia="宋体" w:cs="宋体"/>
                <w:sz w:val="24"/>
                <w:szCs w:val="24"/>
              </w:rPr>
              <w:t>投料输送废气、物料混合搅拌和下料废气、破碎松散</w:t>
            </w:r>
            <w:r>
              <w:rPr>
                <w:rFonts w:hint="eastAsia" w:ascii="宋体" w:hAnsi="宋体" w:cs="宋体"/>
                <w:kern w:val="0"/>
                <w:sz w:val="24"/>
                <w:lang w:bidi="ar"/>
              </w:rPr>
              <w:t>废气处理</w:t>
            </w:r>
            <w:r>
              <w:rPr>
                <w:rFonts w:hint="eastAsia"/>
                <w:kern w:val="0"/>
                <w:sz w:val="24"/>
                <w:lang w:bidi="ar"/>
              </w:rPr>
              <w:t>设施“</w:t>
            </w:r>
            <w:r>
              <w:rPr>
                <w:rFonts w:hint="eastAsia"/>
                <w:sz w:val="24"/>
                <w:lang w:eastAsia="zh-CN"/>
              </w:rPr>
              <w:t>脉冲布袋除尘器</w:t>
            </w:r>
            <w:r>
              <w:rPr>
                <w:rFonts w:hint="eastAsia"/>
                <w:kern w:val="0"/>
                <w:sz w:val="24"/>
                <w:lang w:bidi="ar"/>
              </w:rPr>
              <w:t>”发生故障，</w:t>
            </w:r>
            <w:r>
              <w:rPr>
                <w:kern w:val="0"/>
                <w:sz w:val="24"/>
                <w:lang w:bidi="ar"/>
              </w:rPr>
              <w:t>引起的</w:t>
            </w:r>
            <w:r>
              <w:rPr>
                <w:rFonts w:hint="eastAsia"/>
                <w:kern w:val="0"/>
                <w:sz w:val="24"/>
                <w:lang w:eastAsia="zh-CN" w:bidi="ar"/>
              </w:rPr>
              <w:t>颗粒物</w:t>
            </w:r>
            <w:r>
              <w:rPr>
                <w:rFonts w:hint="eastAsia"/>
                <w:kern w:val="0"/>
                <w:sz w:val="24"/>
                <w:lang w:bidi="ar"/>
              </w:rPr>
              <w:t>烃</w:t>
            </w:r>
            <w:r>
              <w:rPr>
                <w:kern w:val="0"/>
                <w:sz w:val="24"/>
                <w:lang w:bidi="ar"/>
              </w:rPr>
              <w:t>事故排放</w:t>
            </w:r>
            <w:r>
              <w:rPr>
                <w:rFonts w:hint="eastAsia"/>
                <w:kern w:val="0"/>
                <w:sz w:val="24"/>
                <w:lang w:bidi="ar"/>
              </w:rPr>
              <w:t>，</w:t>
            </w:r>
            <w:r>
              <w:rPr>
                <w:kern w:val="0"/>
                <w:sz w:val="24"/>
                <w:lang w:bidi="ar"/>
              </w:rPr>
              <w:t>以</w:t>
            </w:r>
            <w:r>
              <w:rPr>
                <w:rFonts w:hint="eastAsia"/>
                <w:kern w:val="0"/>
                <w:sz w:val="24"/>
                <w:lang w:bidi="ar"/>
              </w:rPr>
              <w:t>DA00</w:t>
            </w:r>
            <w:r>
              <w:rPr>
                <w:rFonts w:hint="eastAsia"/>
                <w:kern w:val="0"/>
                <w:sz w:val="24"/>
                <w:lang w:val="en-US" w:eastAsia="zh-CN" w:bidi="ar"/>
              </w:rPr>
              <w:t>3</w:t>
            </w:r>
            <w:r>
              <w:rPr>
                <w:kern w:val="0"/>
                <w:sz w:val="24"/>
                <w:lang w:bidi="ar"/>
              </w:rPr>
              <w:t>排气筒非正常工况按去除率下降至</w:t>
            </w:r>
            <w:r>
              <w:rPr>
                <w:rFonts w:hint="eastAsia"/>
                <w:kern w:val="0"/>
                <w:sz w:val="24"/>
                <w:lang w:bidi="ar"/>
              </w:rPr>
              <w:t>0</w:t>
            </w:r>
            <w:r>
              <w:rPr>
                <w:kern w:val="0"/>
                <w:sz w:val="24"/>
                <w:lang w:bidi="ar"/>
              </w:rPr>
              <w:t>考虑</w:t>
            </w:r>
            <w:r>
              <w:rPr>
                <w:rFonts w:hint="eastAsia"/>
                <w:kern w:val="0"/>
                <w:sz w:val="24"/>
                <w:lang w:bidi="ar"/>
              </w:rPr>
              <w:t>。</w:t>
            </w:r>
            <w:r>
              <w:rPr>
                <w:kern w:val="0"/>
                <w:sz w:val="24"/>
                <w:lang w:bidi="ar"/>
              </w:rPr>
              <w:t>事故持续时间在</w:t>
            </w:r>
            <w:r>
              <w:rPr>
                <w:rFonts w:hint="eastAsia"/>
                <w:kern w:val="0"/>
                <w:sz w:val="24"/>
                <w:lang w:bidi="ar"/>
              </w:rPr>
              <w:t>0.5</w:t>
            </w:r>
            <w:r>
              <w:rPr>
                <w:kern w:val="0"/>
                <w:sz w:val="24"/>
                <w:lang w:bidi="ar"/>
              </w:rPr>
              <w:t>小时之内，非正常工况条件下废气排放源强及排放情况见下表</w:t>
            </w:r>
            <w:r>
              <w:rPr>
                <w:sz w:val="24"/>
              </w:rPr>
              <w:t>：</w:t>
            </w:r>
          </w:p>
          <w:p w14:paraId="6CC47513">
            <w:pPr>
              <w:pStyle w:val="24"/>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val="0"/>
                <w:color w:val="auto"/>
                <w:kern w:val="0"/>
                <w:sz w:val="24"/>
                <w:szCs w:val="24"/>
                <w:highlight w:val="none"/>
              </w:rPr>
            </w:pPr>
            <w:r>
              <w:rPr>
                <w:rFonts w:hint="eastAsia" w:ascii="Times New Roman" w:hAnsi="Times New Roman" w:eastAsia="宋体" w:cs="宋体"/>
                <w:b/>
                <w:bCs w:val="0"/>
                <w:color w:val="auto"/>
                <w:kern w:val="0"/>
                <w:sz w:val="24"/>
                <w:szCs w:val="24"/>
                <w:highlight w:val="none"/>
                <w:lang w:val="en-US" w:eastAsia="zh-CN" w:bidi="ar"/>
              </w:rPr>
              <w:t>表</w:t>
            </w:r>
            <w:r>
              <w:rPr>
                <w:rFonts w:hint="eastAsia" w:ascii="Times New Roman" w:hAnsi="Times New Roman" w:eastAsia="宋体" w:cs="Times New Roman"/>
                <w:b/>
                <w:bCs w:val="0"/>
                <w:color w:val="auto"/>
                <w:kern w:val="0"/>
                <w:sz w:val="24"/>
                <w:szCs w:val="24"/>
                <w:highlight w:val="none"/>
                <w:lang w:val="en-US" w:eastAsia="zh-CN" w:bidi="ar"/>
              </w:rPr>
              <w:t>4</w:t>
            </w:r>
            <w:r>
              <w:rPr>
                <w:rFonts w:hint="default" w:ascii="Times New Roman" w:hAnsi="Times New Roman" w:eastAsia="宋体" w:cs="Times New Roman"/>
                <w:b/>
                <w:bCs w:val="0"/>
                <w:color w:val="auto"/>
                <w:kern w:val="0"/>
                <w:sz w:val="24"/>
                <w:szCs w:val="24"/>
                <w:highlight w:val="none"/>
                <w:lang w:val="en-US" w:eastAsia="zh-CN" w:bidi="ar"/>
              </w:rPr>
              <w:t>-</w:t>
            </w:r>
            <w:r>
              <w:rPr>
                <w:rFonts w:hint="eastAsia" w:ascii="Times New Roman" w:hAnsi="Times New Roman" w:cs="Times New Roman"/>
                <w:b/>
                <w:bCs w:val="0"/>
                <w:color w:val="auto"/>
                <w:kern w:val="0"/>
                <w:sz w:val="24"/>
                <w:szCs w:val="24"/>
                <w:highlight w:val="none"/>
                <w:lang w:val="en-US" w:eastAsia="zh-CN" w:bidi="ar"/>
              </w:rPr>
              <w:t>3</w:t>
            </w:r>
            <w:r>
              <w:rPr>
                <w:rFonts w:hint="eastAsia" w:ascii="Times New Roman" w:hAnsi="Times New Roman" w:eastAsia="宋体" w:cs="Times New Roman"/>
                <w:b/>
                <w:bCs w:val="0"/>
                <w:color w:val="auto"/>
                <w:kern w:val="0"/>
                <w:sz w:val="24"/>
                <w:szCs w:val="24"/>
                <w:highlight w:val="none"/>
                <w:lang w:val="en-US" w:eastAsia="zh-CN" w:bidi="ar"/>
              </w:rPr>
              <w:t>非正常工况下</w:t>
            </w:r>
            <w:r>
              <w:rPr>
                <w:rFonts w:hint="eastAsia" w:ascii="Times New Roman" w:hAnsi="Times New Roman" w:eastAsia="宋体" w:cs="宋体"/>
                <w:b/>
                <w:bCs w:val="0"/>
                <w:color w:val="auto"/>
                <w:kern w:val="0"/>
                <w:sz w:val="24"/>
                <w:szCs w:val="24"/>
                <w:highlight w:val="none"/>
                <w:lang w:val="en-US" w:eastAsia="zh-CN" w:bidi="ar"/>
              </w:rPr>
              <w:t>污染物排放情况表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5"/>
              <w:gridCol w:w="1448"/>
              <w:gridCol w:w="715"/>
              <w:gridCol w:w="613"/>
              <w:gridCol w:w="1032"/>
              <w:gridCol w:w="888"/>
              <w:gridCol w:w="644"/>
              <w:gridCol w:w="1180"/>
            </w:tblGrid>
            <w:tr w14:paraId="7330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Align w:val="center"/>
                </w:tcPr>
                <w:p w14:paraId="234451EC">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31" w:type="pct"/>
                  <w:vAlign w:val="center"/>
                </w:tcPr>
                <w:p w14:paraId="6C04C182">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927" w:type="pct"/>
                  <w:vAlign w:val="center"/>
                </w:tcPr>
                <w:p w14:paraId="3106450B">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非正常排放原因</w:t>
                  </w:r>
                </w:p>
              </w:tc>
              <w:tc>
                <w:tcPr>
                  <w:tcW w:w="458" w:type="pct"/>
                  <w:vAlign w:val="center"/>
                </w:tcPr>
                <w:p w14:paraId="5172EC5D">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393" w:type="pct"/>
                  <w:vAlign w:val="center"/>
                </w:tcPr>
                <w:p w14:paraId="430A3BCE">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频次</w:t>
                  </w:r>
                </w:p>
              </w:tc>
              <w:tc>
                <w:tcPr>
                  <w:tcW w:w="660" w:type="pct"/>
                  <w:vAlign w:val="center"/>
                </w:tcPr>
                <w:p w14:paraId="70C3A8F5">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c>
                <w:tcPr>
                  <w:tcW w:w="568" w:type="pct"/>
                  <w:vAlign w:val="center"/>
                </w:tcPr>
                <w:p w14:paraId="52CE85AC">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排放浓度mg/m</w:t>
                  </w:r>
                  <w:r>
                    <w:rPr>
                      <w:rFonts w:hint="default" w:ascii="Times New Roman" w:hAnsi="Times New Roman" w:eastAsia="宋体" w:cs="Times New Roman"/>
                      <w:color w:val="auto"/>
                      <w:sz w:val="21"/>
                      <w:szCs w:val="21"/>
                      <w:highlight w:val="none"/>
                      <w:vertAlign w:val="superscript"/>
                    </w:rPr>
                    <w:t>3</w:t>
                  </w:r>
                </w:p>
              </w:tc>
              <w:tc>
                <w:tcPr>
                  <w:tcW w:w="412" w:type="pct"/>
                  <w:vAlign w:val="center"/>
                </w:tcPr>
                <w:p w14:paraId="5D85F12B">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持续时间/h</w:t>
                  </w:r>
                </w:p>
              </w:tc>
              <w:tc>
                <w:tcPr>
                  <w:tcW w:w="755" w:type="pct"/>
                  <w:vAlign w:val="center"/>
                </w:tcPr>
                <w:p w14:paraId="0DC47247">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w:t>
                  </w:r>
                </w:p>
              </w:tc>
            </w:tr>
            <w:tr w14:paraId="41B7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2" w:type="pct"/>
                  <w:vAlign w:val="center"/>
                </w:tcPr>
                <w:p w14:paraId="374F99B2">
                  <w:pPr>
                    <w:adjustRightInd w:val="0"/>
                    <w:snapToGrid w:val="0"/>
                    <w:spacing w:before="48" w:beforeLines="20"/>
                    <w:jc w:val="center"/>
                    <w:outlineLvl w:val="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531" w:type="pct"/>
                  <w:vAlign w:val="center"/>
                </w:tcPr>
                <w:p w14:paraId="76BAD07D">
                  <w:pPr>
                    <w:adjustRightInd w:val="0"/>
                    <w:snapToGrid w:val="0"/>
                    <w:spacing w:before="48" w:beforeLines="20"/>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DA003</w:t>
                  </w:r>
                </w:p>
              </w:tc>
              <w:tc>
                <w:tcPr>
                  <w:tcW w:w="927" w:type="pct"/>
                  <w:vAlign w:val="center"/>
                </w:tcPr>
                <w:p w14:paraId="29C4BD36">
                  <w:pPr>
                    <w:adjustRightInd w:val="0"/>
                    <w:snapToGrid w:val="0"/>
                    <w:spacing w:before="48" w:beforeLines="20"/>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颗粒物的处理设施“</w:t>
                  </w:r>
                  <w:r>
                    <w:rPr>
                      <w:rFonts w:hint="eastAsia" w:cs="Times New Roman"/>
                      <w:color w:val="auto"/>
                      <w:sz w:val="21"/>
                      <w:szCs w:val="21"/>
                      <w:highlight w:val="none"/>
                      <w:lang w:val="en-US" w:eastAsia="zh-CN"/>
                    </w:rPr>
                    <w:t>脉冲</w:t>
                  </w:r>
                  <w:r>
                    <w:rPr>
                      <w:rFonts w:hint="default" w:ascii="Times New Roman" w:hAnsi="Times New Roman" w:eastAsia="宋体" w:cs="Times New Roman"/>
                      <w:color w:val="auto"/>
                      <w:sz w:val="21"/>
                      <w:szCs w:val="21"/>
                      <w:highlight w:val="none"/>
                      <w:lang w:val="en-US" w:eastAsia="zh-CN"/>
                    </w:rPr>
                    <w:t>布袋除尘器”处理效率下降或</w:t>
                  </w:r>
                  <w:r>
                    <w:rPr>
                      <w:rFonts w:hint="default" w:ascii="Times New Roman" w:hAnsi="Times New Roman" w:eastAsia="宋体" w:cs="Times New Roman"/>
                      <w:color w:val="auto"/>
                      <w:sz w:val="21"/>
                      <w:szCs w:val="21"/>
                      <w:highlight w:val="none"/>
                      <w:lang w:eastAsia="zh-CN"/>
                    </w:rPr>
                    <w:t>故障</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处理效率为0</w:t>
                  </w:r>
                </w:p>
              </w:tc>
              <w:tc>
                <w:tcPr>
                  <w:tcW w:w="458" w:type="pct"/>
                  <w:vAlign w:val="center"/>
                </w:tcPr>
                <w:p w14:paraId="65ACE051">
                  <w:pPr>
                    <w:adjustRightInd w:val="0"/>
                    <w:snapToGrid w:val="0"/>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93" w:type="pct"/>
                  <w:vAlign w:val="center"/>
                </w:tcPr>
                <w:p w14:paraId="791483BD">
                  <w:pPr>
                    <w:adjustRightInd w:val="0"/>
                    <w:snapToGrid w:val="0"/>
                    <w:spacing w:before="48" w:beforeLines="20"/>
                    <w:jc w:val="center"/>
                    <w:outlineLvl w:val="0"/>
                    <w:rPr>
                      <w:rFonts w:hint="default" w:ascii="Times New Roman" w:hAnsi="Times New Roman" w:eastAsia="宋体" w:cs="Times New Roman"/>
                      <w:color w:val="0000FF"/>
                      <w:sz w:val="21"/>
                      <w:szCs w:val="21"/>
                      <w:highlight w:val="none"/>
                    </w:rPr>
                  </w:pPr>
                  <w:r>
                    <w:rPr>
                      <w:rFonts w:hint="default" w:ascii="Times New Roman" w:hAnsi="Times New Roman" w:eastAsia="宋体" w:cs="Times New Roman"/>
                      <w:color w:val="auto"/>
                      <w:sz w:val="21"/>
                      <w:szCs w:val="21"/>
                      <w:highlight w:val="none"/>
                    </w:rPr>
                    <w:t>1~2次/年</w:t>
                  </w:r>
                </w:p>
              </w:tc>
              <w:tc>
                <w:tcPr>
                  <w:tcW w:w="660" w:type="pct"/>
                  <w:vAlign w:val="center"/>
                </w:tcPr>
                <w:p w14:paraId="3A715DF9">
                  <w:pPr>
                    <w:autoSpaceDE w:val="0"/>
                    <w:autoSpaceDN w:val="0"/>
                    <w:adjustRightInd w:val="0"/>
                    <w:snapToGrid w:val="0"/>
                    <w:spacing w:before="48" w:beforeLines="2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568" w:type="pct"/>
                  <w:vAlign w:val="center"/>
                </w:tcPr>
                <w:p w14:paraId="417B1995">
                  <w:pPr>
                    <w:adjustRightInd w:val="0"/>
                    <w:snapToGrid w:val="0"/>
                    <w:spacing w:before="48" w:beforeLines="2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531</w:t>
                  </w:r>
                </w:p>
              </w:tc>
              <w:tc>
                <w:tcPr>
                  <w:tcW w:w="412" w:type="pct"/>
                  <w:vAlign w:val="center"/>
                </w:tcPr>
                <w:p w14:paraId="206360F7">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755" w:type="pct"/>
                  <w:vAlign w:val="center"/>
                </w:tcPr>
                <w:p w14:paraId="00DF4FAD">
                  <w:pPr>
                    <w:adjustRightInd w:val="0"/>
                    <w:snapToGrid w:val="0"/>
                    <w:spacing w:before="48" w:beforeLines="20"/>
                    <w:jc w:val="center"/>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立即停止生产进行检修，直至废气治理设施正常运行。并定期对废气处理装置维护、维修、保养。</w:t>
                  </w:r>
                </w:p>
              </w:tc>
            </w:tr>
          </w:tbl>
          <w:p w14:paraId="2AAF3220">
            <w:pPr>
              <w:pStyle w:val="69"/>
              <w:keepNext w:val="0"/>
              <w:keepLines w:val="0"/>
              <w:pageBreakBefore w:val="0"/>
              <w:kinsoku/>
              <w:wordWrap/>
              <w:overflowPunct/>
              <w:topLinePunct w:val="0"/>
              <w:autoSpaceDN/>
              <w:bidi w:val="0"/>
              <w:adjustRightInd/>
              <w:snapToGrid/>
              <w:ind w:firstLine="480"/>
              <w:textAlignment w:val="auto"/>
              <w:rPr>
                <w:rFonts w:hint="eastAsia" w:ascii="Times New Roman" w:hAnsi="Times New Roman"/>
                <w:b w:val="0"/>
                <w:bCs/>
                <w:color w:val="auto"/>
                <w:sz w:val="24"/>
                <w:szCs w:val="24"/>
                <w:lang w:eastAsia="zh-CN"/>
              </w:rPr>
            </w:pPr>
            <w:r>
              <w:rPr>
                <w:rFonts w:hint="eastAsia"/>
                <w:b w:val="0"/>
                <w:bCs/>
                <w:color w:val="auto"/>
                <w:sz w:val="24"/>
                <w:szCs w:val="24"/>
                <w:lang w:eastAsia="zh-CN"/>
              </w:rPr>
              <w:t>由上表可知，</w:t>
            </w:r>
            <w:r>
              <w:rPr>
                <w:rFonts w:hint="eastAsia" w:ascii="Times New Roman" w:hAnsi="Times New Roman"/>
                <w:b w:val="0"/>
                <w:bCs/>
                <w:color w:val="auto"/>
                <w:sz w:val="24"/>
                <w:szCs w:val="24"/>
                <w:lang w:eastAsia="zh-CN"/>
              </w:rPr>
              <w:t>非正常工况下，各废气污染源均超标排放那个</w:t>
            </w:r>
            <w:r>
              <w:rPr>
                <w:rFonts w:hint="eastAsia"/>
                <w:b w:val="0"/>
                <w:bCs/>
                <w:color w:val="auto"/>
                <w:sz w:val="24"/>
                <w:szCs w:val="24"/>
                <w:lang w:eastAsia="zh-CN"/>
              </w:rPr>
              <w:t>，对周边大气环境影响较大</w:t>
            </w:r>
            <w:r>
              <w:rPr>
                <w:rFonts w:hint="eastAsia" w:ascii="Times New Roman" w:hAnsi="Times New Roman"/>
                <w:b w:val="0"/>
                <w:bCs/>
                <w:color w:val="auto"/>
                <w:sz w:val="24"/>
                <w:szCs w:val="24"/>
                <w:lang w:eastAsia="zh-CN"/>
              </w:rPr>
              <w:t>。</w:t>
            </w:r>
          </w:p>
          <w:p w14:paraId="4E8E9D6B">
            <w:pPr>
              <w:pStyle w:val="69"/>
              <w:keepNext w:val="0"/>
              <w:keepLines w:val="0"/>
              <w:pageBreakBefore w:val="0"/>
              <w:kinsoku/>
              <w:wordWrap/>
              <w:overflowPunct/>
              <w:topLinePunct w:val="0"/>
              <w:autoSpaceDN/>
              <w:bidi w:val="0"/>
              <w:adjustRightInd/>
              <w:snapToGrid/>
              <w:ind w:firstLine="480"/>
              <w:textAlignment w:val="auto"/>
              <w:rPr>
                <w:rFonts w:hint="eastAsia" w:ascii="Times New Roman" w:hAnsi="Times New Roman"/>
                <w:b w:val="0"/>
                <w:bCs/>
                <w:color w:val="auto"/>
                <w:sz w:val="24"/>
                <w:szCs w:val="24"/>
                <w:lang w:eastAsia="zh-CN"/>
              </w:rPr>
            </w:pPr>
            <w:r>
              <w:rPr>
                <w:rFonts w:hint="eastAsia" w:ascii="Times New Roman" w:hAnsi="Times New Roman"/>
                <w:b w:val="0"/>
                <w:bCs/>
                <w:color w:val="auto"/>
                <w:sz w:val="24"/>
                <w:szCs w:val="24"/>
                <w:lang w:eastAsia="zh-CN"/>
              </w:rPr>
              <w:t>建设单位应加强环保设备的运行管理，严格控制废气非正常排放，并采取以下措施：</w:t>
            </w:r>
          </w:p>
          <w:p w14:paraId="4DE1F063">
            <w:pPr>
              <w:pStyle w:val="69"/>
              <w:keepNext w:val="0"/>
              <w:keepLines w:val="0"/>
              <w:pageBreakBefore w:val="0"/>
              <w:kinsoku/>
              <w:wordWrap/>
              <w:overflowPunct/>
              <w:topLinePunct w:val="0"/>
              <w:autoSpaceDN/>
              <w:bidi w:val="0"/>
              <w:adjustRightInd/>
              <w:snapToGrid/>
              <w:ind w:firstLine="482"/>
              <w:textAlignment w:val="auto"/>
              <w:rPr>
                <w:rFonts w:hint="eastAsia" w:ascii="Times New Roman" w:hAnsi="Times New Roman"/>
                <w:b w:val="0"/>
                <w:bCs/>
                <w:color w:val="auto"/>
                <w:sz w:val="24"/>
                <w:szCs w:val="24"/>
                <w:lang w:eastAsia="zh-CN"/>
              </w:rPr>
            </w:pPr>
            <w:r>
              <w:rPr>
                <w:rFonts w:hint="eastAsia" w:ascii="Times New Roman" w:hAnsi="Times New Roman"/>
                <w:b w:val="0"/>
                <w:bCs/>
                <w:color w:val="auto"/>
                <w:sz w:val="24"/>
                <w:szCs w:val="24"/>
                <w:lang w:eastAsia="zh-CN"/>
              </w:rPr>
              <w:t>①制定环保设备例行检查制度，加强定期维护保养，发现风机故障、损坏或排风管道破损时，应立即对设备或管道进行维修。</w:t>
            </w:r>
          </w:p>
          <w:p w14:paraId="41021D45">
            <w:pPr>
              <w:pStyle w:val="69"/>
              <w:keepNext w:val="0"/>
              <w:keepLines w:val="0"/>
              <w:pageBreakBefore w:val="0"/>
              <w:kinsoku/>
              <w:wordWrap/>
              <w:overflowPunct/>
              <w:topLinePunct w:val="0"/>
              <w:autoSpaceDN/>
              <w:bidi w:val="0"/>
              <w:adjustRightInd/>
              <w:snapToGrid/>
              <w:ind w:firstLine="482"/>
              <w:textAlignment w:val="auto"/>
              <w:rPr>
                <w:rFonts w:hint="eastAsia" w:ascii="Times New Roman" w:hAnsi="Times New Roman"/>
                <w:b w:val="0"/>
                <w:bCs/>
                <w:color w:val="auto"/>
                <w:sz w:val="24"/>
                <w:szCs w:val="24"/>
                <w:lang w:eastAsia="zh-CN"/>
              </w:rPr>
            </w:pPr>
            <w:r>
              <w:rPr>
                <w:rFonts w:hint="eastAsia" w:ascii="Times New Roman" w:hAnsi="Times New Roman"/>
                <w:b w:val="0"/>
                <w:bCs/>
                <w:color w:val="auto"/>
                <w:sz w:val="24"/>
                <w:szCs w:val="24"/>
                <w:lang w:eastAsia="zh-CN"/>
              </w:rPr>
              <w:t>②定期检修废气治理设施，</w:t>
            </w:r>
            <w:r>
              <w:rPr>
                <w:rFonts w:hint="eastAsia" w:ascii="Times New Roman" w:hAnsi="Times New Roman" w:eastAsia="宋体" w:cs="Times New Roman"/>
                <w:bCs/>
                <w:color w:val="auto"/>
                <w:sz w:val="24"/>
                <w:szCs w:val="24"/>
              </w:rPr>
              <w:t>对</w:t>
            </w:r>
            <w:r>
              <w:rPr>
                <w:rFonts w:hint="eastAsia" w:ascii="Times New Roman" w:hAnsi="Times New Roman" w:eastAsia="宋体" w:cs="Times New Roman"/>
                <w:bCs/>
                <w:color w:val="auto"/>
                <w:sz w:val="24"/>
                <w:szCs w:val="24"/>
                <w:lang w:eastAsia="zh-CN"/>
              </w:rPr>
              <w:t>布袋</w:t>
            </w:r>
            <w:r>
              <w:rPr>
                <w:rFonts w:hint="eastAsia" w:ascii="Times New Roman" w:hAnsi="Times New Roman" w:eastAsia="宋体" w:cs="Times New Roman"/>
                <w:bCs/>
                <w:color w:val="auto"/>
                <w:sz w:val="24"/>
                <w:szCs w:val="24"/>
              </w:rPr>
              <w:t>进行更换，</w:t>
            </w:r>
            <w:r>
              <w:rPr>
                <w:rFonts w:hint="eastAsia" w:ascii="Times New Roman" w:hAnsi="Times New Roman"/>
                <w:b w:val="0"/>
                <w:bCs/>
                <w:color w:val="auto"/>
                <w:sz w:val="24"/>
                <w:szCs w:val="24"/>
                <w:lang w:eastAsia="zh-CN"/>
              </w:rPr>
              <w:t>确保</w:t>
            </w:r>
            <w:r>
              <w:rPr>
                <w:rFonts w:hint="eastAsia"/>
                <w:b w:val="0"/>
                <w:bCs/>
                <w:color w:val="auto"/>
                <w:sz w:val="24"/>
                <w:szCs w:val="24"/>
                <w:lang w:eastAsia="zh-CN"/>
              </w:rPr>
              <w:t>废气治理设施的正常运行</w:t>
            </w:r>
            <w:r>
              <w:rPr>
                <w:rFonts w:hint="eastAsia" w:ascii="Times New Roman" w:hAnsi="Times New Roman"/>
                <w:b w:val="0"/>
                <w:bCs/>
                <w:color w:val="auto"/>
                <w:sz w:val="24"/>
                <w:szCs w:val="24"/>
                <w:lang w:eastAsia="zh-CN"/>
              </w:rPr>
              <w:t>。</w:t>
            </w:r>
          </w:p>
          <w:p w14:paraId="5AB0F171">
            <w:pPr>
              <w:keepNext w:val="0"/>
              <w:keepLines w:val="0"/>
              <w:pageBreakBefore w:val="0"/>
              <w:kinsoku/>
              <w:wordWrap/>
              <w:overflowPunct/>
              <w:topLinePunct w:val="0"/>
              <w:autoSpaceDE w:val="0"/>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b w:val="0"/>
                <w:bCs/>
                <w:color w:val="auto"/>
                <w:sz w:val="24"/>
                <w:szCs w:val="24"/>
                <w:lang w:eastAsia="zh-CN"/>
              </w:rPr>
              <w:t>③设环保管理专员，对环保管理人员及技术人员进行岗位培训，委托具有专业资质的环境检测单位对项目排放的各类废气污染物进行定期监测。</w:t>
            </w:r>
          </w:p>
          <w:p w14:paraId="07B8347A">
            <w:pPr>
              <w:pStyle w:val="2"/>
              <w:adjustRightInd w:val="0"/>
              <w:snapToGrid w:val="0"/>
              <w:spacing w:after="0" w:line="360" w:lineRule="auto"/>
              <w:ind w:left="0" w:leftChars="0" w:firstLine="482" w:firstLineChars="200"/>
              <w:rPr>
                <w:color w:val="auto"/>
                <w:szCs w:val="24"/>
              </w:rPr>
            </w:pPr>
            <w:r>
              <w:rPr>
                <w:b/>
                <w:bCs/>
                <w:color w:val="auto"/>
                <w:szCs w:val="24"/>
              </w:rPr>
              <w:t>废气影响分析</w:t>
            </w:r>
          </w:p>
          <w:p w14:paraId="44D08EE3">
            <w:pPr>
              <w:pStyle w:val="3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color w:val="FF0000"/>
                <w:szCs w:val="24"/>
              </w:rPr>
            </w:pPr>
            <w:r>
              <w:rPr>
                <w:szCs w:val="24"/>
              </w:rPr>
              <w:t>项目位于</w:t>
            </w:r>
            <w:r>
              <w:rPr>
                <w:color w:val="000000" w:themeColor="text1"/>
                <w14:textFill>
                  <w14:solidFill>
                    <w14:schemeClr w14:val="tx1"/>
                  </w14:solidFill>
                </w14:textFill>
              </w:rPr>
              <w:t>安徽省宿州市埇桥区桃园镇浍光村</w:t>
            </w:r>
            <w:r>
              <w:rPr>
                <w:rFonts w:hint="eastAsia"/>
                <w:szCs w:val="24"/>
              </w:rPr>
              <w:t>，</w:t>
            </w:r>
            <w:r>
              <w:rPr>
                <w:rFonts w:hint="default" w:ascii="Times New Roman" w:hAnsi="Times New Roman" w:eastAsia="宋体" w:cs="Times New Roman"/>
                <w:color w:val="auto"/>
                <w:kern w:val="2"/>
                <w:sz w:val="24"/>
                <w:szCs w:val="24"/>
                <w:lang w:val="en-US" w:eastAsia="zh-CN" w:bidi="ar-SA"/>
              </w:rPr>
              <w:t>根据《宿州市2023年环境质量报告》，PM</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lang w:val="en-US" w:eastAsia="zh-CN"/>
              </w:rPr>
              <w:t>O</w:t>
            </w:r>
            <w:r>
              <w:rPr>
                <w:rFonts w:hint="default" w:ascii="Times New Roman" w:hAnsi="Times New Roman" w:eastAsia="宋体" w:cs="Times New Roman"/>
                <w:color w:val="auto"/>
                <w:sz w:val="24"/>
                <w:vertAlign w:val="subscript"/>
                <w:lang w:val="en-US" w:eastAsia="zh-CN"/>
              </w:rPr>
              <w:t>3</w:t>
            </w:r>
            <w:r>
              <w:rPr>
                <w:rFonts w:hint="default" w:ascii="Times New Roman" w:hAnsi="Times New Roman" w:eastAsia="宋体" w:cs="Times New Roman"/>
                <w:color w:val="auto"/>
                <w:kern w:val="2"/>
                <w:sz w:val="24"/>
                <w:szCs w:val="24"/>
                <w:lang w:val="en-US" w:eastAsia="zh-CN" w:bidi="ar-SA"/>
              </w:rPr>
              <w:t>超过《环境空气质量标准》（GB3095-2012）中二级标准限值，</w:t>
            </w:r>
            <w:r>
              <w:rPr>
                <w:rFonts w:hint="default" w:ascii="Times New Roman" w:hAnsi="Times New Roman" w:eastAsia="宋体" w:cs="Times New Roman"/>
                <w:color w:val="auto"/>
                <w:kern w:val="2"/>
                <w:sz w:val="24"/>
                <w:szCs w:val="24"/>
                <w:highlight w:val="none"/>
                <w:lang w:val="en-US" w:eastAsia="zh-CN" w:bidi="ar-SA"/>
              </w:rPr>
              <w:t>因此，项目所在区域为环境空气质量不达标区。</w:t>
            </w:r>
          </w:p>
          <w:p w14:paraId="0CDC2659">
            <w:pPr>
              <w:autoSpaceDE w:val="0"/>
              <w:autoSpaceDN w:val="0"/>
              <w:adjustRightInd w:val="0"/>
              <w:snapToGrid w:val="0"/>
              <w:spacing w:line="360" w:lineRule="auto"/>
              <w:ind w:firstLine="480" w:firstLineChars="200"/>
              <w:rPr>
                <w:rFonts w:hint="eastAsia"/>
                <w:color w:val="auto"/>
                <w:sz w:val="24"/>
                <w:szCs w:val="24"/>
              </w:rPr>
            </w:pPr>
            <w:r>
              <w:rPr>
                <w:rFonts w:hint="eastAsia"/>
                <w:color w:val="auto"/>
                <w:sz w:val="24"/>
                <w:szCs w:val="24"/>
              </w:rPr>
              <w:t>本项目涉及主要大气污染物为生产过程中废气主要有</w:t>
            </w:r>
            <w:r>
              <w:rPr>
                <w:rFonts w:ascii="宋体" w:hAnsi="宋体" w:eastAsia="宋体" w:cs="宋体"/>
                <w:sz w:val="24"/>
                <w:szCs w:val="24"/>
              </w:rPr>
              <w:t>生产过程中废气主要有原料装卸废气、投料输送废气、物料混合搅拌和下料废气、破碎松散废气、污泥贮存废气、运输扬尘。本次评价要求；物料混合搅拌和下料废气、破碎松散废气均采用集气罩收集后汇入脉冲除尘器处理尾气通过15m高排气筒（DA00</w:t>
            </w:r>
            <w:r>
              <w:rPr>
                <w:rFonts w:hint="eastAsia" w:ascii="宋体" w:hAnsi="宋体" w:cs="宋体"/>
                <w:sz w:val="24"/>
                <w:szCs w:val="24"/>
                <w:lang w:val="en-US" w:eastAsia="zh-CN"/>
              </w:rPr>
              <w:t>3</w:t>
            </w:r>
            <w:r>
              <w:rPr>
                <w:rFonts w:ascii="宋体" w:hAnsi="宋体" w:eastAsia="宋体" w:cs="宋体"/>
                <w:sz w:val="24"/>
                <w:szCs w:val="24"/>
              </w:rPr>
              <w:t>）排放</w:t>
            </w:r>
            <w:r>
              <w:rPr>
                <w:rFonts w:hint="eastAsia"/>
                <w:color w:val="auto"/>
                <w:sz w:val="24"/>
                <w:szCs w:val="24"/>
              </w:rPr>
              <w:t>；</w:t>
            </w:r>
            <w:r>
              <w:rPr>
                <w:rFonts w:ascii="宋体" w:hAnsi="宋体" w:eastAsia="宋体" w:cs="宋体"/>
                <w:sz w:val="24"/>
                <w:szCs w:val="24"/>
              </w:rPr>
              <w:t>卸料起尘采取雾炮除尘等措施后无组织排放；运输扬尘采取运输车辆篷布覆盖，运输过程限速按规定线路行驶后运输扬尘无组织排放；污泥预处理产生的废气喷洒除臭剂处理</w:t>
            </w:r>
            <w:r>
              <w:rPr>
                <w:rFonts w:hint="eastAsia"/>
                <w:color w:val="auto"/>
                <w:sz w:val="24"/>
                <w:szCs w:val="24"/>
              </w:rPr>
              <w:t>。水本项目生产所产生的颗粒物有组织排放浓度执行</w:t>
            </w:r>
            <w:r>
              <w:rPr>
                <w:rFonts w:hint="default" w:ascii="Times New Roman" w:hAnsi="Times New Roman" w:eastAsia="宋体" w:cs="Times New Roman"/>
                <w:color w:val="auto"/>
                <w:kern w:val="2"/>
                <w:sz w:val="24"/>
                <w:szCs w:val="24"/>
                <w:lang w:val="en-US" w:eastAsia="zh-CN" w:bidi="ar-SA"/>
              </w:rPr>
              <w:t>《大气污染物综合排放标准》（GB16297-1996）表2中二级排放标准</w:t>
            </w:r>
            <w:r>
              <w:rPr>
                <w:rFonts w:hint="eastAsia"/>
                <w:color w:val="auto"/>
                <w:sz w:val="24"/>
                <w:szCs w:val="24"/>
              </w:rPr>
              <w:t>限值要求；无组织颗粒物浓度执行</w:t>
            </w:r>
            <w:r>
              <w:rPr>
                <w:rFonts w:hint="default" w:ascii="Times New Roman" w:hAnsi="Times New Roman" w:eastAsia="宋体" w:cs="Times New Roman"/>
                <w:color w:val="auto"/>
                <w:kern w:val="2"/>
                <w:sz w:val="24"/>
                <w:szCs w:val="24"/>
                <w:lang w:val="en-US" w:eastAsia="zh-CN" w:bidi="ar-SA"/>
              </w:rPr>
              <w:t>《大气污染物综合排放标准》（GB16297-1996）</w:t>
            </w:r>
            <w:r>
              <w:rPr>
                <w:rFonts w:hint="eastAsia"/>
                <w:color w:val="auto"/>
                <w:sz w:val="24"/>
                <w:szCs w:val="24"/>
              </w:rPr>
              <w:t>中无组织监控浓度排放要求。硫化氢、氨气、臭气浓度满足《恶臭污染物排放标准》（GB14554-93）中的二级标准。</w:t>
            </w:r>
          </w:p>
          <w:p w14:paraId="2A722238">
            <w:pPr>
              <w:autoSpaceDE w:val="0"/>
              <w:autoSpaceDN w:val="0"/>
              <w:adjustRightInd w:val="0"/>
              <w:snapToGrid w:val="0"/>
              <w:spacing w:line="360" w:lineRule="auto"/>
              <w:ind w:firstLine="480" w:firstLineChars="200"/>
              <w:rPr>
                <w:kern w:val="0"/>
                <w:sz w:val="24"/>
              </w:rPr>
            </w:pPr>
            <w:r>
              <w:rPr>
                <w:kern w:val="0"/>
                <w:sz w:val="24"/>
              </w:rPr>
              <w:t>综上，该项目产生的大气污染物在落实本次评价的废气防治措施后，对区域大气环境质量影响较小。</w:t>
            </w:r>
          </w:p>
          <w:p w14:paraId="73C66659">
            <w:pPr>
              <w:adjustRightInd w:val="0"/>
              <w:snapToGrid w:val="0"/>
              <w:spacing w:line="360" w:lineRule="auto"/>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w:t>
            </w:r>
            <w:r>
              <w:rPr>
                <w:b/>
                <w:bCs/>
                <w:color w:val="000000" w:themeColor="text1"/>
                <w:kern w:val="0"/>
                <w:sz w:val="24"/>
                <w14:textFill>
                  <w14:solidFill>
                    <w14:schemeClr w14:val="tx1"/>
                  </w14:solidFill>
                </w14:textFill>
              </w:rPr>
              <w:t>废水</w:t>
            </w:r>
          </w:p>
          <w:p w14:paraId="1D5F7157">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营运过程中用水主要为职工生活用水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生活污水经化粪池处理后</w:t>
            </w:r>
            <w:r>
              <w:rPr>
                <w:rFonts w:hint="eastAsia"/>
                <w:color w:val="000000" w:themeColor="text1"/>
                <w:sz w:val="24"/>
                <w:lang w:eastAsia="zh-CN"/>
                <w14:textFill>
                  <w14:solidFill>
                    <w14:schemeClr w14:val="tx1"/>
                  </w14:solidFill>
                </w14:textFill>
              </w:rPr>
              <w:t>定期清掏不外排</w:t>
            </w:r>
            <w:r>
              <w:rPr>
                <w:rFonts w:hint="eastAsia"/>
                <w:color w:val="000000" w:themeColor="text1"/>
                <w:sz w:val="24"/>
                <w14:textFill>
                  <w14:solidFill>
                    <w14:schemeClr w14:val="tx1"/>
                  </w14:solidFill>
                </w14:textFill>
              </w:rPr>
              <w:t>。</w:t>
            </w:r>
          </w:p>
          <w:p w14:paraId="5B8D15AF">
            <w:pPr>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（1）生活用水</w:t>
            </w:r>
          </w:p>
          <w:p w14:paraId="3594BAB7">
            <w:pPr>
              <w:spacing w:line="360" w:lineRule="auto"/>
              <w:ind w:firstLine="480" w:firstLineChars="200"/>
              <w:jc w:val="left"/>
              <w:rPr>
                <w:color w:val="auto"/>
                <w:sz w:val="24"/>
              </w:rPr>
            </w:pPr>
            <w:r>
              <w:rPr>
                <w:color w:val="auto"/>
                <w:sz w:val="24"/>
              </w:rPr>
              <w:t>本项目职工定员</w:t>
            </w:r>
            <w:r>
              <w:rPr>
                <w:rFonts w:hint="eastAsia"/>
                <w:color w:val="auto"/>
                <w:sz w:val="24"/>
                <w:lang w:val="en-US" w:eastAsia="zh-CN"/>
              </w:rPr>
              <w:t>3</w:t>
            </w:r>
            <w:r>
              <w:rPr>
                <w:rFonts w:hint="eastAsia"/>
                <w:color w:val="auto"/>
                <w:sz w:val="24"/>
              </w:rPr>
              <w:t>人，</w:t>
            </w:r>
            <w:r>
              <w:rPr>
                <w:color w:val="auto"/>
                <w:sz w:val="24"/>
              </w:rPr>
              <w:t>厂区不提供食宿。根据《</w:t>
            </w:r>
            <w:r>
              <w:rPr>
                <w:rFonts w:hint="eastAsia"/>
                <w:color w:val="auto"/>
                <w:sz w:val="24"/>
                <w:lang w:eastAsia="zh-CN"/>
              </w:rPr>
              <w:t>宿州市</w:t>
            </w:r>
            <w:r>
              <w:rPr>
                <w:color w:val="auto"/>
                <w:sz w:val="24"/>
              </w:rPr>
              <w:t>行业用水定额》（</w:t>
            </w:r>
            <w:r>
              <w:rPr>
                <w:rFonts w:hint="eastAsia"/>
                <w:color w:val="auto"/>
                <w:sz w:val="24"/>
              </w:rPr>
              <w:t>DB3413T 0001-2020</w:t>
            </w:r>
            <w:r>
              <w:rPr>
                <w:color w:val="auto"/>
                <w:sz w:val="24"/>
              </w:rPr>
              <w:t>），工作人员生活用水以</w:t>
            </w:r>
            <w:r>
              <w:rPr>
                <w:rFonts w:hint="eastAsia"/>
                <w:color w:val="auto"/>
                <w:sz w:val="24"/>
                <w:lang w:val="en-US" w:eastAsia="zh-CN"/>
              </w:rPr>
              <w:t>7</w:t>
            </w:r>
            <w:r>
              <w:rPr>
                <w:color w:val="auto"/>
                <w:sz w:val="24"/>
              </w:rPr>
              <w:t>0L/人d计，年工作时间3</w:t>
            </w:r>
            <w:r>
              <w:rPr>
                <w:rFonts w:hint="eastAsia"/>
                <w:color w:val="auto"/>
                <w:sz w:val="24"/>
              </w:rPr>
              <w:t>00</w:t>
            </w:r>
            <w:r>
              <w:rPr>
                <w:color w:val="auto"/>
                <w:sz w:val="24"/>
              </w:rPr>
              <w:t>天</w:t>
            </w:r>
            <w:r>
              <w:rPr>
                <w:rFonts w:hint="eastAsia"/>
                <w:color w:val="auto"/>
                <w:sz w:val="24"/>
              </w:rPr>
              <w:t>。</w:t>
            </w:r>
            <w:r>
              <w:rPr>
                <w:color w:val="auto"/>
                <w:sz w:val="24"/>
              </w:rPr>
              <w:t>则生活用水量为</w:t>
            </w:r>
            <w:r>
              <w:rPr>
                <w:rFonts w:hint="eastAsia"/>
                <w:color w:val="auto"/>
                <w:sz w:val="24"/>
              </w:rPr>
              <w:t>0.</w:t>
            </w:r>
            <w:r>
              <w:rPr>
                <w:rFonts w:hint="eastAsia"/>
                <w:color w:val="auto"/>
                <w:sz w:val="24"/>
                <w:lang w:val="en-US" w:eastAsia="zh-CN"/>
              </w:rPr>
              <w:t>21</w:t>
            </w:r>
            <w:r>
              <w:rPr>
                <w:color w:val="auto"/>
                <w:sz w:val="24"/>
              </w:rPr>
              <w:t>t/d（</w:t>
            </w:r>
            <w:r>
              <w:rPr>
                <w:rFonts w:hint="eastAsia"/>
                <w:color w:val="auto"/>
                <w:sz w:val="24"/>
                <w:lang w:val="en-US" w:eastAsia="zh-CN"/>
              </w:rPr>
              <w:t>63</w:t>
            </w:r>
            <w:r>
              <w:rPr>
                <w:color w:val="auto"/>
                <w:sz w:val="24"/>
              </w:rPr>
              <w:t>t/a）</w:t>
            </w:r>
            <w:r>
              <w:rPr>
                <w:rFonts w:hint="eastAsia"/>
                <w:color w:val="auto"/>
                <w:sz w:val="24"/>
              </w:rPr>
              <w:t>，</w:t>
            </w:r>
            <w:r>
              <w:rPr>
                <w:color w:val="auto"/>
                <w:sz w:val="24"/>
              </w:rPr>
              <w:t>生活污水量按照用水量的80%计算，则</w:t>
            </w:r>
            <w:r>
              <w:rPr>
                <w:rFonts w:hint="eastAsia"/>
                <w:color w:val="auto"/>
                <w:sz w:val="24"/>
              </w:rPr>
              <w:t>项目</w:t>
            </w:r>
            <w:r>
              <w:rPr>
                <w:color w:val="auto"/>
                <w:sz w:val="24"/>
              </w:rPr>
              <w:t>生活污水产生量约为</w:t>
            </w:r>
            <w:r>
              <w:rPr>
                <w:rFonts w:hint="eastAsia"/>
                <w:color w:val="auto"/>
                <w:sz w:val="24"/>
                <w:lang w:val="en-US" w:eastAsia="zh-CN"/>
              </w:rPr>
              <w:t>0.17</w:t>
            </w:r>
            <w:r>
              <w:rPr>
                <w:color w:val="auto"/>
                <w:sz w:val="24"/>
              </w:rPr>
              <w:t>t/d（</w:t>
            </w:r>
            <w:r>
              <w:rPr>
                <w:rFonts w:hint="eastAsia"/>
                <w:color w:val="auto"/>
                <w:sz w:val="24"/>
                <w:lang w:val="en-US" w:eastAsia="zh-CN"/>
              </w:rPr>
              <w:t>51</w:t>
            </w:r>
            <w:r>
              <w:rPr>
                <w:color w:val="auto"/>
                <w:sz w:val="24"/>
              </w:rPr>
              <w:t>t/a）。废水主要污染物因子为COD、SS、BOD</w:t>
            </w:r>
            <w:r>
              <w:rPr>
                <w:color w:val="auto"/>
                <w:sz w:val="24"/>
                <w:vertAlign w:val="subscript"/>
              </w:rPr>
              <w:t>5</w:t>
            </w:r>
            <w:r>
              <w:rPr>
                <w:color w:val="auto"/>
                <w:sz w:val="24"/>
              </w:rPr>
              <w:t>、NH</w:t>
            </w:r>
            <w:r>
              <w:rPr>
                <w:color w:val="auto"/>
                <w:sz w:val="24"/>
                <w:vertAlign w:val="subscript"/>
              </w:rPr>
              <w:t>3</w:t>
            </w:r>
            <w:r>
              <w:rPr>
                <w:color w:val="auto"/>
                <w:sz w:val="24"/>
              </w:rPr>
              <w:t>-N。本项目生活污水中主要污染指标浓度选取为：COD</w:t>
            </w:r>
            <w:r>
              <w:rPr>
                <w:rFonts w:hint="eastAsia"/>
                <w:color w:val="auto"/>
                <w:sz w:val="24"/>
              </w:rPr>
              <w:t xml:space="preserve"> 400</w:t>
            </w:r>
            <w:r>
              <w:rPr>
                <w:color w:val="auto"/>
                <w:sz w:val="24"/>
              </w:rPr>
              <w:t>mg/L、SS</w:t>
            </w:r>
            <w:r>
              <w:rPr>
                <w:rFonts w:hint="eastAsia"/>
                <w:color w:val="auto"/>
                <w:sz w:val="24"/>
              </w:rPr>
              <w:t>15</w:t>
            </w:r>
            <w:r>
              <w:rPr>
                <w:color w:val="auto"/>
                <w:sz w:val="24"/>
              </w:rPr>
              <w:t>0mg/L、BOD</w:t>
            </w:r>
            <w:r>
              <w:rPr>
                <w:color w:val="auto"/>
                <w:sz w:val="24"/>
                <w:vertAlign w:val="subscript"/>
              </w:rPr>
              <w:t>5</w:t>
            </w:r>
            <w:r>
              <w:rPr>
                <w:rFonts w:hint="eastAsia"/>
                <w:color w:val="auto"/>
                <w:sz w:val="24"/>
              </w:rPr>
              <w:t>15</w:t>
            </w:r>
            <w:r>
              <w:rPr>
                <w:color w:val="auto"/>
                <w:sz w:val="24"/>
              </w:rPr>
              <w:t>0mg/L、NH</w:t>
            </w:r>
            <w:r>
              <w:rPr>
                <w:color w:val="auto"/>
                <w:sz w:val="24"/>
                <w:vertAlign w:val="subscript"/>
              </w:rPr>
              <w:t>3</w:t>
            </w:r>
            <w:r>
              <w:rPr>
                <w:color w:val="auto"/>
                <w:sz w:val="24"/>
              </w:rPr>
              <w:t>-N3</w:t>
            </w:r>
            <w:r>
              <w:rPr>
                <w:rFonts w:hint="eastAsia"/>
                <w:color w:val="auto"/>
                <w:sz w:val="24"/>
              </w:rPr>
              <w:t>5</w:t>
            </w:r>
            <w:r>
              <w:rPr>
                <w:color w:val="auto"/>
                <w:sz w:val="24"/>
              </w:rPr>
              <w:t>mg/L。</w:t>
            </w:r>
            <w:r>
              <w:rPr>
                <w:rFonts w:hint="eastAsia"/>
                <w:color w:val="auto"/>
                <w:sz w:val="24"/>
              </w:rPr>
              <w:t>生活污水经化粪池处理后定期清掏用作周边农田施肥，不外排至环境水体中</w:t>
            </w:r>
            <w:r>
              <w:rPr>
                <w:color w:val="auto"/>
                <w:sz w:val="24"/>
              </w:rPr>
              <w:t>。</w:t>
            </w:r>
          </w:p>
          <w:p w14:paraId="7D32E927">
            <w:pPr>
              <w:jc w:val="both"/>
            </w:pPr>
          </w:p>
        </w:tc>
      </w:tr>
    </w:tbl>
    <w:p w14:paraId="788DF7E5">
      <w:pPr>
        <w:adjustRightInd w:val="0"/>
        <w:snapToGrid w:val="0"/>
        <w:rPr>
          <w:kern w:val="0"/>
          <w:sz w:val="24"/>
        </w:rPr>
        <w:sectPr>
          <w:pgSz w:w="11906" w:h="16838"/>
          <w:pgMar w:top="1440" w:right="1803" w:bottom="1440" w:left="1803" w:header="851" w:footer="851" w:gutter="0"/>
          <w:cols w:space="720" w:num="1"/>
          <w:docGrid w:linePitch="312" w:charSpace="0"/>
        </w:sectPr>
      </w:pP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3607"/>
      </w:tblGrid>
      <w:tr w14:paraId="59F34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567" w:type="dxa"/>
            <w:tcBorders>
              <w:tl2br w:val="nil"/>
              <w:tr2bl w:val="nil"/>
            </w:tcBorders>
            <w:vAlign w:val="center"/>
          </w:tcPr>
          <w:p w14:paraId="1F965956">
            <w:pPr>
              <w:adjustRightInd w:val="0"/>
              <w:snapToGrid w:val="0"/>
              <w:jc w:val="center"/>
              <w:rPr>
                <w:kern w:val="0"/>
                <w:sz w:val="24"/>
              </w:rPr>
            </w:pPr>
            <w:r>
              <w:rPr>
                <w:kern w:val="0"/>
                <w:sz w:val="24"/>
              </w:rPr>
              <w:t>运营</w:t>
            </w:r>
          </w:p>
          <w:p w14:paraId="3D96A439">
            <w:pPr>
              <w:adjustRightInd w:val="0"/>
              <w:snapToGrid w:val="0"/>
              <w:jc w:val="center"/>
              <w:rPr>
                <w:kern w:val="0"/>
                <w:sz w:val="24"/>
              </w:rPr>
            </w:pPr>
            <w:r>
              <w:rPr>
                <w:kern w:val="0"/>
                <w:sz w:val="24"/>
              </w:rPr>
              <w:t>期环</w:t>
            </w:r>
          </w:p>
          <w:p w14:paraId="0CE8A3D3">
            <w:pPr>
              <w:adjustRightInd w:val="0"/>
              <w:snapToGrid w:val="0"/>
              <w:jc w:val="center"/>
              <w:rPr>
                <w:kern w:val="0"/>
                <w:sz w:val="24"/>
              </w:rPr>
            </w:pPr>
            <w:r>
              <w:rPr>
                <w:kern w:val="0"/>
                <w:sz w:val="24"/>
              </w:rPr>
              <w:t>境影</w:t>
            </w:r>
          </w:p>
          <w:p w14:paraId="1AE2D124">
            <w:pPr>
              <w:adjustRightInd w:val="0"/>
              <w:snapToGrid w:val="0"/>
              <w:jc w:val="center"/>
              <w:rPr>
                <w:kern w:val="0"/>
                <w:sz w:val="24"/>
              </w:rPr>
            </w:pPr>
            <w:r>
              <w:rPr>
                <w:kern w:val="0"/>
                <w:sz w:val="24"/>
              </w:rPr>
              <w:t>响和</w:t>
            </w:r>
          </w:p>
          <w:p w14:paraId="49760D00">
            <w:pPr>
              <w:adjustRightInd w:val="0"/>
              <w:snapToGrid w:val="0"/>
              <w:jc w:val="center"/>
              <w:rPr>
                <w:kern w:val="0"/>
                <w:sz w:val="24"/>
              </w:rPr>
            </w:pPr>
            <w:r>
              <w:rPr>
                <w:kern w:val="0"/>
                <w:sz w:val="24"/>
              </w:rPr>
              <w:t>保护</w:t>
            </w:r>
          </w:p>
          <w:p w14:paraId="00AA3EA0">
            <w:pPr>
              <w:pStyle w:val="33"/>
              <w:rPr>
                <w:color w:val="auto"/>
                <w:kern w:val="0"/>
              </w:rPr>
            </w:pPr>
            <w:r>
              <w:rPr>
                <w:color w:val="auto"/>
                <w:kern w:val="0"/>
              </w:rPr>
              <w:t>措施</w:t>
            </w:r>
          </w:p>
        </w:tc>
        <w:tc>
          <w:tcPr>
            <w:tcW w:w="0" w:type="auto"/>
            <w:tcBorders>
              <w:tl2br w:val="nil"/>
              <w:tr2bl w:val="nil"/>
            </w:tcBorders>
          </w:tcPr>
          <w:p w14:paraId="728967DD">
            <w:pPr>
              <w:adjustRightInd w:val="0"/>
              <w:snapToGrid w:val="0"/>
              <w:spacing w:before="120" w:beforeLines="50" w:line="360" w:lineRule="auto"/>
              <w:jc w:val="center"/>
              <w:rPr>
                <w:kern w:val="0"/>
                <w:sz w:val="24"/>
              </w:rPr>
            </w:pPr>
            <w:r>
              <w:rPr>
                <w:b/>
                <w:bCs/>
                <w:kern w:val="0"/>
                <w:sz w:val="24"/>
              </w:rPr>
              <w:t>表4</w:t>
            </w:r>
            <w:r>
              <w:rPr>
                <w:rFonts w:hint="eastAsia"/>
                <w:b/>
                <w:bCs/>
                <w:kern w:val="0"/>
                <w:sz w:val="24"/>
                <w:lang w:val="en-US" w:eastAsia="zh-CN"/>
              </w:rPr>
              <w:t>-4</w:t>
            </w:r>
            <w:r>
              <w:rPr>
                <w:rFonts w:hint="eastAsia"/>
                <w:b/>
                <w:bCs/>
                <w:kern w:val="0"/>
                <w:sz w:val="24"/>
              </w:rPr>
              <w:t xml:space="preserve"> </w:t>
            </w:r>
            <w:r>
              <w:rPr>
                <w:b/>
                <w:bCs/>
                <w:kern w:val="0"/>
                <w:sz w:val="24"/>
              </w:rPr>
              <w:t xml:space="preserve"> </w:t>
            </w:r>
            <w:r>
              <w:rPr>
                <w:rFonts w:hint="eastAsia"/>
                <w:b/>
                <w:bCs/>
                <w:kern w:val="0"/>
                <w:sz w:val="24"/>
              </w:rPr>
              <w:t>项目</w:t>
            </w:r>
            <w:r>
              <w:rPr>
                <w:b/>
                <w:bCs/>
                <w:kern w:val="0"/>
                <w:sz w:val="24"/>
              </w:rPr>
              <w:t>废水</w:t>
            </w:r>
            <w:r>
              <w:rPr>
                <w:rFonts w:hint="eastAsia"/>
                <w:b/>
                <w:bCs/>
                <w:kern w:val="0"/>
                <w:sz w:val="24"/>
              </w:rPr>
              <w:t>产排生</w:t>
            </w:r>
            <w:r>
              <w:rPr>
                <w:b/>
                <w:bCs/>
                <w:kern w:val="0"/>
                <w:sz w:val="24"/>
              </w:rPr>
              <w:t>情况一览表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802"/>
              <w:gridCol w:w="1089"/>
              <w:gridCol w:w="1635"/>
              <w:gridCol w:w="1434"/>
              <w:gridCol w:w="1485"/>
              <w:gridCol w:w="1089"/>
              <w:gridCol w:w="2186"/>
              <w:gridCol w:w="2039"/>
            </w:tblGrid>
            <w:tr w14:paraId="121F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restart"/>
                  <w:vAlign w:val="center"/>
                </w:tcPr>
                <w:p w14:paraId="4B7BD33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产排污环节</w:t>
                  </w:r>
                </w:p>
              </w:tc>
              <w:tc>
                <w:tcPr>
                  <w:tcW w:w="300" w:type="pct"/>
                  <w:vMerge w:val="restart"/>
                  <w:vAlign w:val="center"/>
                </w:tcPr>
                <w:p w14:paraId="1493404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废水</w:t>
                  </w:r>
                </w:p>
                <w:p w14:paraId="1A8401CC">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类别</w:t>
                  </w:r>
                </w:p>
              </w:tc>
              <w:tc>
                <w:tcPr>
                  <w:tcW w:w="407" w:type="pct"/>
                  <w:vMerge w:val="restart"/>
                  <w:vAlign w:val="center"/>
                </w:tcPr>
                <w:p w14:paraId="2F4B6127">
                  <w:pPr>
                    <w:pStyle w:val="7"/>
                    <w:keepNext w:val="0"/>
                    <w:adjustRightInd w:val="0"/>
                    <w:snapToGrid w:val="0"/>
                    <w:spacing w:before="48" w:beforeLines="20" w:line="240" w:lineRule="auto"/>
                    <w:jc w:val="center"/>
                    <w:outlineLvl w:val="2"/>
                    <w:rPr>
                      <w:rFonts w:ascii="Times New Roman" w:hAnsi="Times New Roman"/>
                      <w:b w:val="0"/>
                      <w:color w:val="000000" w:themeColor="text1"/>
                      <w:kern w:val="0"/>
                      <w:szCs w:val="21"/>
                      <w14:textFill>
                        <w14:solidFill>
                          <w14:schemeClr w14:val="tx1"/>
                        </w14:solidFill>
                      </w14:textFill>
                    </w:rPr>
                  </w:pPr>
                  <w:r>
                    <w:rPr>
                      <w:rFonts w:hint="eastAsia" w:ascii="Times New Roman" w:hAnsi="Times New Roman"/>
                      <w:b w:val="0"/>
                      <w:color w:val="000000" w:themeColor="text1"/>
                      <w:kern w:val="0"/>
                      <w:szCs w:val="21"/>
                      <w:lang w:eastAsia="zh-CN"/>
                      <w14:textFill>
                        <w14:solidFill>
                          <w14:schemeClr w14:val="tx1"/>
                        </w14:solidFill>
                      </w14:textFill>
                    </w:rPr>
                    <w:t>产生</w:t>
                  </w:r>
                  <w:r>
                    <w:rPr>
                      <w:rFonts w:ascii="Times New Roman" w:hAnsi="Times New Roman"/>
                      <w:b w:val="0"/>
                      <w:color w:val="000000" w:themeColor="text1"/>
                      <w:kern w:val="0"/>
                      <w:szCs w:val="21"/>
                      <w14:textFill>
                        <w14:solidFill>
                          <w14:schemeClr w14:val="tx1"/>
                        </w14:solidFill>
                      </w14:textFill>
                    </w:rPr>
                    <w:t>量</w:t>
                  </w:r>
                </w:p>
                <w:p w14:paraId="48711552">
                  <w:pPr>
                    <w:adjustRightInd w:val="0"/>
                    <w:snapToGrid w:val="0"/>
                    <w:jc w:val="center"/>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a</w:t>
                  </w:r>
                  <w:r>
                    <w:rPr>
                      <w:color w:val="000000" w:themeColor="text1"/>
                      <w:kern w:val="0"/>
                      <w:szCs w:val="21"/>
                      <w14:textFill>
                        <w14:solidFill>
                          <w14:schemeClr w14:val="tx1"/>
                        </w14:solidFill>
                      </w14:textFill>
                    </w:rPr>
                    <w:t>）</w:t>
                  </w:r>
                </w:p>
              </w:tc>
              <w:tc>
                <w:tcPr>
                  <w:tcW w:w="611" w:type="pct"/>
                  <w:vMerge w:val="restart"/>
                  <w:vAlign w:val="center"/>
                </w:tcPr>
                <w:p w14:paraId="68923ACB">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污染物种类</w:t>
                  </w:r>
                </w:p>
              </w:tc>
              <w:tc>
                <w:tcPr>
                  <w:tcW w:w="1091" w:type="pct"/>
                  <w:gridSpan w:val="2"/>
                  <w:vAlign w:val="center"/>
                </w:tcPr>
                <w:p w14:paraId="2694712D">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污染物产生情况</w:t>
                  </w:r>
                </w:p>
              </w:tc>
              <w:tc>
                <w:tcPr>
                  <w:tcW w:w="1224" w:type="pct"/>
                  <w:gridSpan w:val="2"/>
                  <w:vAlign w:val="center"/>
                </w:tcPr>
                <w:p w14:paraId="60507271">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污染物排放情况</w:t>
                  </w:r>
                </w:p>
              </w:tc>
              <w:tc>
                <w:tcPr>
                  <w:tcW w:w="759" w:type="pct"/>
                  <w:vMerge w:val="restart"/>
                  <w:vAlign w:val="center"/>
                </w:tcPr>
                <w:p w14:paraId="09886BFA">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废水</w:t>
                  </w:r>
                  <w:r>
                    <w:rPr>
                      <w:color w:val="000000" w:themeColor="text1"/>
                      <w:kern w:val="0"/>
                      <w14:textFill>
                        <w14:solidFill>
                          <w14:schemeClr w14:val="tx1"/>
                        </w14:solidFill>
                      </w14:textFill>
                    </w:rPr>
                    <w:t>排放量t/a</w:t>
                  </w:r>
                </w:p>
              </w:tc>
            </w:tr>
            <w:tr w14:paraId="737C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0B4D0205">
                  <w:pPr>
                    <w:adjustRightInd w:val="0"/>
                    <w:snapToGrid w:val="0"/>
                    <w:jc w:val="center"/>
                    <w:rPr>
                      <w:color w:val="000000" w:themeColor="text1"/>
                      <w:kern w:val="0"/>
                      <w14:textFill>
                        <w14:solidFill>
                          <w14:schemeClr w14:val="tx1"/>
                        </w14:solidFill>
                      </w14:textFill>
                    </w:rPr>
                  </w:pPr>
                </w:p>
              </w:tc>
              <w:tc>
                <w:tcPr>
                  <w:tcW w:w="300" w:type="pct"/>
                  <w:vMerge w:val="continue"/>
                  <w:vAlign w:val="center"/>
                </w:tcPr>
                <w:p w14:paraId="44DED4BD">
                  <w:pPr>
                    <w:adjustRightInd w:val="0"/>
                    <w:snapToGrid w:val="0"/>
                    <w:jc w:val="center"/>
                    <w:rPr>
                      <w:color w:val="000000" w:themeColor="text1"/>
                      <w:kern w:val="0"/>
                      <w14:textFill>
                        <w14:solidFill>
                          <w14:schemeClr w14:val="tx1"/>
                        </w14:solidFill>
                      </w14:textFill>
                    </w:rPr>
                  </w:pPr>
                </w:p>
              </w:tc>
              <w:tc>
                <w:tcPr>
                  <w:tcW w:w="407" w:type="pct"/>
                  <w:vMerge w:val="continue"/>
                  <w:vAlign w:val="center"/>
                </w:tcPr>
                <w:p w14:paraId="50FFD491">
                  <w:pPr>
                    <w:adjustRightInd w:val="0"/>
                    <w:snapToGrid w:val="0"/>
                    <w:jc w:val="center"/>
                    <w:rPr>
                      <w:color w:val="000000" w:themeColor="text1"/>
                      <w:kern w:val="0"/>
                      <w14:textFill>
                        <w14:solidFill>
                          <w14:schemeClr w14:val="tx1"/>
                        </w14:solidFill>
                      </w14:textFill>
                    </w:rPr>
                  </w:pPr>
                </w:p>
              </w:tc>
              <w:tc>
                <w:tcPr>
                  <w:tcW w:w="611" w:type="pct"/>
                  <w:vMerge w:val="continue"/>
                  <w:vAlign w:val="center"/>
                </w:tcPr>
                <w:p w14:paraId="7C06FC95">
                  <w:pPr>
                    <w:adjustRightInd w:val="0"/>
                    <w:snapToGrid w:val="0"/>
                    <w:jc w:val="center"/>
                    <w:rPr>
                      <w:color w:val="000000" w:themeColor="text1"/>
                      <w:kern w:val="0"/>
                      <w14:textFill>
                        <w14:solidFill>
                          <w14:schemeClr w14:val="tx1"/>
                        </w14:solidFill>
                      </w14:textFill>
                    </w:rPr>
                  </w:pPr>
                </w:p>
              </w:tc>
              <w:tc>
                <w:tcPr>
                  <w:tcW w:w="536" w:type="pct"/>
                  <w:vAlign w:val="center"/>
                </w:tcPr>
                <w:p w14:paraId="7559892E">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产生量t/a</w:t>
                  </w:r>
                </w:p>
              </w:tc>
              <w:tc>
                <w:tcPr>
                  <w:tcW w:w="555" w:type="pct"/>
                  <w:vAlign w:val="center"/>
                </w:tcPr>
                <w:p w14:paraId="718A212D">
                  <w:pPr>
                    <w:adjustRightInd w:val="0"/>
                    <w:snapToGrid w:val="0"/>
                    <w:jc w:val="center"/>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浓度</w:t>
                  </w:r>
                  <w:r>
                    <w:rPr>
                      <w:color w:val="000000" w:themeColor="text1"/>
                      <w:kern w:val="0"/>
                      <w14:textFill>
                        <w14:solidFill>
                          <w14:schemeClr w14:val="tx1"/>
                        </w14:solidFill>
                      </w14:textFill>
                    </w:rPr>
                    <w:t>mg/L</w:t>
                  </w:r>
                </w:p>
              </w:tc>
              <w:tc>
                <w:tcPr>
                  <w:tcW w:w="407" w:type="pct"/>
                  <w:vAlign w:val="center"/>
                </w:tcPr>
                <w:p w14:paraId="2089746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工艺</w:t>
                  </w:r>
                </w:p>
              </w:tc>
              <w:tc>
                <w:tcPr>
                  <w:tcW w:w="817" w:type="pct"/>
                  <w:vAlign w:val="center"/>
                </w:tcPr>
                <w:p w14:paraId="0EFFF621">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是否为可行技术</w:t>
                  </w:r>
                </w:p>
              </w:tc>
              <w:tc>
                <w:tcPr>
                  <w:tcW w:w="759" w:type="pct"/>
                  <w:vMerge w:val="continue"/>
                  <w:vAlign w:val="center"/>
                </w:tcPr>
                <w:p w14:paraId="60B7070F">
                  <w:pPr>
                    <w:adjustRightInd w:val="0"/>
                    <w:snapToGrid w:val="0"/>
                    <w:jc w:val="center"/>
                    <w:rPr>
                      <w:color w:val="000000" w:themeColor="text1"/>
                      <w:kern w:val="0"/>
                      <w14:textFill>
                        <w14:solidFill>
                          <w14:schemeClr w14:val="tx1"/>
                        </w14:solidFill>
                      </w14:textFill>
                    </w:rPr>
                  </w:pPr>
                </w:p>
              </w:tc>
            </w:tr>
            <w:tr w14:paraId="2EAE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14:paraId="15F6DD6D">
                  <w:pPr>
                    <w:adjustRightInd w:val="0"/>
                    <w:snapToGrid w:val="0"/>
                    <w:jc w:val="center"/>
                    <w:rPr>
                      <w:rFonts w:hint="eastAsia" w:eastAsia="宋体"/>
                      <w:color w:val="000000" w:themeColor="text1"/>
                      <w:kern w:val="0"/>
                      <w:lang w:eastAsia="zh-CN"/>
                      <w14:textFill>
                        <w14:solidFill>
                          <w14:schemeClr w14:val="tx1"/>
                        </w14:solidFill>
                      </w14:textFill>
                    </w:rPr>
                  </w:pPr>
                  <w:r>
                    <w:rPr>
                      <w:rFonts w:hint="eastAsia"/>
                      <w:b/>
                      <w:bCs/>
                      <w:color w:val="000000" w:themeColor="text1"/>
                      <w:kern w:val="0"/>
                      <w:lang w:eastAsia="zh-CN"/>
                      <w14:textFill>
                        <w14:solidFill>
                          <w14:schemeClr w14:val="tx1"/>
                        </w14:solidFill>
                      </w14:textFill>
                    </w:rPr>
                    <w:t>本次技改项目</w:t>
                  </w:r>
                </w:p>
              </w:tc>
            </w:tr>
            <w:tr w14:paraId="3F42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restart"/>
                  <w:vAlign w:val="center"/>
                </w:tcPr>
                <w:p w14:paraId="36004107">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职工</w:t>
                  </w:r>
                </w:p>
                <w:p w14:paraId="285B4C9E">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生活</w:t>
                  </w:r>
                </w:p>
              </w:tc>
              <w:tc>
                <w:tcPr>
                  <w:tcW w:w="300" w:type="pct"/>
                  <w:vMerge w:val="restart"/>
                  <w:vAlign w:val="center"/>
                </w:tcPr>
                <w:p w14:paraId="53D7AE3C">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生活</w:t>
                  </w:r>
                </w:p>
                <w:p w14:paraId="2CC3A3EB">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污水</w:t>
                  </w:r>
                </w:p>
              </w:tc>
              <w:tc>
                <w:tcPr>
                  <w:tcW w:w="407" w:type="pct"/>
                  <w:vMerge w:val="restart"/>
                  <w:vAlign w:val="center"/>
                </w:tcPr>
                <w:p w14:paraId="63F05117">
                  <w:pPr>
                    <w:adjustRightInd w:val="0"/>
                    <w:snapToGrid w:val="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51</w:t>
                  </w:r>
                </w:p>
              </w:tc>
              <w:tc>
                <w:tcPr>
                  <w:tcW w:w="611" w:type="pct"/>
                  <w:vAlign w:val="center"/>
                </w:tcPr>
                <w:p w14:paraId="027C4F19">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COD</w:t>
                  </w:r>
                </w:p>
              </w:tc>
              <w:tc>
                <w:tcPr>
                  <w:tcW w:w="536" w:type="pct"/>
                  <w:vAlign w:val="center"/>
                </w:tcPr>
                <w:p w14:paraId="5310DF50">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0.048</w:t>
                  </w:r>
                </w:p>
              </w:tc>
              <w:tc>
                <w:tcPr>
                  <w:tcW w:w="555" w:type="pct"/>
                  <w:vAlign w:val="center"/>
                </w:tcPr>
                <w:p w14:paraId="0F0EAA2C">
                  <w:pPr>
                    <w:pStyle w:val="23"/>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400</w:t>
                  </w:r>
                </w:p>
              </w:tc>
              <w:tc>
                <w:tcPr>
                  <w:tcW w:w="407" w:type="pct"/>
                  <w:vMerge w:val="restart"/>
                  <w:vAlign w:val="center"/>
                </w:tcPr>
                <w:p w14:paraId="2B40DF11">
                  <w:pPr>
                    <w:adjustRightInd w:val="0"/>
                    <w:snapToGrid w:val="0"/>
                    <w:jc w:val="center"/>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化粪池</w:t>
                  </w:r>
                </w:p>
              </w:tc>
              <w:tc>
                <w:tcPr>
                  <w:tcW w:w="817" w:type="pct"/>
                  <w:vMerge w:val="restart"/>
                  <w:vAlign w:val="center"/>
                </w:tcPr>
                <w:p w14:paraId="5DEF5F25">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是</w:t>
                  </w:r>
                </w:p>
              </w:tc>
              <w:tc>
                <w:tcPr>
                  <w:tcW w:w="759" w:type="pct"/>
                  <w:vMerge w:val="restart"/>
                  <w:vAlign w:val="center"/>
                </w:tcPr>
                <w:p w14:paraId="2929D9EF">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不外排</w:t>
                  </w:r>
                </w:p>
              </w:tc>
            </w:tr>
            <w:tr w14:paraId="4B2D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098A0992">
                  <w:pPr>
                    <w:adjustRightInd w:val="0"/>
                    <w:snapToGrid w:val="0"/>
                    <w:jc w:val="center"/>
                    <w:rPr>
                      <w:color w:val="000000" w:themeColor="text1"/>
                      <w:kern w:val="0"/>
                      <w14:textFill>
                        <w14:solidFill>
                          <w14:schemeClr w14:val="tx1"/>
                        </w14:solidFill>
                      </w14:textFill>
                    </w:rPr>
                  </w:pPr>
                </w:p>
              </w:tc>
              <w:tc>
                <w:tcPr>
                  <w:tcW w:w="300" w:type="pct"/>
                  <w:vMerge w:val="continue"/>
                  <w:vAlign w:val="center"/>
                </w:tcPr>
                <w:p w14:paraId="201BDA95">
                  <w:pPr>
                    <w:adjustRightInd w:val="0"/>
                    <w:snapToGrid w:val="0"/>
                    <w:jc w:val="center"/>
                    <w:rPr>
                      <w:color w:val="000000" w:themeColor="text1"/>
                      <w:kern w:val="0"/>
                      <w14:textFill>
                        <w14:solidFill>
                          <w14:schemeClr w14:val="tx1"/>
                        </w14:solidFill>
                      </w14:textFill>
                    </w:rPr>
                  </w:pPr>
                </w:p>
              </w:tc>
              <w:tc>
                <w:tcPr>
                  <w:tcW w:w="407" w:type="pct"/>
                  <w:vMerge w:val="continue"/>
                  <w:vAlign w:val="center"/>
                </w:tcPr>
                <w:p w14:paraId="310E47B8">
                  <w:pPr>
                    <w:adjustRightInd w:val="0"/>
                    <w:snapToGrid w:val="0"/>
                    <w:jc w:val="center"/>
                    <w:rPr>
                      <w:color w:val="000000" w:themeColor="text1"/>
                      <w:kern w:val="0"/>
                      <w14:textFill>
                        <w14:solidFill>
                          <w14:schemeClr w14:val="tx1"/>
                        </w14:solidFill>
                      </w14:textFill>
                    </w:rPr>
                  </w:pPr>
                </w:p>
              </w:tc>
              <w:tc>
                <w:tcPr>
                  <w:tcW w:w="611" w:type="pct"/>
                  <w:vAlign w:val="center"/>
                </w:tcPr>
                <w:p w14:paraId="265BB38B">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SS</w:t>
                  </w:r>
                </w:p>
              </w:tc>
              <w:tc>
                <w:tcPr>
                  <w:tcW w:w="536" w:type="pct"/>
                  <w:vAlign w:val="center"/>
                </w:tcPr>
                <w:p w14:paraId="3F45B5A1">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0.018</w:t>
                  </w:r>
                </w:p>
              </w:tc>
              <w:tc>
                <w:tcPr>
                  <w:tcW w:w="555" w:type="pct"/>
                  <w:vAlign w:val="center"/>
                </w:tcPr>
                <w:p w14:paraId="69D79EDF">
                  <w:pPr>
                    <w:pStyle w:val="23"/>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150</w:t>
                  </w:r>
                </w:p>
              </w:tc>
              <w:tc>
                <w:tcPr>
                  <w:tcW w:w="407" w:type="pct"/>
                  <w:vMerge w:val="continue"/>
                  <w:vAlign w:val="center"/>
                </w:tcPr>
                <w:p w14:paraId="55D2428C">
                  <w:pPr>
                    <w:adjustRightInd w:val="0"/>
                    <w:snapToGrid w:val="0"/>
                    <w:jc w:val="center"/>
                    <w:rPr>
                      <w:color w:val="000000" w:themeColor="text1"/>
                      <w:kern w:val="0"/>
                      <w14:textFill>
                        <w14:solidFill>
                          <w14:schemeClr w14:val="tx1"/>
                        </w14:solidFill>
                      </w14:textFill>
                    </w:rPr>
                  </w:pPr>
                </w:p>
              </w:tc>
              <w:tc>
                <w:tcPr>
                  <w:tcW w:w="817" w:type="pct"/>
                  <w:vMerge w:val="continue"/>
                  <w:vAlign w:val="center"/>
                </w:tcPr>
                <w:p w14:paraId="0805D32C">
                  <w:pPr>
                    <w:adjustRightInd w:val="0"/>
                    <w:snapToGrid w:val="0"/>
                    <w:jc w:val="center"/>
                    <w:rPr>
                      <w:color w:val="000000" w:themeColor="text1"/>
                      <w:kern w:val="0"/>
                      <w14:textFill>
                        <w14:solidFill>
                          <w14:schemeClr w14:val="tx1"/>
                        </w14:solidFill>
                      </w14:textFill>
                    </w:rPr>
                  </w:pPr>
                </w:p>
              </w:tc>
              <w:tc>
                <w:tcPr>
                  <w:tcW w:w="759" w:type="pct"/>
                  <w:vMerge w:val="continue"/>
                  <w:vAlign w:val="center"/>
                </w:tcPr>
                <w:p w14:paraId="0073B11A">
                  <w:pPr>
                    <w:adjustRightInd w:val="0"/>
                    <w:snapToGrid w:val="0"/>
                    <w:jc w:val="center"/>
                    <w:rPr>
                      <w:color w:val="000000" w:themeColor="text1"/>
                      <w:kern w:val="0"/>
                      <w14:textFill>
                        <w14:solidFill>
                          <w14:schemeClr w14:val="tx1"/>
                        </w14:solidFill>
                      </w14:textFill>
                    </w:rPr>
                  </w:pPr>
                </w:p>
              </w:tc>
            </w:tr>
            <w:tr w14:paraId="23BA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0DCFDD67">
                  <w:pPr>
                    <w:adjustRightInd w:val="0"/>
                    <w:snapToGrid w:val="0"/>
                    <w:jc w:val="center"/>
                    <w:rPr>
                      <w:color w:val="000000" w:themeColor="text1"/>
                      <w:kern w:val="0"/>
                      <w14:textFill>
                        <w14:solidFill>
                          <w14:schemeClr w14:val="tx1"/>
                        </w14:solidFill>
                      </w14:textFill>
                    </w:rPr>
                  </w:pPr>
                </w:p>
              </w:tc>
              <w:tc>
                <w:tcPr>
                  <w:tcW w:w="300" w:type="pct"/>
                  <w:vMerge w:val="continue"/>
                  <w:vAlign w:val="center"/>
                </w:tcPr>
                <w:p w14:paraId="31FA0BCF">
                  <w:pPr>
                    <w:adjustRightInd w:val="0"/>
                    <w:snapToGrid w:val="0"/>
                    <w:jc w:val="center"/>
                    <w:rPr>
                      <w:color w:val="000000" w:themeColor="text1"/>
                      <w:kern w:val="0"/>
                      <w14:textFill>
                        <w14:solidFill>
                          <w14:schemeClr w14:val="tx1"/>
                        </w14:solidFill>
                      </w14:textFill>
                    </w:rPr>
                  </w:pPr>
                </w:p>
              </w:tc>
              <w:tc>
                <w:tcPr>
                  <w:tcW w:w="407" w:type="pct"/>
                  <w:vMerge w:val="continue"/>
                  <w:vAlign w:val="center"/>
                </w:tcPr>
                <w:p w14:paraId="4FFA929F">
                  <w:pPr>
                    <w:adjustRightInd w:val="0"/>
                    <w:snapToGrid w:val="0"/>
                    <w:jc w:val="center"/>
                    <w:rPr>
                      <w:color w:val="000000" w:themeColor="text1"/>
                      <w:kern w:val="0"/>
                      <w14:textFill>
                        <w14:solidFill>
                          <w14:schemeClr w14:val="tx1"/>
                        </w14:solidFill>
                      </w14:textFill>
                    </w:rPr>
                  </w:pPr>
                </w:p>
              </w:tc>
              <w:tc>
                <w:tcPr>
                  <w:tcW w:w="611" w:type="pct"/>
                  <w:vAlign w:val="center"/>
                </w:tcPr>
                <w:p w14:paraId="539D1E56">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BOD</w:t>
                  </w:r>
                  <w:r>
                    <w:rPr>
                      <w:color w:val="000000" w:themeColor="text1"/>
                      <w:kern w:val="0"/>
                      <w:vertAlign w:val="subscript"/>
                      <w14:textFill>
                        <w14:solidFill>
                          <w14:schemeClr w14:val="tx1"/>
                        </w14:solidFill>
                      </w14:textFill>
                    </w:rPr>
                    <w:t>5</w:t>
                  </w:r>
                </w:p>
              </w:tc>
              <w:tc>
                <w:tcPr>
                  <w:tcW w:w="536" w:type="pct"/>
                  <w:vAlign w:val="center"/>
                </w:tcPr>
                <w:p w14:paraId="1B1820C3">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0.018</w:t>
                  </w:r>
                </w:p>
              </w:tc>
              <w:tc>
                <w:tcPr>
                  <w:tcW w:w="555" w:type="pct"/>
                  <w:vAlign w:val="center"/>
                </w:tcPr>
                <w:p w14:paraId="4D9F19CD">
                  <w:pPr>
                    <w:pStyle w:val="23"/>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150</w:t>
                  </w:r>
                </w:p>
              </w:tc>
              <w:tc>
                <w:tcPr>
                  <w:tcW w:w="407" w:type="pct"/>
                  <w:vMerge w:val="continue"/>
                  <w:vAlign w:val="center"/>
                </w:tcPr>
                <w:p w14:paraId="595CCA89">
                  <w:pPr>
                    <w:adjustRightInd w:val="0"/>
                    <w:snapToGrid w:val="0"/>
                    <w:jc w:val="center"/>
                    <w:rPr>
                      <w:color w:val="000000" w:themeColor="text1"/>
                      <w:kern w:val="0"/>
                      <w14:textFill>
                        <w14:solidFill>
                          <w14:schemeClr w14:val="tx1"/>
                        </w14:solidFill>
                      </w14:textFill>
                    </w:rPr>
                  </w:pPr>
                </w:p>
              </w:tc>
              <w:tc>
                <w:tcPr>
                  <w:tcW w:w="817" w:type="pct"/>
                  <w:vMerge w:val="continue"/>
                  <w:vAlign w:val="center"/>
                </w:tcPr>
                <w:p w14:paraId="26E2866E">
                  <w:pPr>
                    <w:adjustRightInd w:val="0"/>
                    <w:snapToGrid w:val="0"/>
                    <w:jc w:val="center"/>
                    <w:rPr>
                      <w:color w:val="000000" w:themeColor="text1"/>
                      <w:kern w:val="0"/>
                      <w14:textFill>
                        <w14:solidFill>
                          <w14:schemeClr w14:val="tx1"/>
                        </w14:solidFill>
                      </w14:textFill>
                    </w:rPr>
                  </w:pPr>
                </w:p>
              </w:tc>
              <w:tc>
                <w:tcPr>
                  <w:tcW w:w="759" w:type="pct"/>
                  <w:vMerge w:val="continue"/>
                  <w:vAlign w:val="center"/>
                </w:tcPr>
                <w:p w14:paraId="38339492">
                  <w:pPr>
                    <w:adjustRightInd w:val="0"/>
                    <w:snapToGrid w:val="0"/>
                    <w:jc w:val="center"/>
                    <w:rPr>
                      <w:color w:val="000000" w:themeColor="text1"/>
                      <w:kern w:val="0"/>
                      <w14:textFill>
                        <w14:solidFill>
                          <w14:schemeClr w14:val="tx1"/>
                        </w14:solidFill>
                      </w14:textFill>
                    </w:rPr>
                  </w:pPr>
                </w:p>
              </w:tc>
            </w:tr>
            <w:tr w14:paraId="1A35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0E2C392B">
                  <w:pPr>
                    <w:adjustRightInd w:val="0"/>
                    <w:snapToGrid w:val="0"/>
                    <w:jc w:val="center"/>
                    <w:rPr>
                      <w:color w:val="000000" w:themeColor="text1"/>
                      <w:kern w:val="0"/>
                      <w:szCs w:val="21"/>
                      <w14:textFill>
                        <w14:solidFill>
                          <w14:schemeClr w14:val="tx1"/>
                        </w14:solidFill>
                      </w14:textFill>
                    </w:rPr>
                  </w:pPr>
                </w:p>
              </w:tc>
              <w:tc>
                <w:tcPr>
                  <w:tcW w:w="300" w:type="pct"/>
                  <w:vMerge w:val="continue"/>
                  <w:vAlign w:val="center"/>
                </w:tcPr>
                <w:p w14:paraId="2CC27883">
                  <w:pPr>
                    <w:adjustRightInd w:val="0"/>
                    <w:snapToGrid w:val="0"/>
                    <w:jc w:val="center"/>
                    <w:rPr>
                      <w:color w:val="000000" w:themeColor="text1"/>
                      <w:kern w:val="0"/>
                      <w:szCs w:val="21"/>
                      <w14:textFill>
                        <w14:solidFill>
                          <w14:schemeClr w14:val="tx1"/>
                        </w14:solidFill>
                      </w14:textFill>
                    </w:rPr>
                  </w:pPr>
                </w:p>
              </w:tc>
              <w:tc>
                <w:tcPr>
                  <w:tcW w:w="407" w:type="pct"/>
                  <w:vMerge w:val="continue"/>
                  <w:vAlign w:val="center"/>
                </w:tcPr>
                <w:p w14:paraId="6EC975C2">
                  <w:pPr>
                    <w:adjustRightInd w:val="0"/>
                    <w:snapToGrid w:val="0"/>
                    <w:jc w:val="center"/>
                    <w:rPr>
                      <w:color w:val="000000" w:themeColor="text1"/>
                      <w:kern w:val="0"/>
                      <w:szCs w:val="21"/>
                      <w14:textFill>
                        <w14:solidFill>
                          <w14:schemeClr w14:val="tx1"/>
                        </w14:solidFill>
                      </w14:textFill>
                    </w:rPr>
                  </w:pPr>
                </w:p>
              </w:tc>
              <w:tc>
                <w:tcPr>
                  <w:tcW w:w="611" w:type="pct"/>
                  <w:vAlign w:val="center"/>
                </w:tcPr>
                <w:p w14:paraId="29E7B8C0">
                  <w:pPr>
                    <w:adjustRightInd w:val="0"/>
                    <w:snapToGrid w:val="0"/>
                    <w:jc w:val="center"/>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536" w:type="pct"/>
                  <w:vAlign w:val="center"/>
                </w:tcPr>
                <w:p w14:paraId="1E88E967">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4.2</w:t>
                  </w:r>
                  <w:r>
                    <w:rPr>
                      <w:rFonts w:ascii="Arial" w:hAnsi="Arial" w:cs="Arial"/>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10</w:t>
                  </w:r>
                  <w:r>
                    <w:rPr>
                      <w:rFonts w:hint="eastAsia"/>
                      <w:color w:val="000000" w:themeColor="text1"/>
                      <w:kern w:val="0"/>
                      <w:vertAlign w:val="superscript"/>
                      <w14:textFill>
                        <w14:solidFill>
                          <w14:schemeClr w14:val="tx1"/>
                        </w14:solidFill>
                      </w14:textFill>
                    </w:rPr>
                    <w:t>-3</w:t>
                  </w:r>
                </w:p>
              </w:tc>
              <w:tc>
                <w:tcPr>
                  <w:tcW w:w="555" w:type="pct"/>
                  <w:vAlign w:val="center"/>
                </w:tcPr>
                <w:p w14:paraId="31C634DB">
                  <w:pPr>
                    <w:pStyle w:val="23"/>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35</w:t>
                  </w:r>
                </w:p>
              </w:tc>
              <w:tc>
                <w:tcPr>
                  <w:tcW w:w="407" w:type="pct"/>
                  <w:vMerge w:val="continue"/>
                  <w:vAlign w:val="center"/>
                </w:tcPr>
                <w:p w14:paraId="2ED6795F">
                  <w:pPr>
                    <w:adjustRightInd w:val="0"/>
                    <w:snapToGrid w:val="0"/>
                    <w:jc w:val="center"/>
                    <w:rPr>
                      <w:color w:val="000000" w:themeColor="text1"/>
                      <w:kern w:val="0"/>
                      <w14:textFill>
                        <w14:solidFill>
                          <w14:schemeClr w14:val="tx1"/>
                        </w14:solidFill>
                      </w14:textFill>
                    </w:rPr>
                  </w:pPr>
                </w:p>
              </w:tc>
              <w:tc>
                <w:tcPr>
                  <w:tcW w:w="817" w:type="pct"/>
                  <w:vMerge w:val="continue"/>
                  <w:vAlign w:val="center"/>
                </w:tcPr>
                <w:p w14:paraId="730EAF63">
                  <w:pPr>
                    <w:adjustRightInd w:val="0"/>
                    <w:snapToGrid w:val="0"/>
                    <w:jc w:val="center"/>
                    <w:rPr>
                      <w:color w:val="000000" w:themeColor="text1"/>
                      <w:kern w:val="0"/>
                      <w14:textFill>
                        <w14:solidFill>
                          <w14:schemeClr w14:val="tx1"/>
                        </w14:solidFill>
                      </w14:textFill>
                    </w:rPr>
                  </w:pPr>
                </w:p>
              </w:tc>
              <w:tc>
                <w:tcPr>
                  <w:tcW w:w="759" w:type="pct"/>
                  <w:vMerge w:val="continue"/>
                  <w:vAlign w:val="center"/>
                </w:tcPr>
                <w:p w14:paraId="5C18C4C2">
                  <w:pPr>
                    <w:adjustRightInd w:val="0"/>
                    <w:snapToGrid w:val="0"/>
                    <w:jc w:val="center"/>
                    <w:rPr>
                      <w:color w:val="000000" w:themeColor="text1"/>
                      <w:kern w:val="0"/>
                      <w14:textFill>
                        <w14:solidFill>
                          <w14:schemeClr w14:val="tx1"/>
                        </w14:solidFill>
                      </w14:textFill>
                    </w:rPr>
                  </w:pPr>
                </w:p>
              </w:tc>
            </w:tr>
            <w:tr w14:paraId="2331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vAlign w:val="center"/>
                </w:tcPr>
                <w:p w14:paraId="21A42F50">
                  <w:pPr>
                    <w:adjustRightInd w:val="0"/>
                    <w:snapToGrid w:val="0"/>
                    <w:jc w:val="center"/>
                    <w:rPr>
                      <w:rFonts w:hint="eastAsia" w:eastAsia="宋体"/>
                      <w:color w:val="000000" w:themeColor="text1"/>
                      <w:kern w:val="0"/>
                      <w:lang w:eastAsia="zh-CN"/>
                      <w14:textFill>
                        <w14:solidFill>
                          <w14:schemeClr w14:val="tx1"/>
                        </w14:solidFill>
                      </w14:textFill>
                    </w:rPr>
                  </w:pPr>
                  <w:r>
                    <w:rPr>
                      <w:rFonts w:hint="eastAsia"/>
                      <w:b/>
                      <w:bCs/>
                      <w:color w:val="000000" w:themeColor="text1"/>
                      <w:kern w:val="0"/>
                      <w:lang w:eastAsia="zh-CN"/>
                      <w14:textFill>
                        <w14:solidFill>
                          <w14:schemeClr w14:val="tx1"/>
                        </w14:solidFill>
                      </w14:textFill>
                    </w:rPr>
                    <w:t>技改后全厂</w:t>
                  </w:r>
                </w:p>
              </w:tc>
            </w:tr>
            <w:tr w14:paraId="52F6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restart"/>
                  <w:vAlign w:val="center"/>
                </w:tcPr>
                <w:p w14:paraId="34D1D748">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职工</w:t>
                  </w:r>
                </w:p>
                <w:p w14:paraId="010CE76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生活</w:t>
                  </w:r>
                </w:p>
              </w:tc>
              <w:tc>
                <w:tcPr>
                  <w:tcW w:w="300" w:type="pct"/>
                  <w:vMerge w:val="restart"/>
                  <w:vAlign w:val="center"/>
                </w:tcPr>
                <w:p w14:paraId="74DFE26C">
                  <w:pPr>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eastAsia="zh-CN"/>
                      <w14:textFill>
                        <w14:solidFill>
                          <w14:schemeClr w14:val="tx1"/>
                        </w14:solidFill>
                      </w14:textFill>
                    </w:rPr>
                    <w:t>生活污水</w:t>
                  </w:r>
                </w:p>
              </w:tc>
              <w:tc>
                <w:tcPr>
                  <w:tcW w:w="407" w:type="pct"/>
                  <w:vMerge w:val="restart"/>
                  <w:vAlign w:val="center"/>
                </w:tcPr>
                <w:p w14:paraId="459A588F">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171</w:t>
                  </w:r>
                </w:p>
              </w:tc>
              <w:tc>
                <w:tcPr>
                  <w:tcW w:w="611" w:type="pct"/>
                  <w:vAlign w:val="center"/>
                </w:tcPr>
                <w:p w14:paraId="5CB142B0">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COD</w:t>
                  </w:r>
                </w:p>
              </w:tc>
              <w:tc>
                <w:tcPr>
                  <w:tcW w:w="536" w:type="pct"/>
                  <w:vAlign w:val="center"/>
                </w:tcPr>
                <w:p w14:paraId="12309B60">
                  <w:pPr>
                    <w:adjustRightInd w:val="0"/>
                    <w:snapToGrid w:val="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0.0684</w:t>
                  </w:r>
                </w:p>
              </w:tc>
              <w:tc>
                <w:tcPr>
                  <w:tcW w:w="555" w:type="pct"/>
                  <w:vAlign w:val="center"/>
                </w:tcPr>
                <w:p w14:paraId="3F78394C">
                  <w:pPr>
                    <w:pStyle w:val="23"/>
                    <w:adjustRightInd w:val="0"/>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400</w:t>
                  </w:r>
                </w:p>
              </w:tc>
              <w:tc>
                <w:tcPr>
                  <w:tcW w:w="407" w:type="pct"/>
                  <w:vMerge w:val="restart"/>
                  <w:shd w:val="clear" w:color="auto" w:fill="auto"/>
                  <w:vAlign w:val="center"/>
                </w:tcPr>
                <w:p w14:paraId="6ED15E3C">
                  <w:pPr>
                    <w:adjustRightInd w:val="0"/>
                    <w:snapToGrid w:val="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szCs w:val="21"/>
                      <w14:textFill>
                        <w14:solidFill>
                          <w14:schemeClr w14:val="tx1"/>
                        </w14:solidFill>
                      </w14:textFill>
                    </w:rPr>
                    <w:t>化粪池</w:t>
                  </w:r>
                </w:p>
              </w:tc>
              <w:tc>
                <w:tcPr>
                  <w:tcW w:w="817" w:type="pct"/>
                  <w:vMerge w:val="restart"/>
                  <w:shd w:val="clear" w:color="auto" w:fill="auto"/>
                  <w:vAlign w:val="center"/>
                </w:tcPr>
                <w:p w14:paraId="0257270E">
                  <w:pPr>
                    <w:adjustRightInd w:val="0"/>
                    <w:snapToGrid w:val="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是</w:t>
                  </w:r>
                </w:p>
              </w:tc>
              <w:tc>
                <w:tcPr>
                  <w:tcW w:w="759" w:type="pct"/>
                  <w:vMerge w:val="restart"/>
                  <w:shd w:val="clear" w:color="auto" w:fill="auto"/>
                  <w:vAlign w:val="center"/>
                </w:tcPr>
                <w:p w14:paraId="427FA629">
                  <w:pPr>
                    <w:adjustRightInd w:val="0"/>
                    <w:snapToGrid w:val="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14:textFill>
                        <w14:solidFill>
                          <w14:schemeClr w14:val="tx1"/>
                        </w14:solidFill>
                      </w14:textFill>
                    </w:rPr>
                    <w:t>不外排</w:t>
                  </w:r>
                </w:p>
              </w:tc>
            </w:tr>
            <w:tr w14:paraId="18AA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7E4BF8B3">
                  <w:pPr>
                    <w:adjustRightInd w:val="0"/>
                    <w:snapToGrid w:val="0"/>
                    <w:jc w:val="center"/>
                    <w:rPr>
                      <w:color w:val="000000" w:themeColor="text1"/>
                      <w:kern w:val="0"/>
                      <w:szCs w:val="21"/>
                      <w14:textFill>
                        <w14:solidFill>
                          <w14:schemeClr w14:val="tx1"/>
                        </w14:solidFill>
                      </w14:textFill>
                    </w:rPr>
                  </w:pPr>
                </w:p>
              </w:tc>
              <w:tc>
                <w:tcPr>
                  <w:tcW w:w="300" w:type="pct"/>
                  <w:vMerge w:val="continue"/>
                  <w:vAlign w:val="center"/>
                </w:tcPr>
                <w:p w14:paraId="40105D1C">
                  <w:pPr>
                    <w:adjustRightInd w:val="0"/>
                    <w:snapToGrid w:val="0"/>
                    <w:jc w:val="center"/>
                    <w:rPr>
                      <w:color w:val="000000" w:themeColor="text1"/>
                      <w:kern w:val="0"/>
                      <w:szCs w:val="21"/>
                      <w14:textFill>
                        <w14:solidFill>
                          <w14:schemeClr w14:val="tx1"/>
                        </w14:solidFill>
                      </w14:textFill>
                    </w:rPr>
                  </w:pPr>
                </w:p>
              </w:tc>
              <w:tc>
                <w:tcPr>
                  <w:tcW w:w="407" w:type="pct"/>
                  <w:vMerge w:val="continue"/>
                  <w:vAlign w:val="center"/>
                </w:tcPr>
                <w:p w14:paraId="32EE3052">
                  <w:pPr>
                    <w:adjustRightInd w:val="0"/>
                    <w:snapToGrid w:val="0"/>
                    <w:jc w:val="center"/>
                    <w:rPr>
                      <w:color w:val="000000" w:themeColor="text1"/>
                      <w:kern w:val="0"/>
                      <w:szCs w:val="21"/>
                      <w14:textFill>
                        <w14:solidFill>
                          <w14:schemeClr w14:val="tx1"/>
                        </w14:solidFill>
                      </w14:textFill>
                    </w:rPr>
                  </w:pPr>
                </w:p>
              </w:tc>
              <w:tc>
                <w:tcPr>
                  <w:tcW w:w="611" w:type="pct"/>
                  <w:vAlign w:val="center"/>
                </w:tcPr>
                <w:p w14:paraId="1792FB7B">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SS</w:t>
                  </w:r>
                </w:p>
              </w:tc>
              <w:tc>
                <w:tcPr>
                  <w:tcW w:w="536" w:type="pct"/>
                  <w:vAlign w:val="center"/>
                </w:tcPr>
                <w:p w14:paraId="5BD1A903">
                  <w:pPr>
                    <w:adjustRightInd w:val="0"/>
                    <w:snapToGrid w:val="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0.0257</w:t>
                  </w:r>
                </w:p>
              </w:tc>
              <w:tc>
                <w:tcPr>
                  <w:tcW w:w="555" w:type="pct"/>
                  <w:vAlign w:val="center"/>
                </w:tcPr>
                <w:p w14:paraId="0B314660">
                  <w:pPr>
                    <w:pStyle w:val="23"/>
                    <w:adjustRightInd w:val="0"/>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150</w:t>
                  </w:r>
                </w:p>
              </w:tc>
              <w:tc>
                <w:tcPr>
                  <w:tcW w:w="407" w:type="pct"/>
                  <w:vMerge w:val="continue"/>
                  <w:vAlign w:val="center"/>
                </w:tcPr>
                <w:p w14:paraId="11D9FEC4">
                  <w:pPr>
                    <w:adjustRightInd w:val="0"/>
                    <w:snapToGrid w:val="0"/>
                    <w:jc w:val="center"/>
                    <w:rPr>
                      <w:color w:val="000000" w:themeColor="text1"/>
                      <w:kern w:val="0"/>
                      <w14:textFill>
                        <w14:solidFill>
                          <w14:schemeClr w14:val="tx1"/>
                        </w14:solidFill>
                      </w14:textFill>
                    </w:rPr>
                  </w:pPr>
                </w:p>
              </w:tc>
              <w:tc>
                <w:tcPr>
                  <w:tcW w:w="817" w:type="pct"/>
                  <w:vMerge w:val="continue"/>
                  <w:vAlign w:val="center"/>
                </w:tcPr>
                <w:p w14:paraId="7D56B949">
                  <w:pPr>
                    <w:adjustRightInd w:val="0"/>
                    <w:snapToGrid w:val="0"/>
                    <w:jc w:val="center"/>
                    <w:rPr>
                      <w:color w:val="000000" w:themeColor="text1"/>
                      <w:kern w:val="0"/>
                      <w14:textFill>
                        <w14:solidFill>
                          <w14:schemeClr w14:val="tx1"/>
                        </w14:solidFill>
                      </w14:textFill>
                    </w:rPr>
                  </w:pPr>
                </w:p>
              </w:tc>
              <w:tc>
                <w:tcPr>
                  <w:tcW w:w="759" w:type="pct"/>
                  <w:vMerge w:val="continue"/>
                  <w:vAlign w:val="center"/>
                </w:tcPr>
                <w:p w14:paraId="760BBADE">
                  <w:pPr>
                    <w:adjustRightInd w:val="0"/>
                    <w:snapToGrid w:val="0"/>
                    <w:jc w:val="center"/>
                    <w:rPr>
                      <w:color w:val="000000" w:themeColor="text1"/>
                      <w:kern w:val="0"/>
                      <w14:textFill>
                        <w14:solidFill>
                          <w14:schemeClr w14:val="tx1"/>
                        </w14:solidFill>
                      </w14:textFill>
                    </w:rPr>
                  </w:pPr>
                </w:p>
              </w:tc>
            </w:tr>
            <w:tr w14:paraId="6534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68D60347">
                  <w:pPr>
                    <w:adjustRightInd w:val="0"/>
                    <w:snapToGrid w:val="0"/>
                    <w:jc w:val="center"/>
                    <w:rPr>
                      <w:color w:val="000000" w:themeColor="text1"/>
                      <w:kern w:val="0"/>
                      <w:szCs w:val="21"/>
                      <w14:textFill>
                        <w14:solidFill>
                          <w14:schemeClr w14:val="tx1"/>
                        </w14:solidFill>
                      </w14:textFill>
                    </w:rPr>
                  </w:pPr>
                </w:p>
              </w:tc>
              <w:tc>
                <w:tcPr>
                  <w:tcW w:w="300" w:type="pct"/>
                  <w:vMerge w:val="continue"/>
                  <w:vAlign w:val="center"/>
                </w:tcPr>
                <w:p w14:paraId="44A54C08">
                  <w:pPr>
                    <w:adjustRightInd w:val="0"/>
                    <w:snapToGrid w:val="0"/>
                    <w:jc w:val="center"/>
                    <w:rPr>
                      <w:color w:val="000000" w:themeColor="text1"/>
                      <w:kern w:val="0"/>
                      <w:szCs w:val="21"/>
                      <w14:textFill>
                        <w14:solidFill>
                          <w14:schemeClr w14:val="tx1"/>
                        </w14:solidFill>
                      </w14:textFill>
                    </w:rPr>
                  </w:pPr>
                </w:p>
              </w:tc>
              <w:tc>
                <w:tcPr>
                  <w:tcW w:w="407" w:type="pct"/>
                  <w:vMerge w:val="continue"/>
                  <w:vAlign w:val="center"/>
                </w:tcPr>
                <w:p w14:paraId="4B91EDC1">
                  <w:pPr>
                    <w:adjustRightInd w:val="0"/>
                    <w:snapToGrid w:val="0"/>
                    <w:jc w:val="center"/>
                    <w:rPr>
                      <w:color w:val="000000" w:themeColor="text1"/>
                      <w:kern w:val="0"/>
                      <w:szCs w:val="21"/>
                      <w14:textFill>
                        <w14:solidFill>
                          <w14:schemeClr w14:val="tx1"/>
                        </w14:solidFill>
                      </w14:textFill>
                    </w:rPr>
                  </w:pPr>
                </w:p>
              </w:tc>
              <w:tc>
                <w:tcPr>
                  <w:tcW w:w="611" w:type="pct"/>
                  <w:vAlign w:val="center"/>
                </w:tcPr>
                <w:p w14:paraId="54CBBA58">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BOD</w:t>
                  </w:r>
                  <w:r>
                    <w:rPr>
                      <w:color w:val="000000" w:themeColor="text1"/>
                      <w:kern w:val="0"/>
                      <w:vertAlign w:val="subscript"/>
                      <w14:textFill>
                        <w14:solidFill>
                          <w14:schemeClr w14:val="tx1"/>
                        </w14:solidFill>
                      </w14:textFill>
                    </w:rPr>
                    <w:t>5</w:t>
                  </w:r>
                </w:p>
              </w:tc>
              <w:tc>
                <w:tcPr>
                  <w:tcW w:w="536" w:type="pct"/>
                  <w:vAlign w:val="center"/>
                </w:tcPr>
                <w:p w14:paraId="6A965519">
                  <w:pPr>
                    <w:adjustRightInd w:val="0"/>
                    <w:snapToGrid w:val="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0.0257</w:t>
                  </w:r>
                </w:p>
              </w:tc>
              <w:tc>
                <w:tcPr>
                  <w:tcW w:w="555" w:type="pct"/>
                  <w:vAlign w:val="center"/>
                </w:tcPr>
                <w:p w14:paraId="22B88B06">
                  <w:pPr>
                    <w:pStyle w:val="23"/>
                    <w:adjustRightInd w:val="0"/>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150</w:t>
                  </w:r>
                </w:p>
              </w:tc>
              <w:tc>
                <w:tcPr>
                  <w:tcW w:w="407" w:type="pct"/>
                  <w:vMerge w:val="continue"/>
                  <w:vAlign w:val="center"/>
                </w:tcPr>
                <w:p w14:paraId="4F7575AE">
                  <w:pPr>
                    <w:adjustRightInd w:val="0"/>
                    <w:snapToGrid w:val="0"/>
                    <w:jc w:val="center"/>
                    <w:rPr>
                      <w:color w:val="000000" w:themeColor="text1"/>
                      <w:kern w:val="0"/>
                      <w14:textFill>
                        <w14:solidFill>
                          <w14:schemeClr w14:val="tx1"/>
                        </w14:solidFill>
                      </w14:textFill>
                    </w:rPr>
                  </w:pPr>
                </w:p>
              </w:tc>
              <w:tc>
                <w:tcPr>
                  <w:tcW w:w="817" w:type="pct"/>
                  <w:vMerge w:val="continue"/>
                  <w:vAlign w:val="center"/>
                </w:tcPr>
                <w:p w14:paraId="6FB7D8FC">
                  <w:pPr>
                    <w:adjustRightInd w:val="0"/>
                    <w:snapToGrid w:val="0"/>
                    <w:jc w:val="center"/>
                    <w:rPr>
                      <w:color w:val="000000" w:themeColor="text1"/>
                      <w:kern w:val="0"/>
                      <w14:textFill>
                        <w14:solidFill>
                          <w14:schemeClr w14:val="tx1"/>
                        </w14:solidFill>
                      </w14:textFill>
                    </w:rPr>
                  </w:pPr>
                </w:p>
              </w:tc>
              <w:tc>
                <w:tcPr>
                  <w:tcW w:w="759" w:type="pct"/>
                  <w:vMerge w:val="continue"/>
                  <w:vAlign w:val="center"/>
                </w:tcPr>
                <w:p w14:paraId="06B03506">
                  <w:pPr>
                    <w:adjustRightInd w:val="0"/>
                    <w:snapToGrid w:val="0"/>
                    <w:jc w:val="center"/>
                    <w:rPr>
                      <w:color w:val="000000" w:themeColor="text1"/>
                      <w:kern w:val="0"/>
                      <w14:textFill>
                        <w14:solidFill>
                          <w14:schemeClr w14:val="tx1"/>
                        </w14:solidFill>
                      </w14:textFill>
                    </w:rPr>
                  </w:pPr>
                </w:p>
              </w:tc>
            </w:tr>
            <w:tr w14:paraId="76C4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5" w:type="pct"/>
                  <w:vMerge w:val="continue"/>
                  <w:vAlign w:val="center"/>
                </w:tcPr>
                <w:p w14:paraId="7FBE5E20">
                  <w:pPr>
                    <w:adjustRightInd w:val="0"/>
                    <w:snapToGrid w:val="0"/>
                    <w:jc w:val="center"/>
                    <w:rPr>
                      <w:color w:val="000000" w:themeColor="text1"/>
                      <w:kern w:val="0"/>
                      <w:szCs w:val="21"/>
                      <w14:textFill>
                        <w14:solidFill>
                          <w14:schemeClr w14:val="tx1"/>
                        </w14:solidFill>
                      </w14:textFill>
                    </w:rPr>
                  </w:pPr>
                </w:p>
              </w:tc>
              <w:tc>
                <w:tcPr>
                  <w:tcW w:w="300" w:type="pct"/>
                  <w:vMerge w:val="continue"/>
                  <w:vAlign w:val="center"/>
                </w:tcPr>
                <w:p w14:paraId="56EB9204">
                  <w:pPr>
                    <w:adjustRightInd w:val="0"/>
                    <w:snapToGrid w:val="0"/>
                    <w:jc w:val="center"/>
                    <w:rPr>
                      <w:color w:val="000000" w:themeColor="text1"/>
                      <w:kern w:val="0"/>
                      <w:szCs w:val="21"/>
                      <w14:textFill>
                        <w14:solidFill>
                          <w14:schemeClr w14:val="tx1"/>
                        </w14:solidFill>
                      </w14:textFill>
                    </w:rPr>
                  </w:pPr>
                </w:p>
              </w:tc>
              <w:tc>
                <w:tcPr>
                  <w:tcW w:w="407" w:type="pct"/>
                  <w:vMerge w:val="continue"/>
                  <w:vAlign w:val="center"/>
                </w:tcPr>
                <w:p w14:paraId="1DDE4A10">
                  <w:pPr>
                    <w:adjustRightInd w:val="0"/>
                    <w:snapToGrid w:val="0"/>
                    <w:jc w:val="center"/>
                    <w:rPr>
                      <w:color w:val="000000" w:themeColor="text1"/>
                      <w:kern w:val="0"/>
                      <w:szCs w:val="21"/>
                      <w14:textFill>
                        <w14:solidFill>
                          <w14:schemeClr w14:val="tx1"/>
                        </w14:solidFill>
                      </w14:textFill>
                    </w:rPr>
                  </w:pPr>
                </w:p>
              </w:tc>
              <w:tc>
                <w:tcPr>
                  <w:tcW w:w="611" w:type="pct"/>
                  <w:vAlign w:val="center"/>
                </w:tcPr>
                <w:p w14:paraId="0E475E3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536" w:type="pct"/>
                  <w:vAlign w:val="center"/>
                </w:tcPr>
                <w:p w14:paraId="4729906A">
                  <w:pPr>
                    <w:adjustRightInd w:val="0"/>
                    <w:snapToGrid w:val="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0.006</w:t>
                  </w:r>
                </w:p>
              </w:tc>
              <w:tc>
                <w:tcPr>
                  <w:tcW w:w="555" w:type="pct"/>
                  <w:vAlign w:val="center"/>
                </w:tcPr>
                <w:p w14:paraId="29E279E9">
                  <w:pPr>
                    <w:pStyle w:val="23"/>
                    <w:adjustRightInd w:val="0"/>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35</w:t>
                  </w:r>
                </w:p>
              </w:tc>
              <w:tc>
                <w:tcPr>
                  <w:tcW w:w="407" w:type="pct"/>
                  <w:vMerge w:val="continue"/>
                  <w:vAlign w:val="center"/>
                </w:tcPr>
                <w:p w14:paraId="0F288466">
                  <w:pPr>
                    <w:adjustRightInd w:val="0"/>
                    <w:snapToGrid w:val="0"/>
                    <w:jc w:val="center"/>
                    <w:rPr>
                      <w:color w:val="000000" w:themeColor="text1"/>
                      <w:kern w:val="0"/>
                      <w14:textFill>
                        <w14:solidFill>
                          <w14:schemeClr w14:val="tx1"/>
                        </w14:solidFill>
                      </w14:textFill>
                    </w:rPr>
                  </w:pPr>
                </w:p>
              </w:tc>
              <w:tc>
                <w:tcPr>
                  <w:tcW w:w="817" w:type="pct"/>
                  <w:vMerge w:val="continue"/>
                  <w:vAlign w:val="center"/>
                </w:tcPr>
                <w:p w14:paraId="7EF0D580">
                  <w:pPr>
                    <w:adjustRightInd w:val="0"/>
                    <w:snapToGrid w:val="0"/>
                    <w:jc w:val="center"/>
                    <w:rPr>
                      <w:color w:val="000000" w:themeColor="text1"/>
                      <w:kern w:val="0"/>
                      <w14:textFill>
                        <w14:solidFill>
                          <w14:schemeClr w14:val="tx1"/>
                        </w14:solidFill>
                      </w14:textFill>
                    </w:rPr>
                  </w:pPr>
                </w:p>
              </w:tc>
              <w:tc>
                <w:tcPr>
                  <w:tcW w:w="759" w:type="pct"/>
                  <w:vMerge w:val="continue"/>
                  <w:vAlign w:val="center"/>
                </w:tcPr>
                <w:p w14:paraId="347ACA55">
                  <w:pPr>
                    <w:adjustRightInd w:val="0"/>
                    <w:snapToGrid w:val="0"/>
                    <w:jc w:val="center"/>
                    <w:rPr>
                      <w:color w:val="000000" w:themeColor="text1"/>
                      <w:kern w:val="0"/>
                      <w14:textFill>
                        <w14:solidFill>
                          <w14:schemeClr w14:val="tx1"/>
                        </w14:solidFill>
                      </w14:textFill>
                    </w:rPr>
                  </w:pPr>
                </w:p>
              </w:tc>
            </w:tr>
          </w:tbl>
          <w:p w14:paraId="61BCF443">
            <w:pPr>
              <w:adjustRightInd w:val="0"/>
              <w:snapToGrid w:val="0"/>
              <w:spacing w:line="360" w:lineRule="auto"/>
              <w:rPr>
                <w:kern w:val="0"/>
                <w:sz w:val="24"/>
              </w:rPr>
            </w:pPr>
          </w:p>
        </w:tc>
      </w:tr>
    </w:tbl>
    <w:p w14:paraId="516A5DD4">
      <w:pPr>
        <w:pStyle w:val="2"/>
        <w:ind w:left="0" w:leftChars="0" w:firstLine="0"/>
        <w:sectPr>
          <w:pgSz w:w="16838" w:h="11906" w:orient="landscape"/>
          <w:pgMar w:top="1803" w:right="1440" w:bottom="1803" w:left="1440" w:header="851" w:footer="851" w:gutter="0"/>
          <w:cols w:space="720" w:num="1"/>
          <w:docGrid w:linePitch="312" w:charSpace="0"/>
        </w:sectPr>
      </w:pPr>
    </w:p>
    <w:tbl>
      <w:tblPr>
        <w:tblStyle w:val="28"/>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3"/>
        <w:gridCol w:w="8438"/>
      </w:tblGrid>
      <w:tr w14:paraId="51CEB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7" w:hRule="atLeast"/>
          <w:jc w:val="center"/>
        </w:trPr>
        <w:tc>
          <w:tcPr>
            <w:tcW w:w="553" w:type="dxa"/>
            <w:tcBorders>
              <w:tl2br w:val="nil"/>
              <w:tr2bl w:val="nil"/>
            </w:tcBorders>
            <w:vAlign w:val="center"/>
          </w:tcPr>
          <w:p w14:paraId="7D0AD49A">
            <w:pPr>
              <w:adjustRightInd w:val="0"/>
              <w:snapToGrid w:val="0"/>
              <w:jc w:val="center"/>
              <w:rPr>
                <w:kern w:val="0"/>
                <w:sz w:val="24"/>
              </w:rPr>
            </w:pPr>
            <w:r>
              <w:rPr>
                <w:kern w:val="0"/>
                <w:sz w:val="24"/>
              </w:rPr>
              <w:t>运营</w:t>
            </w:r>
          </w:p>
          <w:p w14:paraId="2C8E60FE">
            <w:pPr>
              <w:adjustRightInd w:val="0"/>
              <w:snapToGrid w:val="0"/>
              <w:jc w:val="center"/>
              <w:rPr>
                <w:kern w:val="0"/>
                <w:sz w:val="24"/>
              </w:rPr>
            </w:pPr>
            <w:r>
              <w:rPr>
                <w:kern w:val="0"/>
                <w:sz w:val="24"/>
              </w:rPr>
              <w:t>期环</w:t>
            </w:r>
          </w:p>
          <w:p w14:paraId="3C9612E6">
            <w:pPr>
              <w:adjustRightInd w:val="0"/>
              <w:snapToGrid w:val="0"/>
              <w:jc w:val="center"/>
              <w:rPr>
                <w:kern w:val="0"/>
                <w:sz w:val="24"/>
              </w:rPr>
            </w:pPr>
            <w:r>
              <w:rPr>
                <w:kern w:val="0"/>
                <w:sz w:val="24"/>
              </w:rPr>
              <w:t>境影</w:t>
            </w:r>
          </w:p>
          <w:p w14:paraId="5DE6A3BD">
            <w:pPr>
              <w:adjustRightInd w:val="0"/>
              <w:snapToGrid w:val="0"/>
              <w:jc w:val="center"/>
              <w:rPr>
                <w:kern w:val="0"/>
                <w:sz w:val="24"/>
              </w:rPr>
            </w:pPr>
            <w:r>
              <w:rPr>
                <w:kern w:val="0"/>
                <w:sz w:val="24"/>
              </w:rPr>
              <w:t>响和</w:t>
            </w:r>
          </w:p>
          <w:p w14:paraId="46C92075">
            <w:pPr>
              <w:adjustRightInd w:val="0"/>
              <w:snapToGrid w:val="0"/>
              <w:jc w:val="center"/>
              <w:rPr>
                <w:kern w:val="0"/>
                <w:sz w:val="24"/>
              </w:rPr>
            </w:pPr>
            <w:r>
              <w:rPr>
                <w:kern w:val="0"/>
                <w:sz w:val="24"/>
              </w:rPr>
              <w:t>保护</w:t>
            </w:r>
          </w:p>
          <w:p w14:paraId="051D636A">
            <w:pPr>
              <w:pStyle w:val="33"/>
              <w:rPr>
                <w:color w:val="auto"/>
                <w:kern w:val="0"/>
              </w:rPr>
            </w:pPr>
            <w:r>
              <w:rPr>
                <w:color w:val="auto"/>
                <w:kern w:val="0"/>
              </w:rPr>
              <w:t>措施</w:t>
            </w:r>
          </w:p>
        </w:tc>
        <w:tc>
          <w:tcPr>
            <w:tcW w:w="8438" w:type="dxa"/>
            <w:tcBorders>
              <w:tl2br w:val="nil"/>
              <w:tr2bl w:val="nil"/>
            </w:tcBorders>
            <w:vAlign w:val="top"/>
          </w:tcPr>
          <w:p w14:paraId="00DDC97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cs="Times New Roman"/>
                <w:b/>
                <w:bCs/>
                <w:color w:val="auto"/>
                <w:kern w:val="0"/>
                <w:sz w:val="24"/>
              </w:rPr>
            </w:pPr>
            <w:r>
              <w:rPr>
                <w:rFonts w:hint="eastAsia" w:ascii="Times New Roman" w:hAnsi="Times New Roman" w:cs="Times New Roman"/>
                <w:b/>
                <w:bCs/>
                <w:color w:val="auto"/>
                <w:kern w:val="0"/>
                <w:sz w:val="24"/>
              </w:rPr>
              <w:t>监测计划</w:t>
            </w:r>
          </w:p>
          <w:p w14:paraId="5489B0E2">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项目</w:t>
            </w:r>
            <w:r>
              <w:rPr>
                <w:rFonts w:ascii="Times New Roman" w:hAnsi="Times New Roman" w:cs="Times New Roman"/>
                <w:color w:val="auto"/>
                <w:sz w:val="24"/>
              </w:rPr>
              <w:t>采取雨污分流制，</w:t>
            </w:r>
            <w:r>
              <w:rPr>
                <w:rFonts w:hint="eastAsia" w:ascii="Times New Roman" w:hAnsi="Times New Roman" w:cs="Times New Roman"/>
                <w:color w:val="auto"/>
                <w:sz w:val="24"/>
              </w:rPr>
              <w:t>雨水经厂区雨水管网排入周边沟渠</w:t>
            </w:r>
            <w:r>
              <w:rPr>
                <w:rFonts w:ascii="Times New Roman" w:hAnsi="Times New Roman" w:cs="Times New Roman"/>
                <w:color w:val="auto"/>
                <w:sz w:val="24"/>
              </w:rPr>
              <w:t>；</w:t>
            </w:r>
            <w:r>
              <w:rPr>
                <w:rFonts w:hint="eastAsia" w:ascii="Times New Roman" w:hAnsi="Times New Roman" w:cs="Times New Roman"/>
                <w:color w:val="auto"/>
                <w:sz w:val="24"/>
              </w:rPr>
              <w:t>生活污水</w:t>
            </w:r>
            <w:r>
              <w:rPr>
                <w:rFonts w:hint="eastAsia" w:ascii="Times New Roman" w:hAnsi="Times New Roman" w:cs="Times New Roman"/>
                <w:color w:val="auto"/>
                <w:sz w:val="24"/>
                <w:lang w:eastAsia="zh-CN"/>
              </w:rPr>
              <w:t>经</w:t>
            </w:r>
            <w:r>
              <w:rPr>
                <w:rFonts w:hint="eastAsia" w:ascii="Times New Roman" w:hAnsi="Times New Roman" w:cs="Times New Roman"/>
                <w:color w:val="auto"/>
                <w:sz w:val="24"/>
              </w:rPr>
              <w:t>厂区化粪池处理后定期清掏，不外排。</w:t>
            </w:r>
            <w:r>
              <w:rPr>
                <w:rFonts w:ascii="Times New Roman" w:hAnsi="Times New Roman" w:cs="Times New Roman"/>
                <w:color w:val="auto"/>
                <w:sz w:val="24"/>
              </w:rPr>
              <w:t>本项目</w:t>
            </w:r>
            <w:r>
              <w:rPr>
                <w:rFonts w:hint="eastAsia" w:ascii="Times New Roman" w:hAnsi="Times New Roman" w:cs="Times New Roman"/>
                <w:color w:val="auto"/>
                <w:sz w:val="24"/>
              </w:rPr>
              <w:t>不设置</w:t>
            </w:r>
            <w:r>
              <w:rPr>
                <w:rFonts w:ascii="Times New Roman" w:hAnsi="Times New Roman" w:cs="Times New Roman"/>
                <w:color w:val="auto"/>
                <w:sz w:val="24"/>
              </w:rPr>
              <w:t>废水排污口。</w:t>
            </w:r>
          </w:p>
          <w:p w14:paraId="37AF0920">
            <w:pPr>
              <w:widowControl w:val="0"/>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项目于厂区东南侧设置雨水排放口，因此仅对雨水进行定期监测，监测计划如下：</w:t>
            </w:r>
          </w:p>
          <w:p w14:paraId="253F6833">
            <w:pPr>
              <w:adjustRightInd w:val="0"/>
              <w:snapToGrid w:val="0"/>
              <w:spacing w:line="360" w:lineRule="auto"/>
              <w:jc w:val="center"/>
              <w:rPr>
                <w:rFonts w:ascii="Times New Roman" w:hAnsi="Times New Roman" w:cs="Times New Roman"/>
                <w:b/>
                <w:bCs/>
                <w:color w:val="auto"/>
                <w:kern w:val="0"/>
                <w:sz w:val="24"/>
              </w:rPr>
            </w:pPr>
            <w:r>
              <w:rPr>
                <w:rFonts w:ascii="Times New Roman" w:hAnsi="Times New Roman" w:cs="Times New Roman"/>
                <w:b/>
                <w:bCs/>
                <w:color w:val="auto"/>
                <w:kern w:val="0"/>
                <w:sz w:val="24"/>
              </w:rPr>
              <w:t>表4</w:t>
            </w:r>
            <w:r>
              <w:rPr>
                <w:rFonts w:hint="eastAsia" w:cs="Times New Roman"/>
                <w:b/>
                <w:bCs/>
                <w:color w:val="auto"/>
                <w:kern w:val="0"/>
                <w:sz w:val="24"/>
                <w:lang w:val="en-US" w:eastAsia="zh-CN"/>
              </w:rPr>
              <w:t>-5</w:t>
            </w:r>
            <w:r>
              <w:rPr>
                <w:rFonts w:hint="eastAsia" w:ascii="Times New Roman" w:hAnsi="Times New Roman" w:cs="Times New Roman"/>
                <w:b/>
                <w:bCs/>
                <w:color w:val="auto"/>
                <w:kern w:val="0"/>
                <w:sz w:val="24"/>
              </w:rPr>
              <w:t xml:space="preserve"> </w:t>
            </w:r>
            <w:r>
              <w:rPr>
                <w:rFonts w:ascii="Times New Roman" w:hAnsi="Times New Roman" w:cs="Times New Roman"/>
                <w:b/>
                <w:bCs/>
                <w:color w:val="auto"/>
                <w:kern w:val="0"/>
                <w:sz w:val="24"/>
              </w:rPr>
              <w:t xml:space="preserve"> 废</w:t>
            </w:r>
            <w:r>
              <w:rPr>
                <w:rFonts w:hint="eastAsia" w:ascii="Times New Roman" w:hAnsi="Times New Roman" w:cs="Times New Roman"/>
                <w:b/>
                <w:bCs/>
                <w:color w:val="auto"/>
                <w:kern w:val="0"/>
                <w:sz w:val="24"/>
              </w:rPr>
              <w:t>水</w:t>
            </w:r>
            <w:r>
              <w:rPr>
                <w:rFonts w:ascii="Times New Roman" w:hAnsi="Times New Roman" w:cs="Times New Roman"/>
                <w:b/>
                <w:bCs/>
                <w:color w:val="auto"/>
                <w:kern w:val="0"/>
                <w:sz w:val="24"/>
              </w:rPr>
              <w:t>排放口</w:t>
            </w:r>
            <w:r>
              <w:rPr>
                <w:rFonts w:hint="eastAsia" w:ascii="Times New Roman" w:hAnsi="Times New Roman" w:cs="Times New Roman"/>
                <w:b/>
                <w:bCs/>
                <w:color w:val="auto"/>
                <w:kern w:val="0"/>
                <w:sz w:val="24"/>
              </w:rPr>
              <w:t>设置及</w:t>
            </w:r>
            <w:r>
              <w:rPr>
                <w:rFonts w:ascii="Times New Roman" w:hAnsi="Times New Roman" w:cs="Times New Roman"/>
                <w:b/>
                <w:bCs/>
                <w:color w:val="auto"/>
                <w:kern w:val="0"/>
                <w:sz w:val="24"/>
              </w:rPr>
              <w:t>废</w:t>
            </w:r>
            <w:r>
              <w:rPr>
                <w:rFonts w:hint="eastAsia" w:ascii="Times New Roman" w:hAnsi="Times New Roman" w:cs="Times New Roman"/>
                <w:b/>
                <w:bCs/>
                <w:color w:val="auto"/>
                <w:kern w:val="0"/>
                <w:sz w:val="24"/>
              </w:rPr>
              <w:t>水污染物监测计划</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4428"/>
              <w:gridCol w:w="2319"/>
            </w:tblGrid>
            <w:tr w14:paraId="1E18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pct"/>
                  <w:vAlign w:val="center"/>
                </w:tcPr>
                <w:p w14:paraId="0BD47F79">
                  <w:pPr>
                    <w:adjustRightInd w:val="0"/>
                    <w:snapToGrid w:val="0"/>
                    <w:jc w:val="center"/>
                    <w:rPr>
                      <w:rFonts w:ascii="Times New Roman" w:hAnsi="Times New Roman" w:cs="Times New Roman"/>
                      <w:color w:val="auto"/>
                      <w:kern w:val="0"/>
                    </w:rPr>
                  </w:pPr>
                  <w:r>
                    <w:rPr>
                      <w:rFonts w:hint="eastAsia" w:ascii="Times New Roman" w:hAnsi="Times New Roman" w:cs="Times New Roman"/>
                      <w:color w:val="auto"/>
                      <w:kern w:val="0"/>
                    </w:rPr>
                    <w:t>监测点位</w:t>
                  </w:r>
                </w:p>
              </w:tc>
              <w:tc>
                <w:tcPr>
                  <w:tcW w:w="2696" w:type="pct"/>
                  <w:vAlign w:val="center"/>
                </w:tcPr>
                <w:p w14:paraId="24A11F65">
                  <w:pPr>
                    <w:adjustRightInd w:val="0"/>
                    <w:snapToGrid w:val="0"/>
                    <w:jc w:val="center"/>
                    <w:rPr>
                      <w:rFonts w:ascii="Times New Roman" w:hAnsi="Times New Roman" w:cs="Times New Roman"/>
                      <w:color w:val="auto"/>
                      <w:kern w:val="0"/>
                    </w:rPr>
                  </w:pPr>
                  <w:r>
                    <w:rPr>
                      <w:rFonts w:hint="eastAsia" w:ascii="Times New Roman" w:hAnsi="Times New Roman" w:cs="Times New Roman"/>
                      <w:color w:val="auto"/>
                      <w:kern w:val="0"/>
                    </w:rPr>
                    <w:t>监测指标</w:t>
                  </w:r>
                </w:p>
              </w:tc>
              <w:tc>
                <w:tcPr>
                  <w:tcW w:w="1411" w:type="pct"/>
                  <w:vAlign w:val="center"/>
                </w:tcPr>
                <w:p w14:paraId="7FD811FB">
                  <w:pPr>
                    <w:adjustRightInd w:val="0"/>
                    <w:snapToGrid w:val="0"/>
                    <w:jc w:val="center"/>
                    <w:rPr>
                      <w:rFonts w:ascii="Times New Roman" w:hAnsi="Times New Roman" w:cs="Times New Roman"/>
                      <w:color w:val="auto"/>
                      <w:kern w:val="0"/>
                    </w:rPr>
                  </w:pPr>
                  <w:r>
                    <w:rPr>
                      <w:rFonts w:hint="eastAsia" w:ascii="Times New Roman" w:hAnsi="Times New Roman" w:cs="Times New Roman"/>
                      <w:color w:val="auto"/>
                      <w:kern w:val="0"/>
                    </w:rPr>
                    <w:t>监测频次</w:t>
                  </w:r>
                </w:p>
              </w:tc>
            </w:tr>
            <w:tr w14:paraId="5F85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pct"/>
                  <w:vAlign w:val="center"/>
                </w:tcPr>
                <w:p w14:paraId="5CB246C4">
                  <w:pPr>
                    <w:adjustRightInd w:val="0"/>
                    <w:snapToGrid w:val="0"/>
                    <w:jc w:val="center"/>
                    <w:rPr>
                      <w:rFonts w:ascii="Times New Roman" w:hAnsi="Times New Roman" w:cs="Times New Roman"/>
                      <w:color w:val="auto"/>
                      <w:kern w:val="0"/>
                    </w:rPr>
                  </w:pPr>
                  <w:r>
                    <w:rPr>
                      <w:rFonts w:hint="eastAsia" w:ascii="Times New Roman" w:hAnsi="Times New Roman" w:cs="Times New Roman"/>
                      <w:color w:val="auto"/>
                    </w:rPr>
                    <w:t>雨水排放口</w:t>
                  </w:r>
                </w:p>
              </w:tc>
              <w:tc>
                <w:tcPr>
                  <w:tcW w:w="2696" w:type="pct"/>
                  <w:vAlign w:val="center"/>
                </w:tcPr>
                <w:p w14:paraId="0D1C2B63">
                  <w:pPr>
                    <w:adjustRightInd w:val="0"/>
                    <w:snapToGrid w:val="0"/>
                    <w:jc w:val="center"/>
                    <w:rPr>
                      <w:rFonts w:ascii="Times New Roman" w:hAnsi="Times New Roman" w:cs="Times New Roman"/>
                      <w:color w:val="auto"/>
                      <w:kern w:val="0"/>
                    </w:rPr>
                  </w:pPr>
                  <w:r>
                    <w:rPr>
                      <w:rFonts w:ascii="Times New Roman" w:hAnsi="Times New Roman" w:cs="Times New Roman"/>
                      <w:color w:val="auto"/>
                      <w:kern w:val="0"/>
                    </w:rPr>
                    <w:t>pH 值、化学需氧量、</w:t>
                  </w:r>
                  <w:r>
                    <w:rPr>
                      <w:rFonts w:hint="eastAsia" w:ascii="Times New Roman" w:hAnsi="Times New Roman" w:cs="Times New Roman"/>
                      <w:color w:val="auto"/>
                      <w:kern w:val="0"/>
                    </w:rPr>
                    <w:t>氨氮</w:t>
                  </w:r>
                  <w:r>
                    <w:rPr>
                      <w:rFonts w:ascii="Times New Roman" w:hAnsi="Times New Roman" w:cs="Times New Roman"/>
                      <w:color w:val="auto"/>
                      <w:kern w:val="0"/>
                    </w:rPr>
                    <w:t>、悬浮物</w:t>
                  </w:r>
                  <w:r>
                    <w:rPr>
                      <w:rFonts w:hint="eastAsia" w:ascii="Times New Roman" w:hAnsi="Times New Roman" w:cs="Times New Roman"/>
                      <w:color w:val="auto"/>
                      <w:kern w:val="0"/>
                    </w:rPr>
                    <w:t>等</w:t>
                  </w:r>
                </w:p>
              </w:tc>
              <w:tc>
                <w:tcPr>
                  <w:tcW w:w="1411" w:type="pct"/>
                  <w:vAlign w:val="center"/>
                </w:tcPr>
                <w:p w14:paraId="42E068F7">
                  <w:pPr>
                    <w:adjustRightInd w:val="0"/>
                    <w:snapToGrid w:val="0"/>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rPr>
                    <w:t>1次/</w:t>
                  </w:r>
                  <w:r>
                    <w:rPr>
                      <w:rFonts w:hint="eastAsia" w:ascii="Times New Roman" w:hAnsi="Times New Roman" w:cs="Times New Roman"/>
                      <w:color w:val="auto"/>
                      <w:kern w:val="0"/>
                      <w:lang w:eastAsia="zh-CN"/>
                    </w:rPr>
                    <w:t>日</w:t>
                  </w:r>
                </w:p>
              </w:tc>
            </w:tr>
            <w:tr w14:paraId="5FD0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vAlign w:val="center"/>
                </w:tcPr>
                <w:p w14:paraId="6AF184B1">
                  <w:pPr>
                    <w:adjustRightInd w:val="0"/>
                    <w:snapToGrid w:val="0"/>
                    <w:jc w:val="center"/>
                    <w:rPr>
                      <w:rFonts w:hint="eastAsia" w:ascii="Times New Roman" w:hAnsi="Times New Roman" w:eastAsia="宋体" w:cs="Times New Roman"/>
                      <w:color w:val="auto"/>
                      <w:kern w:val="0"/>
                      <w:lang w:eastAsia="zh-CN"/>
                    </w:rPr>
                  </w:pPr>
                  <w:r>
                    <w:rPr>
                      <w:rFonts w:hint="eastAsia" w:cs="Times New Roman"/>
                      <w:color w:val="auto"/>
                      <w:kern w:val="0"/>
                      <w:lang w:eastAsia="zh-CN"/>
                    </w:rPr>
                    <w:t>注：雨水排放口每月有流动水排放时开展一次监测。如监测一年无异常情况，可放宽至每季度有流动水排放时开展一次监测</w:t>
                  </w:r>
                </w:p>
              </w:tc>
            </w:tr>
          </w:tbl>
          <w:p w14:paraId="7C2E856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cs="Times New Roman"/>
                <w:b/>
                <w:bCs/>
                <w:color w:val="auto"/>
                <w:kern w:val="0"/>
                <w:sz w:val="24"/>
              </w:rPr>
            </w:pPr>
            <w:r>
              <w:rPr>
                <w:rFonts w:hint="eastAsia" w:ascii="Times New Roman" w:hAnsi="Times New Roman" w:cs="Times New Roman"/>
                <w:b/>
                <w:bCs/>
                <w:color w:val="auto"/>
                <w:kern w:val="0"/>
                <w:sz w:val="24"/>
              </w:rPr>
              <w:t>3、</w:t>
            </w:r>
            <w:r>
              <w:rPr>
                <w:rFonts w:ascii="Times New Roman" w:hAnsi="Times New Roman" w:cs="Times New Roman"/>
                <w:b/>
                <w:bCs/>
                <w:color w:val="auto"/>
                <w:kern w:val="0"/>
                <w:sz w:val="24"/>
              </w:rPr>
              <w:t>噪声</w:t>
            </w:r>
          </w:p>
          <w:p w14:paraId="6E7DD595">
            <w:pPr>
              <w:pStyle w:val="3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kern w:val="0"/>
              </w:rPr>
            </w:pPr>
            <w:r>
              <w:rPr>
                <w:rFonts w:hint="eastAsia" w:ascii="宋体" w:hAnsi="宋体" w:eastAsia="宋体" w:cs="宋体"/>
                <w:color w:val="auto"/>
                <w:kern w:val="0"/>
                <w:sz w:val="24"/>
                <w:szCs w:val="24"/>
                <w:lang w:val="en-US" w:eastAsia="zh-CN" w:bidi="ar-SA"/>
              </w:rPr>
              <w:t>本项目营运期噪声源主要为搅拌机、破碎机、双压静压砖机、螺旋输送机</w:t>
            </w:r>
            <w:r>
              <w:rPr>
                <w:rFonts w:hint="eastAsia" w:ascii="Times New Roman" w:hAnsi="Times New Roman" w:eastAsia="宋体" w:cs="Times New Roman"/>
                <w:color w:val="auto"/>
                <w:kern w:val="2"/>
                <w:sz w:val="24"/>
                <w:szCs w:val="24"/>
                <w:lang w:val="en-US" w:eastAsia="zh-CN" w:bidi="ar-SA"/>
              </w:rPr>
              <w:t>及风机</w:t>
            </w:r>
            <w:r>
              <w:rPr>
                <w:rFonts w:ascii="Times New Roman" w:hAnsi="Times New Roman" w:eastAsia="宋体" w:cs="Times New Roman"/>
                <w:color w:val="auto"/>
                <w:kern w:val="0"/>
                <w:sz w:val="24"/>
                <w:szCs w:val="24"/>
                <w:lang w:val="en-US" w:eastAsia="zh-CN" w:bidi="ar-SA"/>
              </w:rPr>
              <w:t>运行时产生的噪声，噪声级为</w:t>
            </w:r>
            <w:r>
              <w:rPr>
                <w:rFonts w:hint="eastAsia" w:ascii="Times New Roman" w:hAnsi="Times New Roman" w:eastAsia="宋体" w:cs="Times New Roman"/>
                <w:color w:val="auto"/>
                <w:kern w:val="0"/>
                <w:sz w:val="24"/>
                <w:szCs w:val="24"/>
                <w:lang w:val="en-US" w:eastAsia="zh-CN" w:bidi="ar-SA"/>
              </w:rPr>
              <w:t>80</w:t>
            </w:r>
            <w:r>
              <w:rPr>
                <w:rFonts w:ascii="Times New Roman" w:hAnsi="Times New Roman" w:eastAsia="宋体" w:cs="Times New Roman"/>
                <w:color w:val="auto"/>
                <w:kern w:val="0"/>
                <w:sz w:val="24"/>
                <w:szCs w:val="24"/>
                <w:lang w:val="en-US" w:eastAsia="zh-CN" w:bidi="ar-SA"/>
              </w:rPr>
              <w:t>～90 dB (A)。</w:t>
            </w:r>
            <w:r>
              <w:rPr>
                <w:rFonts w:hint="eastAsia" w:ascii="Times New Roman" w:hAnsi="Times New Roman" w:eastAsia="宋体" w:cs="Times New Roman"/>
                <w:color w:val="auto"/>
                <w:kern w:val="0"/>
                <w:sz w:val="24"/>
                <w:szCs w:val="24"/>
                <w:lang w:val="en-US" w:eastAsia="zh-CN" w:bidi="ar-SA"/>
              </w:rPr>
              <w:t>项目的设备噪声强度见表4.6。</w:t>
            </w:r>
          </w:p>
        </w:tc>
      </w:tr>
    </w:tbl>
    <w:p w14:paraId="2155CA2B">
      <w:pPr>
        <w:adjustRightInd w:val="0"/>
        <w:snapToGrid w:val="0"/>
        <w:jc w:val="center"/>
        <w:rPr>
          <w:kern w:val="0"/>
          <w:sz w:val="24"/>
        </w:rPr>
        <w:sectPr>
          <w:pgSz w:w="11906" w:h="16838"/>
          <w:pgMar w:top="1440" w:right="1803" w:bottom="1440" w:left="1803" w:header="851" w:footer="851" w:gutter="0"/>
          <w:cols w:space="720" w:num="1"/>
          <w:docGrid w:linePitch="312" w:charSpace="0"/>
        </w:sectPr>
      </w:pPr>
    </w:p>
    <w:tbl>
      <w:tblPr>
        <w:tblStyle w:val="28"/>
        <w:tblW w:w="14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3605"/>
      </w:tblGrid>
      <w:tr w14:paraId="64F4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424" w:type="dxa"/>
            <w:tcBorders>
              <w:tl2br w:val="nil"/>
              <w:tr2bl w:val="nil"/>
            </w:tcBorders>
            <w:vAlign w:val="center"/>
          </w:tcPr>
          <w:p w14:paraId="524713F0">
            <w:pPr>
              <w:adjustRightInd w:val="0"/>
              <w:snapToGrid w:val="0"/>
              <w:jc w:val="center"/>
              <w:rPr>
                <w:sz w:val="24"/>
              </w:rPr>
            </w:pPr>
            <w:r>
              <w:rPr>
                <w:sz w:val="24"/>
              </w:rPr>
              <w:t>运营</w:t>
            </w:r>
          </w:p>
          <w:p w14:paraId="173FCD73">
            <w:pPr>
              <w:adjustRightInd w:val="0"/>
              <w:snapToGrid w:val="0"/>
              <w:jc w:val="center"/>
              <w:rPr>
                <w:sz w:val="24"/>
              </w:rPr>
            </w:pPr>
            <w:r>
              <w:rPr>
                <w:sz w:val="24"/>
              </w:rPr>
              <w:t>期环</w:t>
            </w:r>
          </w:p>
          <w:p w14:paraId="1945EEF6">
            <w:pPr>
              <w:adjustRightInd w:val="0"/>
              <w:snapToGrid w:val="0"/>
              <w:jc w:val="center"/>
              <w:rPr>
                <w:sz w:val="24"/>
              </w:rPr>
            </w:pPr>
            <w:r>
              <w:rPr>
                <w:sz w:val="24"/>
              </w:rPr>
              <w:t>境影</w:t>
            </w:r>
          </w:p>
          <w:p w14:paraId="5AF2E889">
            <w:pPr>
              <w:adjustRightInd w:val="0"/>
              <w:snapToGrid w:val="0"/>
              <w:jc w:val="center"/>
              <w:rPr>
                <w:sz w:val="24"/>
              </w:rPr>
            </w:pPr>
            <w:r>
              <w:rPr>
                <w:sz w:val="24"/>
              </w:rPr>
              <w:t>响和</w:t>
            </w:r>
          </w:p>
          <w:p w14:paraId="6BA0BABB">
            <w:pPr>
              <w:adjustRightInd w:val="0"/>
              <w:snapToGrid w:val="0"/>
              <w:jc w:val="center"/>
            </w:pPr>
            <w:r>
              <w:rPr>
                <w:sz w:val="24"/>
              </w:rPr>
              <w:t>保护措施</w:t>
            </w:r>
          </w:p>
        </w:tc>
        <w:tc>
          <w:tcPr>
            <w:tcW w:w="13605" w:type="dxa"/>
            <w:tcBorders>
              <w:tl2br w:val="nil"/>
              <w:tr2bl w:val="nil"/>
            </w:tcBorders>
          </w:tcPr>
          <w:p w14:paraId="14E727A7">
            <w:pPr>
              <w:pStyle w:val="39"/>
              <w:adjustRightInd w:val="0"/>
              <w:snapToGrid w:val="0"/>
              <w:spacing w:line="360" w:lineRule="auto"/>
              <w:ind w:firstLine="0" w:firstLineChars="0"/>
              <w:jc w:val="center"/>
              <w:rPr>
                <w:rFonts w:ascii="Times New Roman" w:hAnsi="Times New Roman" w:eastAsia="宋体"/>
                <w:b/>
                <w:bCs/>
                <w:color w:val="auto"/>
                <w:kern w:val="0"/>
              </w:rPr>
            </w:pPr>
            <w:r>
              <w:rPr>
                <w:rFonts w:hint="eastAsia" w:ascii="Times New Roman" w:hAnsi="Times New Roman" w:eastAsia="宋体"/>
                <w:b/>
                <w:bCs/>
                <w:color w:val="auto"/>
                <w:kern w:val="0"/>
              </w:rPr>
              <w:t>表4</w:t>
            </w:r>
            <w:r>
              <w:rPr>
                <w:rFonts w:hint="eastAsia" w:ascii="Times New Roman" w:hAnsi="Times New Roman" w:eastAsia="宋体"/>
                <w:b/>
                <w:bCs/>
                <w:color w:val="auto"/>
                <w:kern w:val="0"/>
                <w:lang w:val="en-US" w:eastAsia="zh-CN"/>
              </w:rPr>
              <w:t>-6</w:t>
            </w:r>
            <w:r>
              <w:rPr>
                <w:rFonts w:hint="eastAsia" w:ascii="Times New Roman" w:hAnsi="Times New Roman" w:eastAsia="宋体"/>
                <w:b/>
                <w:bCs/>
                <w:color w:val="auto"/>
                <w:kern w:val="0"/>
              </w:rPr>
              <w:t xml:space="preserve">  项目生产车间噪声源强 </w:t>
            </w:r>
            <w:r>
              <w:rPr>
                <w:rFonts w:ascii="Times New Roman" w:hAnsi="Times New Roman" w:eastAsia="宋体"/>
                <w:b/>
                <w:bCs/>
                <w:color w:val="auto"/>
                <w:kern w:val="0"/>
              </w:rPr>
              <w:t>dB（A）</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735"/>
              <w:gridCol w:w="1305"/>
              <w:gridCol w:w="645"/>
              <w:gridCol w:w="1020"/>
              <w:gridCol w:w="885"/>
              <w:gridCol w:w="735"/>
              <w:gridCol w:w="765"/>
              <w:gridCol w:w="675"/>
              <w:gridCol w:w="1275"/>
              <w:gridCol w:w="870"/>
              <w:gridCol w:w="1432"/>
              <w:gridCol w:w="900"/>
              <w:gridCol w:w="832"/>
              <w:gridCol w:w="869"/>
            </w:tblGrid>
            <w:tr w14:paraId="42D7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vMerge w:val="restart"/>
                  <w:tcBorders>
                    <w:tl2br w:val="nil"/>
                    <w:tr2bl w:val="nil"/>
                  </w:tcBorders>
                  <w:noWrap w:val="0"/>
                  <w:vAlign w:val="center"/>
                </w:tcPr>
                <w:p w14:paraId="03BEF822">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序号</w:t>
                  </w:r>
                </w:p>
              </w:tc>
              <w:tc>
                <w:tcPr>
                  <w:tcW w:w="274" w:type="pct"/>
                  <w:vMerge w:val="restart"/>
                  <w:tcBorders>
                    <w:tl2br w:val="nil"/>
                    <w:tr2bl w:val="nil"/>
                  </w:tcBorders>
                  <w:noWrap w:val="0"/>
                  <w:vAlign w:val="center"/>
                </w:tcPr>
                <w:p w14:paraId="345DF05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建筑物名称</w:t>
                  </w:r>
                </w:p>
              </w:tc>
              <w:tc>
                <w:tcPr>
                  <w:tcW w:w="487" w:type="pct"/>
                  <w:vMerge w:val="restart"/>
                  <w:tcBorders>
                    <w:tl2br w:val="nil"/>
                    <w:tr2bl w:val="nil"/>
                  </w:tcBorders>
                  <w:noWrap w:val="0"/>
                  <w:vAlign w:val="center"/>
                </w:tcPr>
                <w:p w14:paraId="0DD6272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声源名称</w:t>
                  </w:r>
                </w:p>
              </w:tc>
              <w:tc>
                <w:tcPr>
                  <w:tcW w:w="241" w:type="pct"/>
                  <w:vMerge w:val="restart"/>
                  <w:tcBorders>
                    <w:tl2br w:val="nil"/>
                    <w:tr2bl w:val="nil"/>
                  </w:tcBorders>
                  <w:noWrap w:val="0"/>
                  <w:vAlign w:val="center"/>
                </w:tcPr>
                <w:p w14:paraId="6C36CC18">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型号</w:t>
                  </w:r>
                </w:p>
              </w:tc>
              <w:tc>
                <w:tcPr>
                  <w:tcW w:w="381" w:type="pct"/>
                  <w:tcBorders>
                    <w:tl2br w:val="nil"/>
                    <w:tr2bl w:val="nil"/>
                  </w:tcBorders>
                  <w:noWrap w:val="0"/>
                  <w:vAlign w:val="center"/>
                </w:tcPr>
                <w:p w14:paraId="303C159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声源源强dB（A）</w:t>
                  </w:r>
                </w:p>
              </w:tc>
              <w:tc>
                <w:tcPr>
                  <w:tcW w:w="330" w:type="pct"/>
                  <w:vMerge w:val="restart"/>
                  <w:tcBorders>
                    <w:tl2br w:val="nil"/>
                    <w:tr2bl w:val="nil"/>
                  </w:tcBorders>
                  <w:noWrap w:val="0"/>
                  <w:vAlign w:val="center"/>
                </w:tcPr>
                <w:p w14:paraId="5CEFEC0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声源控制措施</w:t>
                  </w:r>
                </w:p>
              </w:tc>
              <w:tc>
                <w:tcPr>
                  <w:tcW w:w="813" w:type="pct"/>
                  <w:gridSpan w:val="3"/>
                  <w:tcBorders>
                    <w:tl2br w:val="nil"/>
                    <w:tr2bl w:val="nil"/>
                  </w:tcBorders>
                  <w:noWrap w:val="0"/>
                  <w:vAlign w:val="center"/>
                </w:tcPr>
                <w:p w14:paraId="31A0D9B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空间相对位置m</w:t>
                  </w:r>
                </w:p>
              </w:tc>
              <w:tc>
                <w:tcPr>
                  <w:tcW w:w="476" w:type="pct"/>
                  <w:vMerge w:val="restart"/>
                  <w:tcBorders>
                    <w:tl2br w:val="nil"/>
                    <w:tr2bl w:val="nil"/>
                  </w:tcBorders>
                  <w:noWrap w:val="0"/>
                  <w:vAlign w:val="center"/>
                </w:tcPr>
                <w:p w14:paraId="76819BE1">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ascii="Times New Roman" w:hAnsi="Times New Roman" w:eastAsia="宋体" w:cs="Times New Roman"/>
                      <w:b w:val="0"/>
                      <w:bCs w:val="0"/>
                      <w:color w:val="auto"/>
                      <w:kern w:val="2"/>
                      <w:sz w:val="21"/>
                      <w:szCs w:val="20"/>
                      <w:highlight w:val="none"/>
                      <w:lang w:val="en-US" w:eastAsia="zh-CN" w:bidi="ar-SA"/>
                    </w:rPr>
                  </w:pPr>
                  <w:r>
                    <w:rPr>
                      <w:rFonts w:hint="eastAsia" w:ascii="Times New Roman" w:hAnsi="Times New Roman" w:eastAsia="宋体" w:cs="Times New Roman"/>
                      <w:b w:val="0"/>
                      <w:bCs w:val="0"/>
                      <w:color w:val="auto"/>
                      <w:kern w:val="2"/>
                      <w:sz w:val="21"/>
                      <w:szCs w:val="20"/>
                      <w:highlight w:val="none"/>
                      <w:lang w:val="en-US" w:eastAsia="zh-CN" w:bidi="ar-SA"/>
                    </w:rPr>
                    <w:t>距离</w:t>
                  </w:r>
                  <w:r>
                    <w:rPr>
                      <w:rFonts w:hint="eastAsia" w:cs="Times New Roman"/>
                      <w:b w:val="0"/>
                      <w:bCs w:val="0"/>
                      <w:color w:val="auto"/>
                      <w:kern w:val="2"/>
                      <w:sz w:val="21"/>
                      <w:szCs w:val="20"/>
                      <w:highlight w:val="none"/>
                      <w:lang w:val="en-US" w:eastAsia="zh-CN" w:bidi="ar-SA"/>
                    </w:rPr>
                    <w:t>厂区</w:t>
                  </w:r>
                  <w:r>
                    <w:rPr>
                      <w:rFonts w:hint="eastAsia" w:ascii="Times New Roman" w:hAnsi="Times New Roman" w:eastAsia="宋体" w:cs="Times New Roman"/>
                      <w:b w:val="0"/>
                      <w:bCs w:val="0"/>
                      <w:color w:val="auto"/>
                      <w:kern w:val="2"/>
                      <w:sz w:val="21"/>
                      <w:szCs w:val="20"/>
                      <w:highlight w:val="none"/>
                      <w:lang w:val="en-US" w:eastAsia="zh-CN" w:bidi="ar-SA"/>
                    </w:rPr>
                    <w:t>边界距离m</w:t>
                  </w:r>
                </w:p>
                <w:p w14:paraId="4DF3E2B3">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325" w:type="pct"/>
                  <w:vMerge w:val="restart"/>
                  <w:tcBorders>
                    <w:tl2br w:val="nil"/>
                    <w:tr2bl w:val="nil"/>
                  </w:tcBorders>
                  <w:noWrap w:val="0"/>
                  <w:vAlign w:val="center"/>
                </w:tcPr>
                <w:p w14:paraId="5F0D307E">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室内边界声级dB（A）</w:t>
                  </w:r>
                </w:p>
              </w:tc>
              <w:tc>
                <w:tcPr>
                  <w:tcW w:w="535" w:type="pct"/>
                  <w:vMerge w:val="restart"/>
                  <w:tcBorders>
                    <w:tl2br w:val="nil"/>
                    <w:tr2bl w:val="nil"/>
                  </w:tcBorders>
                  <w:noWrap w:val="0"/>
                  <w:vAlign w:val="center"/>
                </w:tcPr>
                <w:p w14:paraId="1D3821C7">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运行时段（h）</w:t>
                  </w:r>
                </w:p>
              </w:tc>
              <w:tc>
                <w:tcPr>
                  <w:tcW w:w="336" w:type="pct"/>
                  <w:vMerge w:val="restart"/>
                  <w:tcBorders>
                    <w:tl2br w:val="nil"/>
                    <w:tr2bl w:val="nil"/>
                  </w:tcBorders>
                  <w:noWrap w:val="0"/>
                  <w:vAlign w:val="center"/>
                </w:tcPr>
                <w:p w14:paraId="14725FD0">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建筑物插入损失dB（A）</w:t>
                  </w:r>
                </w:p>
              </w:tc>
              <w:tc>
                <w:tcPr>
                  <w:tcW w:w="635" w:type="pct"/>
                  <w:gridSpan w:val="2"/>
                  <w:tcBorders>
                    <w:tl2br w:val="nil"/>
                    <w:tr2bl w:val="nil"/>
                  </w:tcBorders>
                  <w:noWrap w:val="0"/>
                  <w:vAlign w:val="center"/>
                </w:tcPr>
                <w:p w14:paraId="3E8A4A01">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建筑物外噪声</w:t>
                  </w:r>
                </w:p>
              </w:tc>
            </w:tr>
            <w:tr w14:paraId="0C1E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vMerge w:val="continue"/>
                  <w:tcBorders>
                    <w:tl2br w:val="nil"/>
                    <w:tr2bl w:val="nil"/>
                  </w:tcBorders>
                  <w:noWrap w:val="0"/>
                  <w:vAlign w:val="center"/>
                </w:tcPr>
                <w:p w14:paraId="720A0B5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274" w:type="pct"/>
                  <w:vMerge w:val="continue"/>
                  <w:tcBorders>
                    <w:tl2br w:val="nil"/>
                    <w:tr2bl w:val="nil"/>
                  </w:tcBorders>
                  <w:noWrap w:val="0"/>
                  <w:vAlign w:val="center"/>
                </w:tcPr>
                <w:p w14:paraId="4DAAB44C">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487" w:type="pct"/>
                  <w:vMerge w:val="continue"/>
                  <w:tcBorders>
                    <w:tl2br w:val="nil"/>
                    <w:tr2bl w:val="nil"/>
                  </w:tcBorders>
                  <w:noWrap w:val="0"/>
                  <w:vAlign w:val="center"/>
                </w:tcPr>
                <w:p w14:paraId="59ADF9D6">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241" w:type="pct"/>
                  <w:vMerge w:val="continue"/>
                  <w:tcBorders>
                    <w:tl2br w:val="nil"/>
                    <w:tr2bl w:val="nil"/>
                  </w:tcBorders>
                  <w:noWrap w:val="0"/>
                  <w:vAlign w:val="center"/>
                </w:tcPr>
                <w:p w14:paraId="33A521D8">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381" w:type="pct"/>
                  <w:tcBorders>
                    <w:tl2br w:val="nil"/>
                    <w:tr2bl w:val="nil"/>
                  </w:tcBorders>
                  <w:noWrap w:val="0"/>
                  <w:vAlign w:val="center"/>
                </w:tcPr>
                <w:p w14:paraId="7ACB6266">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声功率级</w:t>
                  </w:r>
                </w:p>
              </w:tc>
              <w:tc>
                <w:tcPr>
                  <w:tcW w:w="330" w:type="pct"/>
                  <w:vMerge w:val="continue"/>
                  <w:tcBorders>
                    <w:tl2br w:val="nil"/>
                    <w:tr2bl w:val="nil"/>
                  </w:tcBorders>
                  <w:noWrap w:val="0"/>
                  <w:vAlign w:val="center"/>
                </w:tcPr>
                <w:p w14:paraId="56AD170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274" w:type="pct"/>
                  <w:tcBorders>
                    <w:tl2br w:val="nil"/>
                    <w:tr2bl w:val="nil"/>
                  </w:tcBorders>
                  <w:noWrap w:val="0"/>
                  <w:vAlign w:val="center"/>
                </w:tcPr>
                <w:p w14:paraId="1453094E">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X</w:t>
                  </w:r>
                </w:p>
              </w:tc>
              <w:tc>
                <w:tcPr>
                  <w:tcW w:w="286" w:type="pct"/>
                  <w:tcBorders>
                    <w:tl2br w:val="nil"/>
                    <w:tr2bl w:val="nil"/>
                  </w:tcBorders>
                  <w:noWrap w:val="0"/>
                  <w:vAlign w:val="center"/>
                </w:tcPr>
                <w:p w14:paraId="3D2A45E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Y</w:t>
                  </w:r>
                </w:p>
              </w:tc>
              <w:tc>
                <w:tcPr>
                  <w:tcW w:w="252" w:type="pct"/>
                  <w:tcBorders>
                    <w:tl2br w:val="nil"/>
                    <w:tr2bl w:val="nil"/>
                  </w:tcBorders>
                  <w:noWrap w:val="0"/>
                  <w:vAlign w:val="center"/>
                </w:tcPr>
                <w:p w14:paraId="1CFBED68">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Z</w:t>
                  </w:r>
                </w:p>
              </w:tc>
              <w:tc>
                <w:tcPr>
                  <w:tcW w:w="476" w:type="pct"/>
                  <w:vMerge w:val="continue"/>
                  <w:tcBorders>
                    <w:tl2br w:val="nil"/>
                    <w:tr2bl w:val="nil"/>
                  </w:tcBorders>
                  <w:noWrap w:val="0"/>
                  <w:vAlign w:val="center"/>
                </w:tcPr>
                <w:p w14:paraId="178F530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325" w:type="pct"/>
                  <w:vMerge w:val="continue"/>
                  <w:tcBorders>
                    <w:tl2br w:val="nil"/>
                    <w:tr2bl w:val="nil"/>
                  </w:tcBorders>
                  <w:noWrap w:val="0"/>
                  <w:vAlign w:val="center"/>
                </w:tcPr>
                <w:p w14:paraId="304CE2C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0"/>
                      <w:highlight w:val="none"/>
                      <w:lang w:val="en-US" w:eastAsia="zh-CN" w:bidi="ar-SA"/>
                    </w:rPr>
                  </w:pPr>
                </w:p>
              </w:tc>
              <w:tc>
                <w:tcPr>
                  <w:tcW w:w="535" w:type="pct"/>
                  <w:vMerge w:val="continue"/>
                  <w:tcBorders>
                    <w:tl2br w:val="nil"/>
                    <w:tr2bl w:val="nil"/>
                  </w:tcBorders>
                  <w:noWrap w:val="0"/>
                  <w:vAlign w:val="center"/>
                </w:tcPr>
                <w:p w14:paraId="4339C46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336" w:type="pct"/>
                  <w:vMerge w:val="continue"/>
                  <w:tcBorders>
                    <w:tl2br w:val="nil"/>
                    <w:tr2bl w:val="nil"/>
                  </w:tcBorders>
                  <w:noWrap w:val="0"/>
                  <w:vAlign w:val="center"/>
                </w:tcPr>
                <w:p w14:paraId="1B65D80C">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p>
              </w:tc>
              <w:tc>
                <w:tcPr>
                  <w:tcW w:w="311" w:type="pct"/>
                  <w:tcBorders>
                    <w:tl2br w:val="nil"/>
                    <w:tr2bl w:val="nil"/>
                  </w:tcBorders>
                  <w:noWrap w:val="0"/>
                  <w:vAlign w:val="center"/>
                </w:tcPr>
                <w:p w14:paraId="1434FD6B">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声压级dB（A）</w:t>
                  </w:r>
                </w:p>
              </w:tc>
              <w:tc>
                <w:tcPr>
                  <w:tcW w:w="324" w:type="pct"/>
                  <w:tcBorders>
                    <w:tl2br w:val="nil"/>
                    <w:tr2bl w:val="nil"/>
                  </w:tcBorders>
                  <w:noWrap w:val="0"/>
                  <w:vAlign w:val="center"/>
                </w:tcPr>
                <w:p w14:paraId="0CC27A68">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建筑物外距离</w:t>
                  </w:r>
                </w:p>
              </w:tc>
            </w:tr>
            <w:tr w14:paraId="5C7E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0" w:type="pct"/>
                  <w:tcBorders>
                    <w:tl2br w:val="nil"/>
                    <w:tr2bl w:val="nil"/>
                  </w:tcBorders>
                  <w:noWrap w:val="0"/>
                  <w:vAlign w:val="center"/>
                </w:tcPr>
                <w:p w14:paraId="64AD0795">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w:t>
                  </w:r>
                </w:p>
              </w:tc>
              <w:tc>
                <w:tcPr>
                  <w:tcW w:w="274" w:type="pct"/>
                  <w:vMerge w:val="restart"/>
                  <w:tcBorders>
                    <w:tl2br w:val="nil"/>
                    <w:tr2bl w:val="nil"/>
                  </w:tcBorders>
                  <w:noWrap w:val="0"/>
                  <w:vAlign w:val="center"/>
                </w:tcPr>
                <w:p w14:paraId="5D29B94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eastAsia="zh-CN"/>
                    </w:rPr>
                    <w:t>生产车间</w:t>
                  </w:r>
                </w:p>
              </w:tc>
              <w:tc>
                <w:tcPr>
                  <w:tcW w:w="487" w:type="pct"/>
                  <w:tcBorders>
                    <w:tl2br w:val="nil"/>
                    <w:tr2bl w:val="nil"/>
                  </w:tcBorders>
                  <w:noWrap w:val="0"/>
                  <w:vAlign w:val="center"/>
                </w:tcPr>
                <w:p w14:paraId="68265DD6">
                  <w:pPr>
                    <w:widowControl/>
                    <w:jc w:val="center"/>
                    <w:rPr>
                      <w:rFonts w:hint="default" w:ascii="宋体" w:hAnsi="宋体" w:cs="宋体"/>
                      <w:b w:val="0"/>
                      <w:bCs w:val="0"/>
                      <w:snapToGrid/>
                      <w:color w:val="auto"/>
                      <w:spacing w:val="0"/>
                      <w:kern w:val="0"/>
                      <w:position w:val="0"/>
                      <w:sz w:val="21"/>
                      <w:szCs w:val="21"/>
                      <w:highlight w:val="none"/>
                      <w:lang w:val="en-US" w:eastAsia="zh-CN"/>
                    </w:rPr>
                  </w:pPr>
                  <w:r>
                    <w:rPr>
                      <w:rFonts w:hint="eastAsia" w:ascii="宋体" w:hAnsi="宋体" w:cs="宋体"/>
                      <w:b w:val="0"/>
                      <w:bCs w:val="0"/>
                      <w:snapToGrid/>
                      <w:color w:val="auto"/>
                      <w:spacing w:val="0"/>
                      <w:kern w:val="0"/>
                      <w:position w:val="0"/>
                      <w:sz w:val="21"/>
                      <w:szCs w:val="21"/>
                      <w:highlight w:val="none"/>
                      <w:lang w:val="en-US" w:eastAsia="zh-CN"/>
                    </w:rPr>
                    <w:t>破碎机</w:t>
                  </w:r>
                </w:p>
              </w:tc>
              <w:tc>
                <w:tcPr>
                  <w:tcW w:w="241" w:type="pct"/>
                  <w:tcBorders>
                    <w:tl2br w:val="nil"/>
                    <w:tr2bl w:val="nil"/>
                  </w:tcBorders>
                  <w:noWrap w:val="0"/>
                  <w:vAlign w:val="center"/>
                </w:tcPr>
                <w:p w14:paraId="42AF8EA0">
                  <w:pPr>
                    <w:keepNext w:val="0"/>
                    <w:keepLines w:val="0"/>
                    <w:pageBreakBefore w:val="0"/>
                    <w:kinsoku/>
                    <w:wordWrap/>
                    <w:overflowPunct/>
                    <w:topLinePunct w:val="0"/>
                    <w:bidi w:val="0"/>
                    <w:adjustRightInd w:val="0"/>
                    <w:snapToGrid w:val="0"/>
                    <w:spacing w:line="240" w:lineRule="auto"/>
                    <w:ind w:right="0" w:rightChars="0"/>
                    <w:jc w:val="center"/>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w:t>
                  </w:r>
                </w:p>
              </w:tc>
              <w:tc>
                <w:tcPr>
                  <w:tcW w:w="381" w:type="pct"/>
                  <w:tcBorders>
                    <w:tl2br w:val="nil"/>
                    <w:tr2bl w:val="nil"/>
                  </w:tcBorders>
                  <w:noWrap w:val="0"/>
                  <w:vAlign w:val="center"/>
                </w:tcPr>
                <w:p w14:paraId="4A703CED">
                  <w:pPr>
                    <w:widowControl/>
                    <w:jc w:val="center"/>
                    <w:rPr>
                      <w:rFonts w:hint="default" w:cs="Times New Roman"/>
                      <w:b w:val="0"/>
                      <w:bCs w:val="0"/>
                      <w:snapToGrid/>
                      <w:color w:val="auto"/>
                      <w:spacing w:val="0"/>
                      <w:kern w:val="0"/>
                      <w:position w:val="0"/>
                      <w:sz w:val="21"/>
                      <w:szCs w:val="22"/>
                      <w:highlight w:val="none"/>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30" w:type="pct"/>
                  <w:vMerge w:val="restart"/>
                  <w:tcBorders>
                    <w:tl2br w:val="nil"/>
                    <w:tr2bl w:val="nil"/>
                  </w:tcBorders>
                  <w:noWrap w:val="0"/>
                  <w:vAlign w:val="center"/>
                </w:tcPr>
                <w:p w14:paraId="686DC8BE">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4472C4" w:themeColor="accent5"/>
                      <w:highlight w:val="none"/>
                      <w:lang w:val="en-US" w:eastAsia="zh-CN"/>
                      <w14:textFill>
                        <w14:solidFill>
                          <w14:schemeClr w14:val="accent5"/>
                        </w14:solidFill>
                      </w14:textFill>
                    </w:rPr>
                  </w:pPr>
                  <w:r>
                    <w:rPr>
                      <w:rFonts w:hint="default" w:ascii="Times New Roman" w:hAnsi="Times New Roman" w:eastAsia="宋体" w:cs="Times New Roman"/>
                      <w:b w:val="0"/>
                      <w:bCs w:val="0"/>
                      <w:color w:val="auto"/>
                      <w:sz w:val="21"/>
                      <w:highlight w:val="none"/>
                    </w:rPr>
                    <w:t>选用低噪声设备、加设减振基础、厂房隔声、距离衰减</w:t>
                  </w:r>
                </w:p>
              </w:tc>
              <w:tc>
                <w:tcPr>
                  <w:tcW w:w="274" w:type="pct"/>
                  <w:tcBorders>
                    <w:tl2br w:val="nil"/>
                    <w:tr2bl w:val="nil"/>
                  </w:tcBorders>
                  <w:noWrap w:val="0"/>
                  <w:vAlign w:val="center"/>
                </w:tcPr>
                <w:p w14:paraId="2E6CAF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7</w:t>
                  </w:r>
                </w:p>
              </w:tc>
              <w:tc>
                <w:tcPr>
                  <w:tcW w:w="286" w:type="pct"/>
                  <w:tcBorders>
                    <w:tl2br w:val="nil"/>
                    <w:tr2bl w:val="nil"/>
                  </w:tcBorders>
                  <w:noWrap w:val="0"/>
                  <w:vAlign w:val="center"/>
                </w:tcPr>
                <w:p w14:paraId="4D80FF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8</w:t>
                  </w:r>
                </w:p>
              </w:tc>
              <w:tc>
                <w:tcPr>
                  <w:tcW w:w="252" w:type="pct"/>
                  <w:tcBorders>
                    <w:tl2br w:val="nil"/>
                    <w:tr2bl w:val="nil"/>
                  </w:tcBorders>
                  <w:noWrap w:val="0"/>
                  <w:vAlign w:val="center"/>
                </w:tcPr>
                <w:p w14:paraId="31AF43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476" w:type="pct"/>
                  <w:tcBorders>
                    <w:tl2br w:val="nil"/>
                    <w:tr2bl w:val="nil"/>
                  </w:tcBorders>
                  <w:noWrap w:val="0"/>
                  <w:vAlign w:val="center"/>
                </w:tcPr>
                <w:p w14:paraId="31FD07B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宋体"/>
                      <w:b w:val="0"/>
                      <w:bCs w:val="0"/>
                      <w:color w:val="auto"/>
                      <w:spacing w:val="-2"/>
                      <w:sz w:val="21"/>
                      <w:szCs w:val="20"/>
                      <w:highlight w:val="none"/>
                      <w:lang w:val="en-US" w:eastAsia="zh-CN" w:bidi="ar-SA"/>
                    </w:rPr>
                  </w:pPr>
                  <w:r>
                    <w:rPr>
                      <w:rFonts w:hint="eastAsia" w:cs="Times New Roman"/>
                      <w:b w:val="0"/>
                      <w:bCs w:val="0"/>
                      <w:color w:val="auto"/>
                      <w:kern w:val="2"/>
                      <w:sz w:val="21"/>
                      <w:szCs w:val="20"/>
                      <w:highlight w:val="none"/>
                      <w:lang w:val="en-US" w:eastAsia="zh-CN" w:bidi="ar-SA"/>
                    </w:rPr>
                    <w:t>22</w:t>
                  </w:r>
                </w:p>
              </w:tc>
              <w:tc>
                <w:tcPr>
                  <w:tcW w:w="325" w:type="pct"/>
                  <w:tcBorders>
                    <w:tl2br w:val="nil"/>
                    <w:tr2bl w:val="nil"/>
                  </w:tcBorders>
                  <w:noWrap w:val="0"/>
                  <w:vAlign w:val="center"/>
                </w:tcPr>
                <w:p w14:paraId="0EF270E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cs="Times New Roman"/>
                      <w:b w:val="0"/>
                      <w:bCs w:val="0"/>
                      <w:color w:val="auto"/>
                      <w:kern w:val="2"/>
                      <w:sz w:val="21"/>
                      <w:szCs w:val="20"/>
                      <w:highlight w:val="none"/>
                      <w:lang w:val="en-US" w:eastAsia="zh-CN" w:bidi="ar-SA"/>
                    </w:rPr>
                    <w:t>53</w:t>
                  </w:r>
                </w:p>
              </w:tc>
              <w:tc>
                <w:tcPr>
                  <w:tcW w:w="535" w:type="pct"/>
                  <w:tcBorders>
                    <w:tl2br w:val="nil"/>
                    <w:tr2bl w:val="nil"/>
                  </w:tcBorders>
                  <w:noWrap w:val="0"/>
                  <w:vAlign w:val="center"/>
                </w:tcPr>
                <w:p w14:paraId="74A81C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25477F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36" w:type="pct"/>
                  <w:tcBorders>
                    <w:tl2br w:val="nil"/>
                    <w:tr2bl w:val="nil"/>
                  </w:tcBorders>
                  <w:noWrap w:val="0"/>
                  <w:vAlign w:val="center"/>
                </w:tcPr>
                <w:p w14:paraId="60CF6E6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15</w:t>
                  </w:r>
                </w:p>
              </w:tc>
              <w:tc>
                <w:tcPr>
                  <w:tcW w:w="311" w:type="pct"/>
                  <w:tcBorders>
                    <w:tl2br w:val="nil"/>
                    <w:tr2bl w:val="nil"/>
                  </w:tcBorders>
                  <w:noWrap w:val="0"/>
                  <w:vAlign w:val="center"/>
                </w:tcPr>
                <w:p w14:paraId="144FC58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38</w:t>
                  </w:r>
                </w:p>
              </w:tc>
              <w:tc>
                <w:tcPr>
                  <w:tcW w:w="324" w:type="pct"/>
                  <w:tcBorders>
                    <w:tl2br w:val="nil"/>
                    <w:tr2bl w:val="nil"/>
                  </w:tcBorders>
                  <w:noWrap w:val="0"/>
                  <w:vAlign w:val="center"/>
                </w:tcPr>
                <w:p w14:paraId="58FAAA20">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highlight w:val="none"/>
                      <w:lang w:val="en-US" w:eastAsia="zh-CN"/>
                    </w:rPr>
                  </w:pPr>
                  <w:r>
                    <w:rPr>
                      <w:rFonts w:hint="eastAsia"/>
                      <w:b w:val="0"/>
                      <w:bCs w:val="0"/>
                      <w:color w:val="auto"/>
                      <w:highlight w:val="none"/>
                      <w:lang w:val="en-US" w:eastAsia="zh-CN"/>
                    </w:rPr>
                    <w:t>1m</w:t>
                  </w:r>
                </w:p>
              </w:tc>
            </w:tr>
            <w:tr w14:paraId="0E19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0" w:type="pct"/>
                  <w:tcBorders>
                    <w:tl2br w:val="nil"/>
                    <w:tr2bl w:val="nil"/>
                  </w:tcBorders>
                  <w:noWrap w:val="0"/>
                  <w:vAlign w:val="center"/>
                </w:tcPr>
                <w:p w14:paraId="6F7AD146">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2</w:t>
                  </w:r>
                </w:p>
              </w:tc>
              <w:tc>
                <w:tcPr>
                  <w:tcW w:w="274" w:type="pct"/>
                  <w:vMerge w:val="continue"/>
                  <w:tcBorders>
                    <w:tl2br w:val="nil"/>
                    <w:tr2bl w:val="nil"/>
                  </w:tcBorders>
                  <w:noWrap w:val="0"/>
                  <w:vAlign w:val="center"/>
                </w:tcPr>
                <w:p w14:paraId="2A1A5BF0">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4472C4" w:themeColor="accent5"/>
                      <w:sz w:val="21"/>
                      <w:szCs w:val="21"/>
                      <w:highlight w:val="none"/>
                      <w:lang w:eastAsia="zh-CN"/>
                      <w14:textFill>
                        <w14:solidFill>
                          <w14:schemeClr w14:val="accent5"/>
                        </w14:solidFill>
                      </w14:textFill>
                    </w:rPr>
                  </w:pPr>
                </w:p>
              </w:tc>
              <w:tc>
                <w:tcPr>
                  <w:tcW w:w="487" w:type="pct"/>
                  <w:tcBorders>
                    <w:tl2br w:val="nil"/>
                    <w:tr2bl w:val="nil"/>
                  </w:tcBorders>
                  <w:noWrap w:val="0"/>
                  <w:vAlign w:val="center"/>
                </w:tcPr>
                <w:p w14:paraId="2D1FAC81">
                  <w:pPr>
                    <w:widowControl/>
                    <w:jc w:val="center"/>
                    <w:rPr>
                      <w:rFonts w:hint="default" w:ascii="宋体" w:hAnsi="宋体" w:eastAsia="宋体" w:cs="宋体"/>
                      <w:b w:val="0"/>
                      <w:bCs w:val="0"/>
                      <w:snapToGrid/>
                      <w:color w:val="auto"/>
                      <w:spacing w:val="0"/>
                      <w:kern w:val="0"/>
                      <w:position w:val="0"/>
                      <w:sz w:val="21"/>
                      <w:szCs w:val="21"/>
                      <w:highlight w:val="none"/>
                      <w:lang w:val="en-US" w:eastAsia="zh-CN"/>
                    </w:rPr>
                  </w:pPr>
                  <w:r>
                    <w:rPr>
                      <w:rFonts w:hint="eastAsia" w:ascii="宋体" w:hAnsi="宋体" w:cs="宋体"/>
                      <w:b w:val="0"/>
                      <w:bCs w:val="0"/>
                      <w:snapToGrid/>
                      <w:color w:val="auto"/>
                      <w:spacing w:val="0"/>
                      <w:kern w:val="0"/>
                      <w:position w:val="0"/>
                      <w:sz w:val="21"/>
                      <w:szCs w:val="21"/>
                      <w:highlight w:val="none"/>
                      <w:lang w:val="en-US" w:eastAsia="zh-CN"/>
                    </w:rPr>
                    <w:t>粉碎机</w:t>
                  </w:r>
                </w:p>
              </w:tc>
              <w:tc>
                <w:tcPr>
                  <w:tcW w:w="241" w:type="pct"/>
                  <w:tcBorders>
                    <w:tl2br w:val="nil"/>
                    <w:tr2bl w:val="nil"/>
                  </w:tcBorders>
                  <w:noWrap w:val="0"/>
                  <w:vAlign w:val="center"/>
                </w:tcPr>
                <w:p w14:paraId="641AE6B1">
                  <w:pPr>
                    <w:keepNext w:val="0"/>
                    <w:keepLines w:val="0"/>
                    <w:pageBreakBefore w:val="0"/>
                    <w:kinsoku/>
                    <w:wordWrap/>
                    <w:overflowPunct/>
                    <w:topLinePunct w:val="0"/>
                    <w:bidi w:val="0"/>
                    <w:adjustRightInd w:val="0"/>
                    <w:snapToGrid w:val="0"/>
                    <w:spacing w:line="240" w:lineRule="auto"/>
                    <w:ind w:right="0" w:rightChars="0"/>
                    <w:jc w:val="center"/>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w:t>
                  </w:r>
                </w:p>
              </w:tc>
              <w:tc>
                <w:tcPr>
                  <w:tcW w:w="381" w:type="pct"/>
                  <w:tcBorders>
                    <w:tl2br w:val="nil"/>
                    <w:tr2bl w:val="nil"/>
                  </w:tcBorders>
                  <w:noWrap w:val="0"/>
                  <w:vAlign w:val="center"/>
                </w:tcPr>
                <w:p w14:paraId="1B3063B7">
                  <w:pPr>
                    <w:widowControl/>
                    <w:jc w:val="center"/>
                    <w:rPr>
                      <w:rFonts w:hint="default" w:cs="Times New Roman"/>
                      <w:b w:val="0"/>
                      <w:bCs w:val="0"/>
                      <w:snapToGrid/>
                      <w:color w:val="auto"/>
                      <w:spacing w:val="0"/>
                      <w:kern w:val="0"/>
                      <w:position w:val="0"/>
                      <w:sz w:val="21"/>
                      <w:szCs w:val="22"/>
                      <w:highlight w:val="none"/>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30" w:type="pct"/>
                  <w:vMerge w:val="continue"/>
                  <w:tcBorders>
                    <w:tl2br w:val="nil"/>
                    <w:tr2bl w:val="nil"/>
                  </w:tcBorders>
                  <w:noWrap w:val="0"/>
                  <w:vAlign w:val="center"/>
                </w:tcPr>
                <w:p w14:paraId="1796BC92">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ascii="Times New Roman" w:hAnsi="Times New Roman" w:eastAsia="宋体" w:cs="Times New Roman"/>
                      <w:b w:val="0"/>
                      <w:bCs w:val="0"/>
                      <w:color w:val="4472C4" w:themeColor="accent5"/>
                      <w:sz w:val="21"/>
                      <w:highlight w:val="none"/>
                      <w14:textFill>
                        <w14:solidFill>
                          <w14:schemeClr w14:val="accent5"/>
                        </w14:solidFill>
                      </w14:textFill>
                    </w:rPr>
                  </w:pPr>
                </w:p>
              </w:tc>
              <w:tc>
                <w:tcPr>
                  <w:tcW w:w="274" w:type="pct"/>
                  <w:tcBorders>
                    <w:tl2br w:val="nil"/>
                    <w:tr2bl w:val="nil"/>
                  </w:tcBorders>
                  <w:noWrap w:val="0"/>
                  <w:vAlign w:val="center"/>
                </w:tcPr>
                <w:p w14:paraId="774587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10</w:t>
                  </w:r>
                </w:p>
              </w:tc>
              <w:tc>
                <w:tcPr>
                  <w:tcW w:w="286" w:type="pct"/>
                  <w:tcBorders>
                    <w:tl2br w:val="nil"/>
                    <w:tr2bl w:val="nil"/>
                  </w:tcBorders>
                  <w:noWrap w:val="0"/>
                  <w:vAlign w:val="center"/>
                </w:tcPr>
                <w:p w14:paraId="7562D1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11</w:t>
                  </w:r>
                </w:p>
              </w:tc>
              <w:tc>
                <w:tcPr>
                  <w:tcW w:w="252" w:type="pct"/>
                  <w:tcBorders>
                    <w:tl2br w:val="nil"/>
                    <w:tr2bl w:val="nil"/>
                  </w:tcBorders>
                  <w:noWrap w:val="0"/>
                  <w:vAlign w:val="center"/>
                </w:tcPr>
                <w:p w14:paraId="6AC076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476" w:type="pct"/>
                  <w:tcBorders>
                    <w:tl2br w:val="nil"/>
                    <w:tr2bl w:val="nil"/>
                  </w:tcBorders>
                  <w:noWrap w:val="0"/>
                  <w:vAlign w:val="center"/>
                </w:tcPr>
                <w:p w14:paraId="3722158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宋体"/>
                      <w:b w:val="0"/>
                      <w:bCs w:val="0"/>
                      <w:color w:val="auto"/>
                      <w:spacing w:val="-2"/>
                      <w:sz w:val="21"/>
                      <w:szCs w:val="20"/>
                      <w:highlight w:val="none"/>
                      <w:lang w:val="en-US" w:eastAsia="zh-CN" w:bidi="ar-SA"/>
                    </w:rPr>
                  </w:pPr>
                  <w:r>
                    <w:rPr>
                      <w:rFonts w:hint="eastAsia" w:cs="Times New Roman"/>
                      <w:b w:val="0"/>
                      <w:bCs w:val="0"/>
                      <w:color w:val="auto"/>
                      <w:kern w:val="2"/>
                      <w:sz w:val="21"/>
                      <w:szCs w:val="20"/>
                      <w:highlight w:val="none"/>
                      <w:lang w:val="en-US" w:eastAsia="zh-CN" w:bidi="ar-SA"/>
                    </w:rPr>
                    <w:t>19</w:t>
                  </w:r>
                </w:p>
              </w:tc>
              <w:tc>
                <w:tcPr>
                  <w:tcW w:w="325" w:type="pct"/>
                  <w:tcBorders>
                    <w:tl2br w:val="nil"/>
                    <w:tr2bl w:val="nil"/>
                  </w:tcBorders>
                  <w:noWrap w:val="0"/>
                  <w:vAlign w:val="center"/>
                </w:tcPr>
                <w:p w14:paraId="1B5DC8D4">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cs="Times New Roman"/>
                      <w:b w:val="0"/>
                      <w:bCs w:val="0"/>
                      <w:color w:val="auto"/>
                      <w:kern w:val="2"/>
                      <w:sz w:val="21"/>
                      <w:szCs w:val="20"/>
                      <w:highlight w:val="none"/>
                      <w:lang w:val="en-US" w:eastAsia="zh-CN" w:bidi="ar-SA"/>
                    </w:rPr>
                    <w:t>54</w:t>
                  </w:r>
                </w:p>
              </w:tc>
              <w:tc>
                <w:tcPr>
                  <w:tcW w:w="535" w:type="pct"/>
                  <w:tcBorders>
                    <w:tl2br w:val="nil"/>
                    <w:tr2bl w:val="nil"/>
                  </w:tcBorders>
                  <w:noWrap w:val="0"/>
                  <w:vAlign w:val="center"/>
                </w:tcPr>
                <w:p w14:paraId="18420E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010C25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36" w:type="pct"/>
                  <w:tcBorders>
                    <w:tl2br w:val="nil"/>
                    <w:tr2bl w:val="nil"/>
                  </w:tcBorders>
                  <w:noWrap w:val="0"/>
                  <w:vAlign w:val="center"/>
                </w:tcPr>
                <w:p w14:paraId="643C933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15</w:t>
                  </w:r>
                </w:p>
              </w:tc>
              <w:tc>
                <w:tcPr>
                  <w:tcW w:w="311" w:type="pct"/>
                  <w:tcBorders>
                    <w:tl2br w:val="nil"/>
                    <w:tr2bl w:val="nil"/>
                  </w:tcBorders>
                  <w:noWrap w:val="0"/>
                  <w:vAlign w:val="center"/>
                </w:tcPr>
                <w:p w14:paraId="4A3735F4">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39</w:t>
                  </w:r>
                </w:p>
              </w:tc>
              <w:tc>
                <w:tcPr>
                  <w:tcW w:w="324" w:type="pct"/>
                  <w:tcBorders>
                    <w:tl2br w:val="nil"/>
                    <w:tr2bl w:val="nil"/>
                  </w:tcBorders>
                  <w:noWrap w:val="0"/>
                  <w:vAlign w:val="center"/>
                </w:tcPr>
                <w:p w14:paraId="22F61F67">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highlight w:val="none"/>
                      <w:lang w:val="en-US" w:eastAsia="zh-CN"/>
                    </w:rPr>
                  </w:pPr>
                  <w:r>
                    <w:rPr>
                      <w:rFonts w:hint="eastAsia"/>
                      <w:b w:val="0"/>
                      <w:bCs w:val="0"/>
                      <w:color w:val="auto"/>
                      <w:highlight w:val="none"/>
                      <w:lang w:val="en-US" w:eastAsia="zh-CN"/>
                    </w:rPr>
                    <w:t>1m</w:t>
                  </w:r>
                </w:p>
              </w:tc>
            </w:tr>
            <w:tr w14:paraId="69CA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0" w:type="pct"/>
                  <w:tcBorders>
                    <w:tl2br w:val="nil"/>
                    <w:tr2bl w:val="nil"/>
                  </w:tcBorders>
                  <w:noWrap w:val="0"/>
                  <w:vAlign w:val="center"/>
                </w:tcPr>
                <w:p w14:paraId="1E9B7C0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3</w:t>
                  </w:r>
                </w:p>
              </w:tc>
              <w:tc>
                <w:tcPr>
                  <w:tcW w:w="274" w:type="pct"/>
                  <w:vMerge w:val="continue"/>
                  <w:tcBorders>
                    <w:tl2br w:val="nil"/>
                    <w:tr2bl w:val="nil"/>
                  </w:tcBorders>
                  <w:noWrap w:val="0"/>
                  <w:vAlign w:val="center"/>
                </w:tcPr>
                <w:p w14:paraId="72EE74B8">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eastAsia="宋体"/>
                      <w:b w:val="0"/>
                      <w:bCs w:val="0"/>
                      <w:color w:val="4472C4" w:themeColor="accent5"/>
                      <w:sz w:val="21"/>
                      <w:szCs w:val="21"/>
                      <w:highlight w:val="none"/>
                      <w:lang w:val="en-US" w:eastAsia="zh-CN"/>
                      <w14:textFill>
                        <w14:solidFill>
                          <w14:schemeClr w14:val="accent5"/>
                        </w14:solidFill>
                      </w14:textFill>
                    </w:rPr>
                  </w:pPr>
                </w:p>
              </w:tc>
              <w:tc>
                <w:tcPr>
                  <w:tcW w:w="487" w:type="pct"/>
                  <w:tcBorders>
                    <w:tl2br w:val="nil"/>
                    <w:tr2bl w:val="nil"/>
                  </w:tcBorders>
                  <w:noWrap w:val="0"/>
                  <w:vAlign w:val="center"/>
                </w:tcPr>
                <w:p w14:paraId="45C671D6">
                  <w:pPr>
                    <w:widowControl/>
                    <w:jc w:val="center"/>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粉筛机</w:t>
                  </w:r>
                </w:p>
              </w:tc>
              <w:tc>
                <w:tcPr>
                  <w:tcW w:w="241" w:type="pct"/>
                  <w:tcBorders>
                    <w:tl2br w:val="nil"/>
                    <w:tr2bl w:val="nil"/>
                  </w:tcBorders>
                  <w:noWrap w:val="0"/>
                  <w:vAlign w:val="center"/>
                </w:tcPr>
                <w:p w14:paraId="659B5738">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b w:val="0"/>
                      <w:bCs w:val="0"/>
                      <w:snapToGrid/>
                      <w:color w:val="4472C4" w:themeColor="accent5"/>
                      <w:spacing w:val="0"/>
                      <w:kern w:val="0"/>
                      <w:position w:val="0"/>
                      <w:sz w:val="21"/>
                      <w:szCs w:val="21"/>
                      <w:highlight w:val="none"/>
                      <w:lang w:val="en-US" w:eastAsia="zh-CN" w:bidi="ar-SA"/>
                      <w14:textFill>
                        <w14:solidFill>
                          <w14:schemeClr w14:val="accent5"/>
                        </w14:solidFill>
                      </w14:textFill>
                    </w:rPr>
                  </w:pPr>
                  <w:r>
                    <w:rPr>
                      <w:rFonts w:hint="eastAsia" w:cs="Times New Roman"/>
                      <w:b w:val="0"/>
                      <w:bCs w:val="0"/>
                      <w:snapToGrid/>
                      <w:color w:val="4472C4" w:themeColor="accent5"/>
                      <w:spacing w:val="0"/>
                      <w:kern w:val="0"/>
                      <w:position w:val="0"/>
                      <w:sz w:val="21"/>
                      <w:szCs w:val="21"/>
                      <w:highlight w:val="none"/>
                      <w:lang w:val="en-US" w:eastAsia="zh-CN" w:bidi="ar-SA"/>
                      <w14:textFill>
                        <w14:solidFill>
                          <w14:schemeClr w14:val="accent5"/>
                        </w14:solidFill>
                      </w14:textFill>
                    </w:rPr>
                    <w:t>/</w:t>
                  </w:r>
                </w:p>
              </w:tc>
              <w:tc>
                <w:tcPr>
                  <w:tcW w:w="381" w:type="pct"/>
                  <w:tcBorders>
                    <w:tl2br w:val="nil"/>
                    <w:tr2bl w:val="nil"/>
                  </w:tcBorders>
                  <w:noWrap w:val="0"/>
                  <w:vAlign w:val="center"/>
                </w:tcPr>
                <w:p w14:paraId="206098C9">
                  <w:pPr>
                    <w:widowControl/>
                    <w:jc w:val="center"/>
                    <w:rPr>
                      <w:rFonts w:hint="default" w:ascii="Times New Roman" w:hAnsi="Times New Roman" w:eastAsia="宋体" w:cs="Times New Roman"/>
                      <w:b w:val="0"/>
                      <w:bCs w:val="0"/>
                      <w:snapToGrid/>
                      <w:color w:val="auto"/>
                      <w:spacing w:val="0"/>
                      <w:kern w:val="0"/>
                      <w:position w:val="0"/>
                      <w:sz w:val="21"/>
                      <w:szCs w:val="22"/>
                      <w:highlight w:val="none"/>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30" w:type="pct"/>
                  <w:vMerge w:val="continue"/>
                  <w:tcBorders>
                    <w:tl2br w:val="nil"/>
                    <w:tr2bl w:val="nil"/>
                  </w:tcBorders>
                  <w:noWrap w:val="0"/>
                  <w:vAlign w:val="center"/>
                </w:tcPr>
                <w:p w14:paraId="2560167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4472C4" w:themeColor="accent5"/>
                      <w:highlight w:val="none"/>
                      <w:lang w:val="en-US" w:eastAsia="zh-CN"/>
                      <w14:textFill>
                        <w14:solidFill>
                          <w14:schemeClr w14:val="accent5"/>
                        </w14:solidFill>
                      </w14:textFill>
                    </w:rPr>
                  </w:pPr>
                </w:p>
              </w:tc>
              <w:tc>
                <w:tcPr>
                  <w:tcW w:w="274" w:type="pct"/>
                  <w:tcBorders>
                    <w:tl2br w:val="nil"/>
                    <w:tr2bl w:val="nil"/>
                  </w:tcBorders>
                  <w:noWrap w:val="0"/>
                  <w:vAlign w:val="center"/>
                </w:tcPr>
                <w:p w14:paraId="380A2F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14</w:t>
                  </w:r>
                </w:p>
              </w:tc>
              <w:tc>
                <w:tcPr>
                  <w:tcW w:w="286" w:type="pct"/>
                  <w:tcBorders>
                    <w:tl2br w:val="nil"/>
                    <w:tr2bl w:val="nil"/>
                  </w:tcBorders>
                  <w:noWrap w:val="0"/>
                  <w:vAlign w:val="center"/>
                </w:tcPr>
                <w:p w14:paraId="742E35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10</w:t>
                  </w:r>
                </w:p>
              </w:tc>
              <w:tc>
                <w:tcPr>
                  <w:tcW w:w="252" w:type="pct"/>
                  <w:tcBorders>
                    <w:tl2br w:val="nil"/>
                    <w:tr2bl w:val="nil"/>
                  </w:tcBorders>
                  <w:noWrap w:val="0"/>
                  <w:vAlign w:val="center"/>
                </w:tcPr>
                <w:p w14:paraId="1226BD8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476" w:type="pct"/>
                  <w:tcBorders>
                    <w:tl2br w:val="nil"/>
                    <w:tr2bl w:val="nil"/>
                  </w:tcBorders>
                  <w:noWrap w:val="0"/>
                  <w:vAlign w:val="center"/>
                </w:tcPr>
                <w:p w14:paraId="34D31D4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宋体"/>
                      <w:b w:val="0"/>
                      <w:bCs w:val="0"/>
                      <w:color w:val="auto"/>
                      <w:spacing w:val="-2"/>
                      <w:sz w:val="21"/>
                      <w:szCs w:val="20"/>
                      <w:highlight w:val="none"/>
                      <w:lang w:val="en-US" w:eastAsia="zh-CN" w:bidi="ar-SA"/>
                    </w:rPr>
                  </w:pPr>
                  <w:r>
                    <w:rPr>
                      <w:rFonts w:hint="eastAsia" w:cs="宋体"/>
                      <w:b w:val="0"/>
                      <w:bCs w:val="0"/>
                      <w:color w:val="auto"/>
                      <w:spacing w:val="-2"/>
                      <w:sz w:val="21"/>
                      <w:szCs w:val="20"/>
                      <w:highlight w:val="none"/>
                      <w:lang w:val="en-US" w:eastAsia="zh-CN" w:bidi="ar-SA"/>
                    </w:rPr>
                    <w:t>25</w:t>
                  </w:r>
                </w:p>
              </w:tc>
              <w:tc>
                <w:tcPr>
                  <w:tcW w:w="325" w:type="pct"/>
                  <w:tcBorders>
                    <w:tl2br w:val="nil"/>
                    <w:tr2bl w:val="nil"/>
                  </w:tcBorders>
                  <w:noWrap w:val="0"/>
                  <w:vAlign w:val="center"/>
                </w:tcPr>
                <w:p w14:paraId="3235123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52</w:t>
                  </w:r>
                </w:p>
              </w:tc>
              <w:tc>
                <w:tcPr>
                  <w:tcW w:w="535" w:type="pct"/>
                  <w:tcBorders>
                    <w:tl2br w:val="nil"/>
                    <w:tr2bl w:val="nil"/>
                  </w:tcBorders>
                  <w:noWrap w:val="0"/>
                  <w:vAlign w:val="center"/>
                </w:tcPr>
                <w:p w14:paraId="26B94F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0D0114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36" w:type="pct"/>
                  <w:tcBorders>
                    <w:tl2br w:val="nil"/>
                    <w:tr2bl w:val="nil"/>
                  </w:tcBorders>
                  <w:noWrap w:val="0"/>
                  <w:vAlign w:val="center"/>
                </w:tcPr>
                <w:p w14:paraId="441BE6A8">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15</w:t>
                  </w:r>
                </w:p>
              </w:tc>
              <w:tc>
                <w:tcPr>
                  <w:tcW w:w="311" w:type="pct"/>
                  <w:tcBorders>
                    <w:tl2br w:val="nil"/>
                    <w:tr2bl w:val="nil"/>
                  </w:tcBorders>
                  <w:noWrap w:val="0"/>
                  <w:vAlign w:val="center"/>
                </w:tcPr>
                <w:p w14:paraId="244D7F17">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37</w:t>
                  </w:r>
                </w:p>
              </w:tc>
              <w:tc>
                <w:tcPr>
                  <w:tcW w:w="324" w:type="pct"/>
                  <w:tcBorders>
                    <w:tl2br w:val="nil"/>
                    <w:tr2bl w:val="nil"/>
                  </w:tcBorders>
                  <w:noWrap w:val="0"/>
                  <w:vAlign w:val="center"/>
                </w:tcPr>
                <w:p w14:paraId="15EC66F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1m</w:t>
                  </w:r>
                </w:p>
              </w:tc>
            </w:tr>
            <w:tr w14:paraId="32F6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 w:type="pct"/>
                  <w:tcBorders>
                    <w:tl2br w:val="nil"/>
                    <w:tr2bl w:val="nil"/>
                  </w:tcBorders>
                  <w:noWrap w:val="0"/>
                  <w:vAlign w:val="center"/>
                </w:tcPr>
                <w:p w14:paraId="230BA8D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4</w:t>
                  </w:r>
                </w:p>
              </w:tc>
              <w:tc>
                <w:tcPr>
                  <w:tcW w:w="274" w:type="pct"/>
                  <w:vMerge w:val="continue"/>
                  <w:tcBorders>
                    <w:tl2br w:val="nil"/>
                    <w:tr2bl w:val="nil"/>
                  </w:tcBorders>
                  <w:noWrap w:val="0"/>
                  <w:vAlign w:val="center"/>
                </w:tcPr>
                <w:p w14:paraId="7895578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4472C4" w:themeColor="accent5"/>
                      <w:sz w:val="21"/>
                      <w:szCs w:val="21"/>
                      <w:highlight w:val="none"/>
                      <w:lang w:val="en-US" w:eastAsia="zh-CN"/>
                      <w14:textFill>
                        <w14:solidFill>
                          <w14:schemeClr w14:val="accent5"/>
                        </w14:solidFill>
                      </w14:textFill>
                    </w:rPr>
                  </w:pPr>
                </w:p>
              </w:tc>
              <w:tc>
                <w:tcPr>
                  <w:tcW w:w="487" w:type="pct"/>
                  <w:tcBorders>
                    <w:tl2br w:val="nil"/>
                    <w:tr2bl w:val="nil"/>
                  </w:tcBorders>
                  <w:noWrap w:val="0"/>
                  <w:vAlign w:val="center"/>
                </w:tcPr>
                <w:p w14:paraId="1BCD79C6">
                  <w:pPr>
                    <w:widowControl/>
                    <w:jc w:val="center"/>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eastAsia="华文中宋"/>
                      <w:b w:val="0"/>
                      <w:bCs w:val="0"/>
                      <w:color w:val="auto"/>
                      <w:sz w:val="21"/>
                      <w:szCs w:val="21"/>
                      <w:highlight w:val="none"/>
                      <w:lang w:val="en-US" w:eastAsia="zh-CN"/>
                    </w:rPr>
                    <w:t>搅拌机</w:t>
                  </w:r>
                </w:p>
              </w:tc>
              <w:tc>
                <w:tcPr>
                  <w:tcW w:w="241" w:type="pct"/>
                  <w:tcBorders>
                    <w:tl2br w:val="nil"/>
                    <w:tr2bl w:val="nil"/>
                  </w:tcBorders>
                  <w:noWrap w:val="0"/>
                  <w:vAlign w:val="center"/>
                </w:tcPr>
                <w:p w14:paraId="75034194">
                  <w:pPr>
                    <w:keepNext w:val="0"/>
                    <w:keepLines w:val="0"/>
                    <w:pageBreakBefore w:val="0"/>
                    <w:kinsoku/>
                    <w:wordWrap/>
                    <w:overflowPunct/>
                    <w:topLinePunct w:val="0"/>
                    <w:bidi w:val="0"/>
                    <w:adjustRightInd w:val="0"/>
                    <w:snapToGrid w:val="0"/>
                    <w:spacing w:line="240" w:lineRule="auto"/>
                    <w:ind w:right="0" w:rightChars="0"/>
                    <w:jc w:val="center"/>
                    <w:rPr>
                      <w:rFonts w:hint="default" w:ascii="Times New Roman" w:hAnsi="Times New Roman" w:eastAsia="宋体" w:cs="Times New Roman"/>
                      <w:b w:val="0"/>
                      <w:bCs w:val="0"/>
                      <w:snapToGrid/>
                      <w:color w:val="4472C4" w:themeColor="accent5"/>
                      <w:spacing w:val="0"/>
                      <w:kern w:val="0"/>
                      <w:position w:val="0"/>
                      <w:sz w:val="21"/>
                      <w:szCs w:val="21"/>
                      <w:highlight w:val="none"/>
                      <w:lang w:val="en-US" w:eastAsia="zh-CN" w:bidi="ar-SA"/>
                      <w14:textFill>
                        <w14:solidFill>
                          <w14:schemeClr w14:val="accent5"/>
                        </w14:solidFill>
                      </w14:textFill>
                    </w:rPr>
                  </w:pPr>
                  <w:r>
                    <w:rPr>
                      <w:rFonts w:hint="eastAsia" w:cs="Times New Roman"/>
                      <w:b w:val="0"/>
                      <w:bCs w:val="0"/>
                      <w:snapToGrid/>
                      <w:color w:val="4472C4" w:themeColor="accent5"/>
                      <w:spacing w:val="0"/>
                      <w:kern w:val="0"/>
                      <w:position w:val="0"/>
                      <w:sz w:val="21"/>
                      <w:szCs w:val="21"/>
                      <w:highlight w:val="none"/>
                      <w:lang w:val="en-US" w:eastAsia="zh-CN" w:bidi="ar-SA"/>
                      <w14:textFill>
                        <w14:solidFill>
                          <w14:schemeClr w14:val="accent5"/>
                        </w14:solidFill>
                      </w14:textFill>
                    </w:rPr>
                    <w:t>/</w:t>
                  </w:r>
                </w:p>
              </w:tc>
              <w:tc>
                <w:tcPr>
                  <w:tcW w:w="381" w:type="pct"/>
                  <w:tcBorders>
                    <w:tl2br w:val="nil"/>
                    <w:tr2bl w:val="nil"/>
                  </w:tcBorders>
                  <w:noWrap w:val="0"/>
                  <w:vAlign w:val="center"/>
                </w:tcPr>
                <w:p w14:paraId="75B51E31">
                  <w:pPr>
                    <w:widowControl/>
                    <w:jc w:val="center"/>
                    <w:rPr>
                      <w:rFonts w:hint="default" w:ascii="Times New Roman" w:hAnsi="Times New Roman" w:eastAsia="宋体" w:cs="Times New Roman"/>
                      <w:b w:val="0"/>
                      <w:bCs w:val="0"/>
                      <w:snapToGrid/>
                      <w:color w:val="auto"/>
                      <w:spacing w:val="0"/>
                      <w:kern w:val="0"/>
                      <w:position w:val="0"/>
                      <w:sz w:val="21"/>
                      <w:szCs w:val="22"/>
                      <w:highlight w:val="none"/>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30" w:type="pct"/>
                  <w:vMerge w:val="continue"/>
                  <w:tcBorders>
                    <w:tl2br w:val="nil"/>
                    <w:tr2bl w:val="nil"/>
                  </w:tcBorders>
                  <w:noWrap w:val="0"/>
                  <w:vAlign w:val="center"/>
                </w:tcPr>
                <w:p w14:paraId="175404D2">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4472C4" w:themeColor="accent5"/>
                      <w:highlight w:val="none"/>
                      <w:lang w:val="en-US" w:eastAsia="zh-CN"/>
                      <w14:textFill>
                        <w14:solidFill>
                          <w14:schemeClr w14:val="accent5"/>
                        </w14:solidFill>
                      </w14:textFill>
                    </w:rPr>
                  </w:pPr>
                </w:p>
              </w:tc>
              <w:tc>
                <w:tcPr>
                  <w:tcW w:w="274" w:type="pct"/>
                  <w:tcBorders>
                    <w:tl2br w:val="nil"/>
                    <w:tr2bl w:val="nil"/>
                  </w:tcBorders>
                  <w:noWrap w:val="0"/>
                  <w:vAlign w:val="center"/>
                </w:tcPr>
                <w:p w14:paraId="6B4CA7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19</w:t>
                  </w:r>
                </w:p>
              </w:tc>
              <w:tc>
                <w:tcPr>
                  <w:tcW w:w="286" w:type="pct"/>
                  <w:tcBorders>
                    <w:tl2br w:val="nil"/>
                    <w:tr2bl w:val="nil"/>
                  </w:tcBorders>
                  <w:noWrap w:val="0"/>
                  <w:vAlign w:val="center"/>
                </w:tcPr>
                <w:p w14:paraId="5482CD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5</w:t>
                  </w:r>
                </w:p>
              </w:tc>
              <w:tc>
                <w:tcPr>
                  <w:tcW w:w="252" w:type="pct"/>
                  <w:tcBorders>
                    <w:tl2br w:val="nil"/>
                    <w:tr2bl w:val="nil"/>
                  </w:tcBorders>
                  <w:noWrap w:val="0"/>
                  <w:vAlign w:val="center"/>
                </w:tcPr>
                <w:p w14:paraId="4AC5B5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476" w:type="pct"/>
                  <w:tcBorders>
                    <w:tl2br w:val="nil"/>
                    <w:tr2bl w:val="nil"/>
                  </w:tcBorders>
                  <w:noWrap w:val="0"/>
                  <w:vAlign w:val="center"/>
                </w:tcPr>
                <w:p w14:paraId="7FDF98C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宋体"/>
                      <w:b w:val="0"/>
                      <w:bCs w:val="0"/>
                      <w:color w:val="auto"/>
                      <w:spacing w:val="-2"/>
                      <w:sz w:val="21"/>
                      <w:szCs w:val="20"/>
                      <w:highlight w:val="none"/>
                      <w:lang w:val="en-US" w:eastAsia="zh-CN" w:bidi="ar-SA"/>
                    </w:rPr>
                  </w:pPr>
                  <w:r>
                    <w:rPr>
                      <w:rFonts w:hint="eastAsia" w:cs="Times New Roman"/>
                      <w:b w:val="0"/>
                      <w:bCs w:val="0"/>
                      <w:color w:val="auto"/>
                      <w:kern w:val="2"/>
                      <w:sz w:val="21"/>
                      <w:szCs w:val="20"/>
                      <w:highlight w:val="none"/>
                      <w:lang w:val="en-US" w:eastAsia="zh-CN" w:bidi="ar-SA"/>
                    </w:rPr>
                    <w:t>22</w:t>
                  </w:r>
                </w:p>
              </w:tc>
              <w:tc>
                <w:tcPr>
                  <w:tcW w:w="325" w:type="pct"/>
                  <w:tcBorders>
                    <w:tl2br w:val="nil"/>
                    <w:tr2bl w:val="nil"/>
                  </w:tcBorders>
                  <w:noWrap w:val="0"/>
                  <w:vAlign w:val="center"/>
                </w:tcPr>
                <w:p w14:paraId="57146A6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53</w:t>
                  </w:r>
                </w:p>
              </w:tc>
              <w:tc>
                <w:tcPr>
                  <w:tcW w:w="535" w:type="pct"/>
                  <w:tcBorders>
                    <w:tl2br w:val="nil"/>
                    <w:tr2bl w:val="nil"/>
                  </w:tcBorders>
                  <w:noWrap w:val="0"/>
                  <w:vAlign w:val="center"/>
                </w:tcPr>
                <w:p w14:paraId="562335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0287AD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val="0"/>
                      <w:bCs w:val="0"/>
                      <w:color w:val="auto"/>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36" w:type="pct"/>
                  <w:tcBorders>
                    <w:tl2br w:val="nil"/>
                    <w:tr2bl w:val="nil"/>
                  </w:tcBorders>
                  <w:noWrap w:val="0"/>
                  <w:vAlign w:val="center"/>
                </w:tcPr>
                <w:p w14:paraId="503AC7C9">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15</w:t>
                  </w:r>
                </w:p>
              </w:tc>
              <w:tc>
                <w:tcPr>
                  <w:tcW w:w="311" w:type="pct"/>
                  <w:tcBorders>
                    <w:tl2br w:val="nil"/>
                    <w:tr2bl w:val="nil"/>
                  </w:tcBorders>
                  <w:noWrap w:val="0"/>
                  <w:vAlign w:val="center"/>
                </w:tcPr>
                <w:p w14:paraId="743336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b w:val="0"/>
                      <w:bCs w:val="0"/>
                      <w:color w:val="auto"/>
                      <w:sz w:val="21"/>
                      <w:szCs w:val="20"/>
                      <w:highlight w:val="none"/>
                      <w:lang w:val="en-US" w:eastAsia="zh-CN"/>
                    </w:rPr>
                  </w:pPr>
                  <w:r>
                    <w:rPr>
                      <w:rFonts w:hint="eastAsia"/>
                      <w:b w:val="0"/>
                      <w:bCs w:val="0"/>
                      <w:color w:val="auto"/>
                      <w:sz w:val="21"/>
                      <w:szCs w:val="20"/>
                      <w:highlight w:val="none"/>
                      <w:lang w:val="en-US" w:eastAsia="zh-CN"/>
                    </w:rPr>
                    <w:t>38</w:t>
                  </w:r>
                </w:p>
              </w:tc>
              <w:tc>
                <w:tcPr>
                  <w:tcW w:w="324" w:type="pct"/>
                  <w:tcBorders>
                    <w:tl2br w:val="nil"/>
                    <w:tr2bl w:val="nil"/>
                  </w:tcBorders>
                  <w:noWrap w:val="0"/>
                  <w:vAlign w:val="center"/>
                </w:tcPr>
                <w:p w14:paraId="25A07180">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1m</w:t>
                  </w:r>
                </w:p>
              </w:tc>
            </w:tr>
            <w:tr w14:paraId="559B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0" w:type="pct"/>
                  <w:tcBorders>
                    <w:tl2br w:val="nil"/>
                    <w:tr2bl w:val="nil"/>
                  </w:tcBorders>
                  <w:noWrap w:val="0"/>
                  <w:vAlign w:val="center"/>
                </w:tcPr>
                <w:p w14:paraId="477587C9">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5</w:t>
                  </w:r>
                </w:p>
              </w:tc>
              <w:tc>
                <w:tcPr>
                  <w:tcW w:w="274" w:type="pct"/>
                  <w:vMerge w:val="continue"/>
                  <w:tcBorders>
                    <w:tl2br w:val="nil"/>
                    <w:tr2bl w:val="nil"/>
                  </w:tcBorders>
                  <w:noWrap w:val="0"/>
                  <w:vAlign w:val="center"/>
                </w:tcPr>
                <w:p w14:paraId="7B98A5C3">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4472C4" w:themeColor="accent5"/>
                      <w:sz w:val="21"/>
                      <w:szCs w:val="21"/>
                      <w:highlight w:val="none"/>
                      <w:lang w:val="en-US" w:eastAsia="zh-CN"/>
                      <w14:textFill>
                        <w14:solidFill>
                          <w14:schemeClr w14:val="accent5"/>
                        </w14:solidFill>
                      </w14:textFill>
                    </w:rPr>
                  </w:pPr>
                </w:p>
              </w:tc>
              <w:tc>
                <w:tcPr>
                  <w:tcW w:w="487" w:type="pct"/>
                  <w:tcBorders>
                    <w:tl2br w:val="nil"/>
                    <w:tr2bl w:val="nil"/>
                  </w:tcBorders>
                  <w:noWrap w:val="0"/>
                  <w:vAlign w:val="center"/>
                </w:tcPr>
                <w:p w14:paraId="697EA2F4">
                  <w:pPr>
                    <w:widowControl/>
                    <w:jc w:val="center"/>
                    <w:rPr>
                      <w:rFonts w:hint="default" w:eastAsia="华文中宋"/>
                      <w:b w:val="0"/>
                      <w:bCs w:val="0"/>
                      <w:color w:val="auto"/>
                      <w:sz w:val="21"/>
                      <w:szCs w:val="21"/>
                      <w:highlight w:val="none"/>
                      <w:lang w:val="en-US" w:eastAsia="zh-CN"/>
                    </w:rPr>
                  </w:pPr>
                  <w:r>
                    <w:rPr>
                      <w:rFonts w:hint="eastAsia" w:eastAsia="华文中宋"/>
                      <w:b w:val="0"/>
                      <w:bCs w:val="0"/>
                      <w:color w:val="auto"/>
                      <w:sz w:val="21"/>
                      <w:szCs w:val="21"/>
                      <w:highlight w:val="none"/>
                      <w:lang w:val="en-US" w:eastAsia="zh-CN"/>
                    </w:rPr>
                    <w:t>翻抛机</w:t>
                  </w:r>
                </w:p>
              </w:tc>
              <w:tc>
                <w:tcPr>
                  <w:tcW w:w="241" w:type="pct"/>
                  <w:tcBorders>
                    <w:tl2br w:val="nil"/>
                    <w:tr2bl w:val="nil"/>
                  </w:tcBorders>
                  <w:noWrap w:val="0"/>
                  <w:vAlign w:val="center"/>
                </w:tcPr>
                <w:p w14:paraId="0739B456">
                  <w:pPr>
                    <w:keepNext w:val="0"/>
                    <w:keepLines w:val="0"/>
                    <w:pageBreakBefore w:val="0"/>
                    <w:kinsoku/>
                    <w:wordWrap/>
                    <w:overflowPunct/>
                    <w:topLinePunct w:val="0"/>
                    <w:bidi w:val="0"/>
                    <w:adjustRightInd w:val="0"/>
                    <w:snapToGrid w:val="0"/>
                    <w:spacing w:line="240" w:lineRule="auto"/>
                    <w:ind w:right="0" w:rightChars="0"/>
                    <w:jc w:val="center"/>
                    <w:rPr>
                      <w:rFonts w:hint="default" w:cs="Times New Roman"/>
                      <w:b w:val="0"/>
                      <w:bCs w:val="0"/>
                      <w:snapToGrid/>
                      <w:color w:val="4472C4" w:themeColor="accent5"/>
                      <w:spacing w:val="0"/>
                      <w:kern w:val="0"/>
                      <w:position w:val="0"/>
                      <w:sz w:val="21"/>
                      <w:szCs w:val="21"/>
                      <w:highlight w:val="none"/>
                      <w:lang w:val="en-US" w:eastAsia="zh-CN" w:bidi="ar-SA"/>
                      <w14:textFill>
                        <w14:solidFill>
                          <w14:schemeClr w14:val="accent5"/>
                        </w14:solidFill>
                      </w14:textFill>
                    </w:rPr>
                  </w:pPr>
                  <w:r>
                    <w:rPr>
                      <w:rFonts w:hint="eastAsia" w:cs="Times New Roman"/>
                      <w:b w:val="0"/>
                      <w:bCs w:val="0"/>
                      <w:snapToGrid/>
                      <w:color w:val="4472C4" w:themeColor="accent5"/>
                      <w:spacing w:val="0"/>
                      <w:kern w:val="0"/>
                      <w:position w:val="0"/>
                      <w:sz w:val="21"/>
                      <w:szCs w:val="21"/>
                      <w:highlight w:val="none"/>
                      <w:lang w:val="en-US" w:eastAsia="zh-CN" w:bidi="ar-SA"/>
                      <w14:textFill>
                        <w14:solidFill>
                          <w14:schemeClr w14:val="accent5"/>
                        </w14:solidFill>
                      </w14:textFill>
                    </w:rPr>
                    <w:t>/</w:t>
                  </w:r>
                </w:p>
              </w:tc>
              <w:tc>
                <w:tcPr>
                  <w:tcW w:w="381" w:type="pct"/>
                  <w:tcBorders>
                    <w:tl2br w:val="nil"/>
                    <w:tr2bl w:val="nil"/>
                  </w:tcBorders>
                  <w:noWrap w:val="0"/>
                  <w:vAlign w:val="center"/>
                </w:tcPr>
                <w:p w14:paraId="266D7BA2">
                  <w:pPr>
                    <w:widowControl/>
                    <w:jc w:val="center"/>
                    <w:rPr>
                      <w:rFonts w:hint="default" w:ascii="Times New Roman" w:hAnsi="Times New Roman" w:eastAsia="宋体" w:cs="Times New Roman"/>
                      <w:b w:val="0"/>
                      <w:bCs w:val="0"/>
                      <w:snapToGrid/>
                      <w:color w:val="auto"/>
                      <w:spacing w:val="0"/>
                      <w:kern w:val="0"/>
                      <w:position w:val="0"/>
                      <w:sz w:val="21"/>
                      <w:szCs w:val="22"/>
                      <w:highlight w:val="none"/>
                      <w:lang w:val="en-US" w:eastAsia="zh-CN" w:bidi="ar-SA"/>
                    </w:rPr>
                  </w:pPr>
                  <w:r>
                    <w:rPr>
                      <w:rFonts w:hint="eastAsia" w:cs="Times New Roman"/>
                      <w:b w:val="0"/>
                      <w:bCs w:val="0"/>
                      <w:snapToGrid/>
                      <w:color w:val="auto"/>
                      <w:spacing w:val="0"/>
                      <w:kern w:val="0"/>
                      <w:position w:val="0"/>
                      <w:sz w:val="21"/>
                      <w:szCs w:val="22"/>
                      <w:highlight w:val="none"/>
                      <w:lang w:val="en-US" w:eastAsia="zh-CN" w:bidi="ar-SA"/>
                    </w:rPr>
                    <w:t>80</w:t>
                  </w:r>
                </w:p>
              </w:tc>
              <w:tc>
                <w:tcPr>
                  <w:tcW w:w="330" w:type="pct"/>
                  <w:vMerge w:val="continue"/>
                  <w:tcBorders>
                    <w:tl2br w:val="nil"/>
                    <w:tr2bl w:val="nil"/>
                  </w:tcBorders>
                  <w:noWrap w:val="0"/>
                  <w:vAlign w:val="center"/>
                </w:tcPr>
                <w:p w14:paraId="2FF6848F">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4472C4" w:themeColor="accent5"/>
                      <w:highlight w:val="none"/>
                      <w:lang w:val="en-US" w:eastAsia="zh-CN"/>
                      <w14:textFill>
                        <w14:solidFill>
                          <w14:schemeClr w14:val="accent5"/>
                        </w14:solidFill>
                      </w14:textFill>
                    </w:rPr>
                  </w:pPr>
                </w:p>
              </w:tc>
              <w:tc>
                <w:tcPr>
                  <w:tcW w:w="274" w:type="pct"/>
                  <w:tcBorders>
                    <w:tl2br w:val="nil"/>
                    <w:tr2bl w:val="nil"/>
                  </w:tcBorders>
                  <w:noWrap w:val="0"/>
                  <w:vAlign w:val="center"/>
                </w:tcPr>
                <w:p w14:paraId="2A6B28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32</w:t>
                  </w:r>
                </w:p>
              </w:tc>
              <w:tc>
                <w:tcPr>
                  <w:tcW w:w="286" w:type="pct"/>
                  <w:tcBorders>
                    <w:tl2br w:val="nil"/>
                    <w:tr2bl w:val="nil"/>
                  </w:tcBorders>
                  <w:noWrap w:val="0"/>
                  <w:vAlign w:val="center"/>
                </w:tcPr>
                <w:p w14:paraId="19CE40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21</w:t>
                  </w:r>
                </w:p>
              </w:tc>
              <w:tc>
                <w:tcPr>
                  <w:tcW w:w="252" w:type="pct"/>
                  <w:tcBorders>
                    <w:tl2br w:val="nil"/>
                    <w:tr2bl w:val="nil"/>
                  </w:tcBorders>
                  <w:noWrap w:val="0"/>
                  <w:vAlign w:val="center"/>
                </w:tcPr>
                <w:p w14:paraId="74ACF40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b w:val="0"/>
                      <w:bCs w:val="0"/>
                      <w:snapToGrid/>
                      <w:color w:val="auto"/>
                      <w:spacing w:val="0"/>
                      <w:kern w:val="0"/>
                      <w:position w:val="0"/>
                      <w:sz w:val="21"/>
                      <w:szCs w:val="21"/>
                      <w:highlight w:val="none"/>
                      <w:lang w:val="en-US" w:eastAsia="zh-CN" w:bidi="ar-SA"/>
                    </w:rPr>
                  </w:pPr>
                  <w:r>
                    <w:rPr>
                      <w:rFonts w:hint="eastAsia" w:cs="Times New Roman"/>
                      <w:b w:val="0"/>
                      <w:bCs w:val="0"/>
                      <w:snapToGrid/>
                      <w:color w:val="auto"/>
                      <w:spacing w:val="0"/>
                      <w:kern w:val="0"/>
                      <w:position w:val="0"/>
                      <w:sz w:val="21"/>
                      <w:szCs w:val="21"/>
                      <w:highlight w:val="none"/>
                      <w:lang w:val="en-US" w:eastAsia="zh-CN" w:bidi="ar-SA"/>
                    </w:rPr>
                    <w:t>1</w:t>
                  </w:r>
                </w:p>
              </w:tc>
              <w:tc>
                <w:tcPr>
                  <w:tcW w:w="476" w:type="pct"/>
                  <w:tcBorders>
                    <w:tl2br w:val="nil"/>
                    <w:tr2bl w:val="nil"/>
                  </w:tcBorders>
                  <w:noWrap w:val="0"/>
                  <w:vAlign w:val="center"/>
                </w:tcPr>
                <w:p w14:paraId="23A9E56A">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cs="宋体"/>
                      <w:b w:val="0"/>
                      <w:bCs w:val="0"/>
                      <w:color w:val="auto"/>
                      <w:spacing w:val="-2"/>
                      <w:sz w:val="21"/>
                      <w:szCs w:val="20"/>
                      <w:highlight w:val="none"/>
                      <w:lang w:val="en-US" w:eastAsia="zh-CN" w:bidi="ar-SA"/>
                    </w:rPr>
                  </w:pPr>
                  <w:r>
                    <w:rPr>
                      <w:rFonts w:hint="eastAsia" w:cs="Times New Roman"/>
                      <w:b w:val="0"/>
                      <w:bCs w:val="0"/>
                      <w:color w:val="auto"/>
                      <w:kern w:val="2"/>
                      <w:sz w:val="21"/>
                      <w:szCs w:val="20"/>
                      <w:highlight w:val="none"/>
                      <w:lang w:val="en-US" w:eastAsia="zh-CN" w:bidi="ar-SA"/>
                    </w:rPr>
                    <w:t>8</w:t>
                  </w:r>
                </w:p>
              </w:tc>
              <w:tc>
                <w:tcPr>
                  <w:tcW w:w="325" w:type="pct"/>
                  <w:tcBorders>
                    <w:tl2br w:val="nil"/>
                    <w:tr2bl w:val="nil"/>
                  </w:tcBorders>
                  <w:noWrap w:val="0"/>
                  <w:vAlign w:val="center"/>
                </w:tcPr>
                <w:p w14:paraId="19A40A27">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cs="Times New Roman"/>
                      <w:b w:val="0"/>
                      <w:bCs w:val="0"/>
                      <w:color w:val="auto"/>
                      <w:kern w:val="2"/>
                      <w:sz w:val="21"/>
                      <w:szCs w:val="20"/>
                      <w:highlight w:val="none"/>
                      <w:lang w:val="en-US" w:eastAsia="zh-CN" w:bidi="ar-SA"/>
                    </w:rPr>
                    <w:t>61</w:t>
                  </w:r>
                </w:p>
              </w:tc>
              <w:tc>
                <w:tcPr>
                  <w:tcW w:w="535" w:type="pct"/>
                  <w:tcBorders>
                    <w:tl2br w:val="nil"/>
                    <w:tr2bl w:val="nil"/>
                  </w:tcBorders>
                  <w:noWrap w:val="0"/>
                  <w:vAlign w:val="center"/>
                </w:tcPr>
                <w:p w14:paraId="4C562C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8：00-12：00；</w:t>
                  </w:r>
                </w:p>
                <w:p w14:paraId="02D7F8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snapToGrid/>
                      <w:color w:val="auto"/>
                      <w:spacing w:val="0"/>
                      <w:kern w:val="0"/>
                      <w:position w:val="0"/>
                      <w:sz w:val="21"/>
                      <w:szCs w:val="21"/>
                      <w:highlight w:val="none"/>
                      <w:lang w:val="en-US" w:eastAsia="zh-CN"/>
                    </w:rPr>
                  </w:pPr>
                  <w:r>
                    <w:rPr>
                      <w:rFonts w:hint="eastAsia" w:ascii="Times New Roman" w:hAnsi="Times New Roman" w:eastAsia="宋体" w:cs="Times New Roman"/>
                      <w:b w:val="0"/>
                      <w:bCs w:val="0"/>
                      <w:snapToGrid/>
                      <w:color w:val="auto"/>
                      <w:spacing w:val="0"/>
                      <w:kern w:val="0"/>
                      <w:position w:val="0"/>
                      <w:sz w:val="21"/>
                      <w:szCs w:val="21"/>
                      <w:highlight w:val="none"/>
                      <w:lang w:val="en-US" w:eastAsia="zh-CN"/>
                    </w:rPr>
                    <w:t>14：00-18:00；</w:t>
                  </w:r>
                </w:p>
              </w:tc>
              <w:tc>
                <w:tcPr>
                  <w:tcW w:w="336" w:type="pct"/>
                  <w:tcBorders>
                    <w:tl2br w:val="nil"/>
                    <w:tr2bl w:val="nil"/>
                  </w:tcBorders>
                  <w:noWrap w:val="0"/>
                  <w:vAlign w:val="center"/>
                </w:tcPr>
                <w:p w14:paraId="75C0E9E2">
                  <w:pPr>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default"/>
                      <w:b w:val="0"/>
                      <w:bCs w:val="0"/>
                      <w:color w:val="auto"/>
                      <w:highlight w:val="none"/>
                      <w:lang w:val="en-US" w:eastAsia="zh-CN"/>
                    </w:rPr>
                  </w:pPr>
                  <w:r>
                    <w:rPr>
                      <w:rFonts w:hint="eastAsia"/>
                      <w:b w:val="0"/>
                      <w:bCs w:val="0"/>
                      <w:color w:val="auto"/>
                      <w:highlight w:val="none"/>
                      <w:lang w:val="en-US" w:eastAsia="zh-CN"/>
                    </w:rPr>
                    <w:t>15</w:t>
                  </w:r>
                </w:p>
              </w:tc>
              <w:tc>
                <w:tcPr>
                  <w:tcW w:w="311" w:type="pct"/>
                  <w:tcBorders>
                    <w:tl2br w:val="nil"/>
                    <w:tr2bl w:val="nil"/>
                  </w:tcBorders>
                  <w:noWrap w:val="0"/>
                  <w:vAlign w:val="center"/>
                </w:tcPr>
                <w:p w14:paraId="427B193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b w:val="0"/>
                      <w:bCs w:val="0"/>
                      <w:color w:val="auto"/>
                      <w:sz w:val="21"/>
                      <w:szCs w:val="20"/>
                      <w:highlight w:val="none"/>
                      <w:lang w:val="en-US" w:eastAsia="zh-CN"/>
                    </w:rPr>
                  </w:pPr>
                  <w:r>
                    <w:rPr>
                      <w:rFonts w:hint="eastAsia"/>
                      <w:b w:val="0"/>
                      <w:bCs w:val="0"/>
                      <w:color w:val="auto"/>
                      <w:sz w:val="21"/>
                      <w:szCs w:val="20"/>
                      <w:highlight w:val="none"/>
                      <w:lang w:val="en-US" w:eastAsia="zh-CN"/>
                    </w:rPr>
                    <w:t>46</w:t>
                  </w:r>
                </w:p>
              </w:tc>
              <w:tc>
                <w:tcPr>
                  <w:tcW w:w="324" w:type="pct"/>
                  <w:tcBorders>
                    <w:tl2br w:val="nil"/>
                    <w:tr2bl w:val="nil"/>
                  </w:tcBorders>
                  <w:noWrap w:val="0"/>
                  <w:vAlign w:val="center"/>
                </w:tcPr>
                <w:p w14:paraId="3F8A34BD">
                  <w:pPr>
                    <w:pStyle w:val="37"/>
                    <w:keepNext w:val="0"/>
                    <w:keepLines w:val="0"/>
                    <w:pageBreakBefore w:val="0"/>
                    <w:widowControl w:val="0"/>
                    <w:kinsoku/>
                    <w:wordWrap/>
                    <w:overflowPunct/>
                    <w:topLinePunct w:val="0"/>
                    <w:autoSpaceDE/>
                    <w:autoSpaceDN/>
                    <w:bidi w:val="0"/>
                    <w:adjustRightInd w:val="0"/>
                    <w:snapToGrid w:val="0"/>
                    <w:spacing w:before="0" w:beforeLines="0" w:line="240" w:lineRule="auto"/>
                    <w:ind w:left="0" w:firstLine="0" w:firstLineChars="0"/>
                    <w:jc w:val="center"/>
                    <w:textAlignment w:val="auto"/>
                    <w:rPr>
                      <w:rFonts w:hint="eastAsia"/>
                      <w:b w:val="0"/>
                      <w:bCs w:val="0"/>
                      <w:color w:val="auto"/>
                      <w:highlight w:val="none"/>
                      <w:lang w:val="en-US" w:eastAsia="zh-CN"/>
                    </w:rPr>
                  </w:pPr>
                  <w:r>
                    <w:rPr>
                      <w:rFonts w:hint="eastAsia"/>
                      <w:b w:val="0"/>
                      <w:bCs w:val="0"/>
                      <w:color w:val="auto"/>
                      <w:highlight w:val="none"/>
                      <w:lang w:val="en-US" w:eastAsia="zh-CN"/>
                    </w:rPr>
                    <w:t>1m</w:t>
                  </w:r>
                </w:p>
              </w:tc>
            </w:tr>
          </w:tbl>
          <w:p w14:paraId="6352C897">
            <w:pPr>
              <w:pStyle w:val="39"/>
              <w:adjustRightInd w:val="0"/>
              <w:snapToGrid w:val="0"/>
              <w:spacing w:line="360" w:lineRule="auto"/>
              <w:ind w:firstLine="0" w:firstLineChars="0"/>
              <w:rPr>
                <w:rFonts w:hint="eastAsia" w:ascii="宋体" w:hAnsi="宋体" w:eastAsia="宋体" w:cs="宋体"/>
                <w:b/>
                <w:bCs/>
              </w:rPr>
            </w:pPr>
            <w:r>
              <w:rPr>
                <w:rFonts w:hint="eastAsia" w:ascii="宋体" w:hAnsi="宋体" w:eastAsia="宋体" w:cs="宋体"/>
                <w:b/>
                <w:bCs/>
              </w:rPr>
              <w:t>注：室内声源分别以各建筑物地平面中心为原点。</w:t>
            </w:r>
          </w:p>
          <w:p w14:paraId="193BDE16">
            <w:pPr>
              <w:pStyle w:val="39"/>
              <w:adjustRightInd w:val="0"/>
              <w:snapToGrid w:val="0"/>
              <w:spacing w:line="360" w:lineRule="auto"/>
              <w:ind w:firstLine="0" w:firstLineChars="0"/>
              <w:rPr>
                <w:rFonts w:hint="eastAsia" w:ascii="宋体" w:hAnsi="宋体" w:eastAsia="宋体" w:cs="宋体"/>
                <w:b/>
                <w:bCs/>
              </w:rPr>
            </w:pPr>
          </w:p>
          <w:p w14:paraId="4CE4D5CD">
            <w:pPr>
              <w:pStyle w:val="39"/>
              <w:adjustRightInd w:val="0"/>
              <w:snapToGrid w:val="0"/>
              <w:spacing w:line="360" w:lineRule="auto"/>
              <w:ind w:firstLine="0" w:firstLineChars="0"/>
              <w:rPr>
                <w:rFonts w:hint="eastAsia" w:ascii="宋体" w:hAnsi="宋体" w:eastAsia="宋体" w:cs="宋体"/>
                <w:b/>
                <w:bCs/>
              </w:rPr>
            </w:pPr>
          </w:p>
          <w:p w14:paraId="5E67EDEA">
            <w:pPr>
              <w:pStyle w:val="39"/>
              <w:adjustRightInd w:val="0"/>
              <w:snapToGrid w:val="0"/>
              <w:spacing w:line="360" w:lineRule="auto"/>
              <w:ind w:firstLine="0" w:firstLineChars="0"/>
              <w:rPr>
                <w:rFonts w:hint="eastAsia" w:ascii="宋体" w:hAnsi="宋体" w:eastAsia="宋体" w:cs="宋体"/>
                <w:b/>
                <w:bCs/>
              </w:rPr>
            </w:pPr>
          </w:p>
          <w:p w14:paraId="134AD41D">
            <w:pPr>
              <w:pStyle w:val="39"/>
              <w:adjustRightInd w:val="0"/>
              <w:snapToGrid w:val="0"/>
              <w:spacing w:line="360" w:lineRule="auto"/>
              <w:ind w:firstLine="0" w:firstLineChars="0"/>
              <w:rPr>
                <w:rFonts w:hint="eastAsia" w:ascii="宋体" w:hAnsi="宋体" w:eastAsia="宋体" w:cs="宋体"/>
                <w:b/>
                <w:bCs/>
              </w:rPr>
            </w:pPr>
          </w:p>
          <w:p w14:paraId="00FB5DE1">
            <w:pPr>
              <w:pStyle w:val="39"/>
              <w:adjustRightInd w:val="0"/>
              <w:snapToGrid w:val="0"/>
              <w:spacing w:line="360" w:lineRule="auto"/>
              <w:ind w:firstLine="0" w:firstLineChars="0"/>
              <w:rPr>
                <w:rFonts w:hint="eastAsia" w:ascii="宋体" w:hAnsi="宋体" w:eastAsia="宋体" w:cs="宋体"/>
                <w:b/>
                <w:bCs/>
              </w:rPr>
            </w:pPr>
          </w:p>
          <w:p w14:paraId="4490F437">
            <w:pPr>
              <w:pStyle w:val="39"/>
              <w:adjustRightInd w:val="0"/>
              <w:snapToGrid w:val="0"/>
              <w:spacing w:line="360" w:lineRule="auto"/>
              <w:ind w:firstLine="0" w:firstLineChars="0"/>
              <w:rPr>
                <w:rFonts w:hint="eastAsia" w:ascii="宋体" w:hAnsi="宋体" w:eastAsia="宋体" w:cs="宋体"/>
                <w:b/>
                <w:bCs/>
                <w:lang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4255770</wp:posOffset>
                      </wp:positionH>
                      <wp:positionV relativeFrom="paragraph">
                        <wp:posOffset>2536825</wp:posOffset>
                      </wp:positionV>
                      <wp:extent cx="142875" cy="896620"/>
                      <wp:effectExtent l="6350" t="1270" r="22225" b="16510"/>
                      <wp:wrapNone/>
                      <wp:docPr id="21" name="直接连接符 21"/>
                      <wp:cNvGraphicFramePr/>
                      <a:graphic xmlns:a="http://schemas.openxmlformats.org/drawingml/2006/main">
                        <a:graphicData uri="http://schemas.microsoft.com/office/word/2010/wordprocessingShape">
                          <wps:wsp>
                            <wps:cNvCnPr/>
                            <wps:spPr>
                              <a:xfrm flipV="1">
                                <a:off x="5469255" y="4105275"/>
                                <a:ext cx="142875" cy="89662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35.1pt;margin-top:199.75pt;height:70.6pt;width:11.25pt;z-index:251667456;mso-width-relative:page;mso-height-relative:page;" filled="f" stroked="t" coordsize="21600,21600" o:gfxdata="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RmVP2wAAAAsBAAAPAAAAAAAAAAEAIAAAACIAAABk&#10;cnMvZG93bnJldi54bWxQSwECFAAUAAAACACHTuJAN7BP0wMCAADOAwAADgAAAAAAAAABACAAAAAq&#10;AQAAZHJzL2Uyb0RvYy54bWxQSwUGAAAAAAYABgBZAQAAnw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4406900</wp:posOffset>
                      </wp:positionH>
                      <wp:positionV relativeFrom="paragraph">
                        <wp:posOffset>2536825</wp:posOffset>
                      </wp:positionV>
                      <wp:extent cx="166370" cy="15875"/>
                      <wp:effectExtent l="635" t="6350" r="4445" b="6350"/>
                      <wp:wrapNone/>
                      <wp:docPr id="22" name="直接连接符 22"/>
                      <wp:cNvGraphicFramePr/>
                      <a:graphic xmlns:a="http://schemas.openxmlformats.org/drawingml/2006/main">
                        <a:graphicData uri="http://schemas.microsoft.com/office/word/2010/wordprocessingShape">
                          <wps:wsp>
                            <wps:cNvCnPr/>
                            <wps:spPr>
                              <a:xfrm flipH="1" flipV="1">
                                <a:off x="5572760" y="3692525"/>
                                <a:ext cx="166370" cy="158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47pt;margin-top:199.75pt;height:1.25pt;width:13.1pt;z-index:251668480;mso-width-relative:page;mso-height-relative:page;" filled="f" stroked="t" coordsize="21600,21600" o:gfxdata="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EjYm2QAAAAsBAAAPAAAAAAAAAAEAIAAAACIAAABk&#10;cnMvZG93bnJldi54bWxQSwECFAAUAAAACACHTuJA3r/spwUCAADXAwAADgAAAAAAAAABACAAAAAo&#10;AQAAZHJzL2Uyb0RvYy54bWxQSwUGAAAAAAYABgBZAQAAnw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4573270</wp:posOffset>
                      </wp:positionH>
                      <wp:positionV relativeFrom="paragraph">
                        <wp:posOffset>2211070</wp:posOffset>
                      </wp:positionV>
                      <wp:extent cx="31750" cy="341630"/>
                      <wp:effectExtent l="6350" t="635" r="19050" b="635"/>
                      <wp:wrapNone/>
                      <wp:docPr id="12" name="直接连接符 12"/>
                      <wp:cNvGraphicFramePr/>
                      <a:graphic xmlns:a="http://schemas.openxmlformats.org/drawingml/2006/main">
                        <a:graphicData uri="http://schemas.microsoft.com/office/word/2010/wordprocessingShape">
                          <wps:wsp>
                            <wps:cNvCnPr/>
                            <wps:spPr>
                              <a:xfrm flipH="1">
                                <a:off x="5556885" y="3335655"/>
                                <a:ext cx="31750" cy="34163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60.1pt;margin-top:174.1pt;height:26.9pt;width:2.5pt;z-index:251660288;mso-width-relative:page;mso-height-relative:page;" filled="f" stroked="t" coordsize="21600,21600" o:gfxdata="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JjjBtkAAAALAQAADwAAAAAAAAABACAAAAAiAAAAZHJzL2Rv&#10;d25yZXYueG1sUEsBAhQAFAAAAAgAh07iQKnp7cAAAgAAzQMAAA4AAAAAAAAAAQAgAAAAKAEAAGRy&#10;cy9lMm9Eb2MueG1sUEsFBgAAAAAGAAYAWQEAAJoFA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3081020</wp:posOffset>
                      </wp:positionH>
                      <wp:positionV relativeFrom="paragraph">
                        <wp:posOffset>3251200</wp:posOffset>
                      </wp:positionV>
                      <wp:extent cx="1174750" cy="190500"/>
                      <wp:effectExtent l="1270" t="6350" r="5080" b="12700"/>
                      <wp:wrapNone/>
                      <wp:docPr id="20" name="直接连接符 20"/>
                      <wp:cNvGraphicFramePr/>
                      <a:graphic xmlns:a="http://schemas.openxmlformats.org/drawingml/2006/main">
                        <a:graphicData uri="http://schemas.microsoft.com/office/word/2010/wordprocessingShape">
                          <wps:wsp>
                            <wps:cNvCnPr/>
                            <wps:spPr>
                              <a:xfrm>
                                <a:off x="4310380" y="4415155"/>
                                <a:ext cx="1174750" cy="19050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2.6pt;margin-top:256pt;height:15pt;width:92.5pt;z-index:251666432;mso-width-relative:page;mso-height-relative:page;" filled="f" stroked="t" coordsize="21600,21600" o:gfxdata="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BBkKNoAAAALAQAADwAAAAAAAAABACAAAAAiAAAAZHJzL2Rvd25yZXYu&#10;eG1sUEsBAhQAFAAAAAgAh07iQIyfU6j5AQAAxQMAAA4AAAAAAAAAAQAgAAAAKQEAAGRycy9lMm9E&#10;b2MueG1sUEsFBgAAAAAGAAYAWQEAAJQFA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3081020</wp:posOffset>
                      </wp:positionH>
                      <wp:positionV relativeFrom="paragraph">
                        <wp:posOffset>2465070</wp:posOffset>
                      </wp:positionV>
                      <wp:extent cx="87630" cy="802005"/>
                      <wp:effectExtent l="6350" t="635" r="20320" b="16510"/>
                      <wp:wrapNone/>
                      <wp:docPr id="19" name="直接连接符 19"/>
                      <wp:cNvGraphicFramePr/>
                      <a:graphic xmlns:a="http://schemas.openxmlformats.org/drawingml/2006/main">
                        <a:graphicData uri="http://schemas.microsoft.com/office/word/2010/wordprocessingShape">
                          <wps:wsp>
                            <wps:cNvCnPr/>
                            <wps:spPr>
                              <a:xfrm flipH="1">
                                <a:off x="4310380" y="3629025"/>
                                <a:ext cx="87630" cy="80200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42.6pt;margin-top:194.1pt;height:63.15pt;width:6.9pt;z-index:251665408;mso-width-relative:page;mso-height-relative:page;" filled="f" stroked="t" coordsize="21600,21600" o:gfxdata="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ofhJ2gAAAAsBAAAPAAAAAAAAAAEAIAAAACIAAABkcnMvZG93&#10;bnJldi54bWxQSwECFAAUAAAACACHTuJArzLt/P4BAADNAwAADgAAAAAAAAABACAAAAApAQAAZHJz&#10;L2Uyb0RvYy54bWxQSwUGAAAAAAYABgBZAQAAmQ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1978025</wp:posOffset>
                      </wp:positionH>
                      <wp:positionV relativeFrom="paragraph">
                        <wp:posOffset>2362200</wp:posOffset>
                      </wp:positionV>
                      <wp:extent cx="1198245" cy="95250"/>
                      <wp:effectExtent l="635" t="6350" r="1270" b="12700"/>
                      <wp:wrapNone/>
                      <wp:docPr id="18" name="直接连接符 18"/>
                      <wp:cNvGraphicFramePr/>
                      <a:graphic xmlns:a="http://schemas.openxmlformats.org/drawingml/2006/main">
                        <a:graphicData uri="http://schemas.microsoft.com/office/word/2010/wordprocessingShape">
                          <wps:wsp>
                            <wps:cNvCnPr/>
                            <wps:spPr>
                              <a:xfrm>
                                <a:off x="3207385" y="3526155"/>
                                <a:ext cx="1198245" cy="9525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5.75pt;margin-top:186pt;height:7.5pt;width:94.35pt;z-index:251664384;mso-width-relative:page;mso-height-relative:page;" filled="f" stroked="t" coordsize="21600,21600" o:gfxdata="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50C2gAAAAsBAAAPAAAAAAAAAAEAIAAAACIAAABkcnMvZG93bnJl&#10;di54bWxQSwECFAAUAAAACACHTuJAiLRi9vsBAADEAwAADgAAAAAAAAABACAAAAApAQAAZHJzL2Uy&#10;b0RvYy54bWxQSwUGAAAAAAYABgBZAQAAlgU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1708150</wp:posOffset>
                      </wp:positionH>
                      <wp:positionV relativeFrom="paragraph">
                        <wp:posOffset>2109470</wp:posOffset>
                      </wp:positionV>
                      <wp:extent cx="545465" cy="22225"/>
                      <wp:effectExtent l="6350" t="0" r="9525" b="6985"/>
                      <wp:wrapNone/>
                      <wp:docPr id="17" name="曲线连接符 17"/>
                      <wp:cNvGraphicFramePr/>
                      <a:graphic xmlns:a="http://schemas.openxmlformats.org/drawingml/2006/main">
                        <a:graphicData uri="http://schemas.microsoft.com/office/word/2010/wordprocessingShape">
                          <wps:wsp>
                            <wps:cNvCnPr/>
                            <wps:spPr>
                              <a:xfrm rot="5400000">
                                <a:off x="2973705" y="3299460"/>
                                <a:ext cx="545465" cy="22225"/>
                              </a:xfrm>
                              <a:prstGeom prst="curvedConnector3">
                                <a:avLst>
                                  <a:gd name="adj1" fmla="val 50058"/>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134.5pt;margin-top:166.1pt;height:1.75pt;width:42.95pt;rotation:5898240f;z-index:251663360;mso-width-relative:page;mso-height-relative:page;" filled="f" stroked="t" coordsize="21600,21600" o:gfxdata="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nsrGvaAAAACwEAAA8AAAAAAAAAAQAgAAAAIgAAAGRycy9kb3ducmV2LnhtbFBLAQIUABQAAAAI&#10;AIdO4kCDVDzzJAIAAAoEAAAOAAAAAAAAAAEAIAAAACkBAABkcnMvZTJvRG9jLnhtbFBLBQYAAAAA&#10;BgAGAFkBAAC/BQAAAAA=&#10;" adj="10813">
                      <v:fill on="f" focussize="0,0"/>
                      <v:stroke weight="1pt" color="#FF0000 [3204]" miterlimit="8" joinstyle="miter"/>
                      <v:imagedata o:title=""/>
                      <o:lock v:ext="edit" aspectratio="f"/>
                    </v:shape>
                  </w:pict>
                </mc:Fallback>
              </mc:AlternateContent>
            </w:r>
            <w:r>
              <w:rPr>
                <w:rFonts w:hint="eastAsia" w:ascii="宋体" w:hAnsi="宋体" w:eastAsia="宋体" w:cs="宋体"/>
                <w:b/>
                <w:bCs/>
                <w:lang w:eastAsia="zh-CN"/>
              </w:rPr>
              <w:drawing>
                <wp:inline distT="0" distB="0" distL="114300" distR="114300">
                  <wp:extent cx="8494395" cy="4472305"/>
                  <wp:effectExtent l="0" t="0" r="1905" b="4445"/>
                  <wp:docPr id="10" name="图片 10" descr="649285d4d109bb367ba5523b04f8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9285d4d109bb367ba5523b04f84db"/>
                          <pic:cNvPicPr>
                            <a:picLocks noChangeAspect="1"/>
                          </pic:cNvPicPr>
                        </pic:nvPicPr>
                        <pic:blipFill>
                          <a:blip r:embed="rId22"/>
                          <a:stretch>
                            <a:fillRect/>
                          </a:stretch>
                        </pic:blipFill>
                        <pic:spPr>
                          <a:xfrm>
                            <a:off x="0" y="0"/>
                            <a:ext cx="8494395" cy="4472305"/>
                          </a:xfrm>
                          <a:prstGeom prst="rect">
                            <a:avLst/>
                          </a:prstGeom>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2001520</wp:posOffset>
                      </wp:positionH>
                      <wp:positionV relativeFrom="paragraph">
                        <wp:posOffset>1870075</wp:posOffset>
                      </wp:positionV>
                      <wp:extent cx="1222375" cy="86995"/>
                      <wp:effectExtent l="635" t="6350" r="15240" b="20955"/>
                      <wp:wrapNone/>
                      <wp:docPr id="16" name="直接连接符 16"/>
                      <wp:cNvGraphicFramePr/>
                      <a:graphic xmlns:a="http://schemas.openxmlformats.org/drawingml/2006/main">
                        <a:graphicData uri="http://schemas.microsoft.com/office/word/2010/wordprocessingShape">
                          <wps:wsp>
                            <wps:cNvCnPr/>
                            <wps:spPr>
                              <a:xfrm flipH="1" flipV="1">
                                <a:off x="3230880" y="3034030"/>
                                <a:ext cx="1222375" cy="8699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57.6pt;margin-top:147.25pt;height:6.85pt;width:96.25pt;z-index:251662336;mso-width-relative:page;mso-height-relative:page;" filled="f" stroked="t" coordsize="21600,21600" o:gfxdata="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w5kHZAAAACwEAAA8AAAAAAAAAAQAgAAAAIgAAAGRy&#10;cy9kb3ducmV2LnhtbFBLAQIUABQAAAAIAIdO4kCRIhPIBAIAANgDAAAOAAAAAAAAAAEAIAAAACgB&#10;AABkcnMvZTJvRG9jLnhtbFBLBQYAAAAABgAGAFkBAACe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3232150</wp:posOffset>
                      </wp:positionH>
                      <wp:positionV relativeFrom="paragraph">
                        <wp:posOffset>1949450</wp:posOffset>
                      </wp:positionV>
                      <wp:extent cx="0" cy="86995"/>
                      <wp:effectExtent l="6350" t="0" r="12700" b="8255"/>
                      <wp:wrapNone/>
                      <wp:docPr id="15" name="直接连接符 15"/>
                      <wp:cNvGraphicFramePr/>
                      <a:graphic xmlns:a="http://schemas.openxmlformats.org/drawingml/2006/main">
                        <a:graphicData uri="http://schemas.microsoft.com/office/word/2010/wordprocessingShape">
                          <wps:wsp>
                            <wps:cNvCnPr/>
                            <wps:spPr>
                              <a:xfrm flipV="1">
                                <a:off x="4461510" y="3113405"/>
                                <a:ext cx="0" cy="8699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54.5pt;margin-top:153.5pt;height:6.85pt;width:0pt;z-index:251661312;mso-width-relative:page;mso-height-relative:page;" filled="f" stroked="t" coordsize="21600,21600" o:gfxdata="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9RtfYAAAACwEAAA8AAAAAAAAAAQAgAAAAIgAAAGRycy9kb3ducmV2&#10;LnhtbFBLAQIUABQAAAAIAIdO4kC86AqG/AEAAMgDAAAOAAAAAAAAAAEAIAAAACcBAABkcnMvZTJv&#10;RG9jLnhtbFBLBQYAAAAABgAGAFkBAACVBQAAAAA=&#10;">
                      <v:fill on="f" focussize="0,0"/>
                      <v:stroke weight="1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3255645</wp:posOffset>
                      </wp:positionH>
                      <wp:positionV relativeFrom="paragraph">
                        <wp:posOffset>2028825</wp:posOffset>
                      </wp:positionV>
                      <wp:extent cx="1365250" cy="174625"/>
                      <wp:effectExtent l="635" t="6350" r="5715" b="9525"/>
                      <wp:wrapNone/>
                      <wp:docPr id="11" name="直接连接符 11"/>
                      <wp:cNvGraphicFramePr/>
                      <a:graphic xmlns:a="http://schemas.openxmlformats.org/drawingml/2006/main">
                        <a:graphicData uri="http://schemas.microsoft.com/office/word/2010/wordprocessingShape">
                          <wps:wsp>
                            <wps:cNvCnPr/>
                            <wps:spPr>
                              <a:xfrm>
                                <a:off x="4532630" y="3192780"/>
                                <a:ext cx="1365250" cy="17462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6.35pt;margin-top:159.75pt;height:13.75pt;width:107.5pt;z-index:251659264;mso-width-relative:page;mso-height-relative:page;" filled="f" stroked="t" coordsize="21600,21600" o:gfxdata="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odsc2wAAAAsBAAAPAAAAAAAAAAEAIAAAACIAAABkcnMvZG93bnJl&#10;di54bWxQSwECFAAUAAAACACHTuJAhSPjN/oBAADFAwAADgAAAAAAAAABACAAAAAqAQAAZHJzL2Uy&#10;b0RvYy54bWxQSwUGAAAAAAYABgBZAQAAlgUAAAAA&#10;">
                      <v:fill on="f" focussize="0,0"/>
                      <v:stroke weight="1pt" color="#FF0000 [3204]" miterlimit="8" joinstyle="miter"/>
                      <v:imagedata o:title=""/>
                      <o:lock v:ext="edit" aspectratio="f"/>
                    </v:line>
                  </w:pict>
                </mc:Fallback>
              </mc:AlternateContent>
            </w:r>
          </w:p>
          <w:p w14:paraId="09E7AFB5">
            <w:pPr>
              <w:pStyle w:val="39"/>
              <w:adjustRightInd w:val="0"/>
              <w:snapToGrid w:val="0"/>
              <w:spacing w:line="360" w:lineRule="auto"/>
              <w:ind w:firstLine="0" w:firstLineChars="0"/>
              <w:jc w:val="center"/>
              <w:rPr>
                <w:rFonts w:hint="eastAsia" w:ascii="宋体" w:hAnsi="宋体" w:eastAsia="宋体" w:cs="宋体"/>
                <w:b/>
                <w:bCs/>
                <w:lang w:eastAsia="zh-CN"/>
              </w:rPr>
            </w:pPr>
            <w:r>
              <w:rPr>
                <w:rFonts w:hint="eastAsia" w:ascii="Times New Roman" w:hAnsi="Times New Roman" w:eastAsia="宋体" w:cs="Times New Roman"/>
                <w:b/>
                <w:bCs/>
                <w:snapToGrid/>
                <w:color w:val="000000" w:themeColor="text1"/>
                <w:spacing w:val="0"/>
                <w:kern w:val="0"/>
                <w:position w:val="0"/>
                <w:szCs w:val="24"/>
                <w:lang w:val="en-US" w:eastAsia="zh-CN"/>
                <w14:textFill>
                  <w14:solidFill>
                    <w14:schemeClr w14:val="tx1"/>
                  </w14:solidFill>
                </w14:textFill>
              </w:rPr>
              <w:t>图4-1 项目噪声等效声级图</w:t>
            </w:r>
          </w:p>
        </w:tc>
      </w:tr>
    </w:tbl>
    <w:p w14:paraId="10E0F6D8">
      <w:pPr>
        <w:adjustRightInd w:val="0"/>
        <w:snapToGrid w:val="0"/>
        <w:jc w:val="center"/>
        <w:rPr>
          <w:kern w:val="0"/>
          <w:sz w:val="24"/>
        </w:rPr>
        <w:sectPr>
          <w:pgSz w:w="16838" w:h="11906" w:orient="landscape"/>
          <w:pgMar w:top="1803" w:right="1440" w:bottom="1803" w:left="1440" w:header="851" w:footer="851" w:gutter="0"/>
          <w:cols w:space="720" w:num="1"/>
          <w:docGrid w:linePitch="312" w:charSpace="0"/>
        </w:sectPr>
      </w:pPr>
    </w:p>
    <w:tbl>
      <w:tblPr>
        <w:tblStyle w:val="28"/>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438"/>
      </w:tblGrid>
      <w:tr w14:paraId="5C927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8" w:hRule="atLeast"/>
          <w:jc w:val="center"/>
        </w:trPr>
        <w:tc>
          <w:tcPr>
            <w:tcW w:w="553" w:type="dxa"/>
            <w:tcBorders>
              <w:tl2br w:val="nil"/>
              <w:tr2bl w:val="nil"/>
            </w:tcBorders>
            <w:vAlign w:val="center"/>
          </w:tcPr>
          <w:p w14:paraId="45FF7E4E">
            <w:pPr>
              <w:adjustRightInd w:val="0"/>
              <w:snapToGrid w:val="0"/>
              <w:jc w:val="center"/>
              <w:rPr>
                <w:kern w:val="0"/>
                <w:sz w:val="24"/>
              </w:rPr>
            </w:pPr>
            <w:r>
              <w:rPr>
                <w:kern w:val="0"/>
                <w:sz w:val="24"/>
              </w:rPr>
              <w:t>运营</w:t>
            </w:r>
          </w:p>
          <w:p w14:paraId="4A13A64E">
            <w:pPr>
              <w:adjustRightInd w:val="0"/>
              <w:snapToGrid w:val="0"/>
              <w:jc w:val="center"/>
              <w:rPr>
                <w:kern w:val="0"/>
                <w:sz w:val="24"/>
              </w:rPr>
            </w:pPr>
            <w:r>
              <w:rPr>
                <w:kern w:val="0"/>
                <w:sz w:val="24"/>
              </w:rPr>
              <w:t>期环</w:t>
            </w:r>
          </w:p>
          <w:p w14:paraId="229BDFF4">
            <w:pPr>
              <w:adjustRightInd w:val="0"/>
              <w:snapToGrid w:val="0"/>
              <w:jc w:val="center"/>
              <w:rPr>
                <w:kern w:val="0"/>
                <w:sz w:val="24"/>
              </w:rPr>
            </w:pPr>
            <w:r>
              <w:rPr>
                <w:kern w:val="0"/>
                <w:sz w:val="24"/>
              </w:rPr>
              <w:t>境影</w:t>
            </w:r>
          </w:p>
          <w:p w14:paraId="2CF908F2">
            <w:pPr>
              <w:adjustRightInd w:val="0"/>
              <w:snapToGrid w:val="0"/>
              <w:jc w:val="center"/>
              <w:rPr>
                <w:kern w:val="0"/>
                <w:sz w:val="24"/>
              </w:rPr>
            </w:pPr>
            <w:r>
              <w:rPr>
                <w:kern w:val="0"/>
                <w:sz w:val="24"/>
              </w:rPr>
              <w:t>响和</w:t>
            </w:r>
          </w:p>
          <w:p w14:paraId="491DF76D">
            <w:pPr>
              <w:adjustRightInd w:val="0"/>
              <w:snapToGrid w:val="0"/>
              <w:jc w:val="center"/>
              <w:rPr>
                <w:kern w:val="0"/>
                <w:sz w:val="24"/>
              </w:rPr>
            </w:pPr>
            <w:r>
              <w:rPr>
                <w:kern w:val="0"/>
                <w:sz w:val="24"/>
              </w:rPr>
              <w:t>保护</w:t>
            </w:r>
          </w:p>
          <w:p w14:paraId="3BEED7DA">
            <w:pPr>
              <w:pStyle w:val="33"/>
              <w:rPr>
                <w:color w:val="auto"/>
                <w:kern w:val="0"/>
              </w:rPr>
            </w:pPr>
            <w:r>
              <w:rPr>
                <w:color w:val="auto"/>
                <w:kern w:val="0"/>
              </w:rPr>
              <w:t>措施</w:t>
            </w:r>
          </w:p>
        </w:tc>
        <w:tc>
          <w:tcPr>
            <w:tcW w:w="8438" w:type="dxa"/>
            <w:tcBorders>
              <w:tl2br w:val="nil"/>
              <w:tr2bl w:val="nil"/>
            </w:tcBorders>
            <w:vAlign w:val="center"/>
          </w:tcPr>
          <w:p w14:paraId="5B373E31">
            <w:pPr>
              <w:adjustRightInd w:val="0"/>
              <w:snapToGrid w:val="0"/>
              <w:spacing w:before="120" w:beforeLines="50" w:line="360" w:lineRule="auto"/>
              <w:ind w:firstLine="482" w:firstLineChars="200"/>
              <w:rPr>
                <w:b/>
                <w:bCs/>
                <w:sz w:val="24"/>
              </w:rPr>
            </w:pPr>
            <w:r>
              <w:rPr>
                <w:rFonts w:hint="eastAsia"/>
                <w:b/>
                <w:bCs/>
                <w:sz w:val="24"/>
              </w:rPr>
              <w:t>厂界和环境保护目标达标情况分析：</w:t>
            </w:r>
          </w:p>
          <w:p w14:paraId="17783DB1">
            <w:pPr>
              <w:adjustRightInd w:val="0"/>
              <w:snapToGrid w:val="0"/>
              <w:spacing w:line="360" w:lineRule="auto"/>
              <w:ind w:firstLine="480" w:firstLineChars="200"/>
              <w:rPr>
                <w:sz w:val="24"/>
                <w:lang w:val="zh-CN"/>
              </w:rPr>
            </w:pPr>
            <w:r>
              <w:rPr>
                <w:rFonts w:hint="eastAsia"/>
                <w:sz w:val="24"/>
                <w:lang w:val="zh-CN"/>
              </w:rPr>
              <w:t>根据设备噪声强度，采用距离衰减模式分析该项目对声环境的影响。预测模式采用《环境影响评价技术导则</w:t>
            </w:r>
            <w:r>
              <w:rPr>
                <w:rFonts w:hint="eastAsia"/>
                <w:sz w:val="24"/>
              </w:rPr>
              <w:t xml:space="preserve">  </w:t>
            </w:r>
            <w:r>
              <w:rPr>
                <w:rFonts w:hint="eastAsia"/>
                <w:sz w:val="24"/>
                <w:lang w:val="zh-CN"/>
              </w:rPr>
              <w:t>声环境》</w:t>
            </w:r>
            <w:r>
              <w:rPr>
                <w:rFonts w:hint="eastAsia" w:ascii="宋体" w:hAnsi="宋体"/>
                <w:sz w:val="24"/>
                <w:lang w:val="zh-CN"/>
              </w:rPr>
              <w:t>(</w:t>
            </w:r>
            <w:r>
              <w:rPr>
                <w:rFonts w:hint="eastAsia"/>
                <w:sz w:val="24"/>
                <w:lang w:val="zh-CN"/>
              </w:rPr>
              <w:t>HJ2.4-2021</w:t>
            </w:r>
            <w:r>
              <w:rPr>
                <w:rFonts w:hint="eastAsia" w:ascii="宋体" w:hAnsi="宋体"/>
                <w:sz w:val="24"/>
                <w:lang w:val="zh-CN"/>
              </w:rPr>
              <w:t>)中推荐</w:t>
            </w:r>
            <w:r>
              <w:rPr>
                <w:rFonts w:hint="eastAsia"/>
                <w:sz w:val="24"/>
                <w:lang w:val="zh-CN"/>
              </w:rPr>
              <w:t>的噪声预测模式，噪声衰减公式：</w:t>
            </w:r>
          </w:p>
          <w:p w14:paraId="6ABE3850">
            <w:pPr>
              <w:pStyle w:val="26"/>
              <w:widowControl/>
              <w:adjustRightInd w:val="0"/>
              <w:spacing w:before="0" w:after="0" w:line="360" w:lineRule="auto"/>
              <w:ind w:right="0" w:firstLine="480" w:firstLineChars="200"/>
              <w:rPr>
                <w:sz w:val="24"/>
                <w:szCs w:val="24"/>
              </w:rPr>
            </w:pPr>
            <w:r>
              <w:rPr>
                <w:sz w:val="24"/>
                <w:szCs w:val="24"/>
              </w:rPr>
              <w:t>①如图B.1所示，声源位于室内，室内声源可采用等效室外声源声功率级法进行计算。设靠近开口处（或窗户）室内、室外某倍频带的声压级或A声级分别为L</w:t>
            </w:r>
            <w:r>
              <w:rPr>
                <w:sz w:val="24"/>
                <w:szCs w:val="24"/>
                <w:vertAlign w:val="subscript"/>
              </w:rPr>
              <w:t>p1</w:t>
            </w:r>
            <w:r>
              <w:rPr>
                <w:sz w:val="24"/>
                <w:szCs w:val="24"/>
              </w:rPr>
              <w:t>和L</w:t>
            </w:r>
            <w:r>
              <w:rPr>
                <w:sz w:val="24"/>
                <w:szCs w:val="24"/>
                <w:vertAlign w:val="subscript"/>
              </w:rPr>
              <w:t>p2</w:t>
            </w:r>
            <w:r>
              <w:rPr>
                <w:sz w:val="24"/>
                <w:szCs w:val="24"/>
              </w:rPr>
              <w:t>。若声源所在室内声场为近似扩散声场，则室外的倍频带声压级可按式（B.1）近似求出：</w:t>
            </w:r>
          </w:p>
          <w:p w14:paraId="40AA1FEE">
            <w:pPr>
              <w:pStyle w:val="26"/>
              <w:adjustRightInd w:val="0"/>
              <w:spacing w:before="0" w:after="0" w:line="360" w:lineRule="auto"/>
              <w:ind w:right="0" w:firstLine="210"/>
              <w:jc w:val="right"/>
              <w:rPr>
                <w:sz w:val="24"/>
                <w:szCs w:val="24"/>
              </w:rPr>
            </w:pPr>
            <w:r>
              <w:drawing>
                <wp:inline distT="0" distB="0" distL="114300" distR="114300">
                  <wp:extent cx="3482975" cy="373380"/>
                  <wp:effectExtent l="0" t="0" r="3175" b="762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a:stretch>
                            <a:fillRect/>
                          </a:stretch>
                        </pic:blipFill>
                        <pic:spPr>
                          <a:xfrm>
                            <a:off x="0" y="0"/>
                            <a:ext cx="3482975" cy="373380"/>
                          </a:xfrm>
                          <a:prstGeom prst="rect">
                            <a:avLst/>
                          </a:prstGeom>
                          <a:noFill/>
                          <a:ln>
                            <a:noFill/>
                          </a:ln>
                        </pic:spPr>
                      </pic:pic>
                    </a:graphicData>
                  </a:graphic>
                </wp:inline>
              </w:drawing>
            </w:r>
            <w:r>
              <w:t xml:space="preserve"> </w:t>
            </w:r>
          </w:p>
          <w:p w14:paraId="1173FF6D">
            <w:pPr>
              <w:pStyle w:val="26"/>
              <w:adjustRightInd w:val="0"/>
              <w:spacing w:before="0" w:after="0" w:line="360" w:lineRule="auto"/>
              <w:ind w:right="0" w:firstLine="0" w:firstLineChars="0"/>
              <w:rPr>
                <w:sz w:val="24"/>
                <w:szCs w:val="24"/>
              </w:rPr>
            </w:pPr>
            <w:r>
              <w:rPr>
                <w:sz w:val="24"/>
                <w:szCs w:val="24"/>
              </w:rPr>
              <w:t>式中：L</w:t>
            </w:r>
            <w:r>
              <w:rPr>
                <w:sz w:val="24"/>
                <w:szCs w:val="24"/>
                <w:vertAlign w:val="subscript"/>
              </w:rPr>
              <w:t>p1</w:t>
            </w:r>
            <w:r>
              <w:t>——</w:t>
            </w:r>
            <w:r>
              <w:rPr>
                <w:sz w:val="24"/>
                <w:szCs w:val="24"/>
              </w:rPr>
              <w:t>靠近开口处（或窗户）室内某倍频带的声压级或A声级，dB；</w:t>
            </w:r>
          </w:p>
          <w:p w14:paraId="575949D9">
            <w:pPr>
              <w:pStyle w:val="26"/>
              <w:adjustRightInd w:val="0"/>
              <w:spacing w:before="0" w:after="0" w:line="360" w:lineRule="auto"/>
              <w:ind w:right="0" w:firstLine="720" w:firstLineChars="300"/>
              <w:rPr>
                <w:sz w:val="24"/>
                <w:szCs w:val="24"/>
              </w:rPr>
            </w:pPr>
            <w:r>
              <w:rPr>
                <w:sz w:val="24"/>
                <w:szCs w:val="24"/>
              </w:rPr>
              <w:t>L</w:t>
            </w:r>
            <w:r>
              <w:rPr>
                <w:sz w:val="24"/>
                <w:szCs w:val="24"/>
                <w:vertAlign w:val="subscript"/>
              </w:rPr>
              <w:t>p2</w:t>
            </w:r>
            <w:r>
              <w:t>——</w:t>
            </w:r>
            <w:r>
              <w:rPr>
                <w:sz w:val="24"/>
                <w:szCs w:val="24"/>
              </w:rPr>
              <w:t>靠近开口处（或窗户）室外某倍频带的声压级或A声级，dB；</w:t>
            </w:r>
          </w:p>
          <w:p w14:paraId="66C7D16C">
            <w:pPr>
              <w:pStyle w:val="26"/>
              <w:adjustRightInd w:val="0"/>
              <w:spacing w:before="0" w:after="0" w:line="360" w:lineRule="auto"/>
              <w:ind w:right="0" w:firstLine="720" w:firstLineChars="300"/>
              <w:rPr>
                <w:sz w:val="24"/>
                <w:szCs w:val="24"/>
              </w:rPr>
            </w:pPr>
            <w:r>
              <w:rPr>
                <w:sz w:val="24"/>
                <w:szCs w:val="24"/>
              </w:rPr>
              <w:t>TL</w:t>
            </w:r>
            <w:r>
              <w:t>——</w:t>
            </w:r>
            <w:r>
              <w:rPr>
                <w:sz w:val="24"/>
                <w:szCs w:val="24"/>
              </w:rPr>
              <w:t>隔墙（或窗户）倍频带或A声级的隔声量，dB。</w:t>
            </w:r>
          </w:p>
          <w:p w14:paraId="5DE86964">
            <w:pPr>
              <w:pStyle w:val="26"/>
              <w:adjustRightInd w:val="0"/>
              <w:spacing w:before="0" w:after="0" w:line="360" w:lineRule="auto"/>
              <w:ind w:right="0" w:firstLine="0" w:firstLineChars="0"/>
              <w:jc w:val="center"/>
            </w:pPr>
            <w:r>
              <w:drawing>
                <wp:inline distT="0" distB="0" distL="114300" distR="114300">
                  <wp:extent cx="3236595" cy="1656080"/>
                  <wp:effectExtent l="0" t="0" r="190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4"/>
                          <a:stretch>
                            <a:fillRect/>
                          </a:stretch>
                        </pic:blipFill>
                        <pic:spPr>
                          <a:xfrm>
                            <a:off x="0" y="0"/>
                            <a:ext cx="3236595" cy="1656080"/>
                          </a:xfrm>
                          <a:prstGeom prst="rect">
                            <a:avLst/>
                          </a:prstGeom>
                          <a:noFill/>
                          <a:ln>
                            <a:noFill/>
                          </a:ln>
                        </pic:spPr>
                      </pic:pic>
                    </a:graphicData>
                  </a:graphic>
                </wp:inline>
              </w:drawing>
            </w:r>
          </w:p>
          <w:p w14:paraId="53A5B4AE">
            <w:pPr>
              <w:pStyle w:val="26"/>
              <w:widowControl/>
              <w:adjustRightInd w:val="0"/>
              <w:spacing w:before="0" w:after="0" w:line="360" w:lineRule="auto"/>
              <w:ind w:right="0" w:firstLine="0" w:firstLineChars="0"/>
              <w:jc w:val="center"/>
              <w:rPr>
                <w:b/>
                <w:bCs/>
                <w:sz w:val="24"/>
                <w:szCs w:val="24"/>
              </w:rPr>
            </w:pPr>
            <w:r>
              <w:rPr>
                <w:b/>
                <w:bCs/>
                <w:sz w:val="24"/>
                <w:szCs w:val="24"/>
              </w:rPr>
              <w:t>图B.1  室内声源等效为室外声源图例</w:t>
            </w:r>
          </w:p>
          <w:p w14:paraId="7EF4A7BF">
            <w:pPr>
              <w:pStyle w:val="26"/>
              <w:adjustRightInd w:val="0"/>
              <w:spacing w:before="0" w:after="0" w:line="360" w:lineRule="auto"/>
              <w:ind w:right="0" w:firstLine="480" w:firstLineChars="200"/>
              <w:rPr>
                <w:bCs/>
                <w:sz w:val="24"/>
                <w:szCs w:val="24"/>
              </w:rPr>
            </w:pPr>
            <w:r>
              <w:rPr>
                <w:bCs/>
                <w:sz w:val="24"/>
                <w:szCs w:val="24"/>
              </w:rPr>
              <w:t>②也可按式（B.2）计算某一室内声源靠近围护结构处产生的倍频带声压级或A声级：</w:t>
            </w:r>
          </w:p>
          <w:p w14:paraId="61C80982">
            <w:pPr>
              <w:pStyle w:val="26"/>
              <w:adjustRightInd w:val="0"/>
              <w:spacing w:before="0" w:after="0" w:line="360" w:lineRule="auto"/>
              <w:ind w:right="0" w:firstLine="0" w:firstLineChars="0"/>
              <w:jc w:val="right"/>
              <w:rPr>
                <w:bCs/>
                <w:sz w:val="24"/>
                <w:szCs w:val="24"/>
              </w:rPr>
            </w:pPr>
            <w:r>
              <w:drawing>
                <wp:inline distT="0" distB="0" distL="114300" distR="114300">
                  <wp:extent cx="3904615" cy="575310"/>
                  <wp:effectExtent l="0" t="0" r="635" b="1524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5"/>
                          <a:stretch>
                            <a:fillRect/>
                          </a:stretch>
                        </pic:blipFill>
                        <pic:spPr>
                          <a:xfrm>
                            <a:off x="0" y="0"/>
                            <a:ext cx="3904615" cy="575310"/>
                          </a:xfrm>
                          <a:prstGeom prst="rect">
                            <a:avLst/>
                          </a:prstGeom>
                          <a:noFill/>
                          <a:ln>
                            <a:noFill/>
                          </a:ln>
                        </pic:spPr>
                      </pic:pic>
                    </a:graphicData>
                  </a:graphic>
                </wp:inline>
              </w:drawing>
            </w:r>
          </w:p>
          <w:p w14:paraId="729DD528">
            <w:pPr>
              <w:pStyle w:val="26"/>
              <w:adjustRightInd w:val="0"/>
              <w:spacing w:before="0" w:after="0" w:line="360" w:lineRule="auto"/>
              <w:ind w:right="0" w:firstLine="0" w:firstLineChars="0"/>
              <w:rPr>
                <w:bCs/>
                <w:sz w:val="24"/>
                <w:szCs w:val="24"/>
              </w:rPr>
            </w:pPr>
            <w:r>
              <w:rPr>
                <w:bCs/>
                <w:sz w:val="24"/>
                <w:szCs w:val="24"/>
              </w:rPr>
              <w:t>式中：L</w:t>
            </w:r>
            <w:r>
              <w:rPr>
                <w:bCs/>
                <w:sz w:val="24"/>
                <w:szCs w:val="24"/>
                <w:vertAlign w:val="subscript"/>
              </w:rPr>
              <w:t>p1</w:t>
            </w:r>
            <w:r>
              <w:rPr>
                <w:bCs/>
                <w:sz w:val="24"/>
                <w:szCs w:val="24"/>
              </w:rPr>
              <w:t>——靠近开口处（或窗户）室内某倍频带的声压级或A声级，dB；</w:t>
            </w:r>
          </w:p>
          <w:p w14:paraId="38B18339">
            <w:pPr>
              <w:pStyle w:val="26"/>
              <w:adjustRightInd w:val="0"/>
              <w:spacing w:before="0" w:after="0" w:line="360" w:lineRule="auto"/>
              <w:ind w:right="0" w:firstLine="720" w:firstLineChars="300"/>
              <w:rPr>
                <w:bCs/>
                <w:sz w:val="24"/>
                <w:szCs w:val="24"/>
              </w:rPr>
            </w:pPr>
            <w:r>
              <w:rPr>
                <w:bCs/>
                <w:sz w:val="24"/>
                <w:szCs w:val="24"/>
              </w:rPr>
              <w:t>L</w:t>
            </w:r>
            <w:r>
              <w:rPr>
                <w:bCs/>
                <w:sz w:val="24"/>
                <w:szCs w:val="24"/>
                <w:vertAlign w:val="subscript"/>
              </w:rPr>
              <w:t xml:space="preserve">w </w:t>
            </w:r>
            <w:r>
              <w:rPr>
                <w:bCs/>
                <w:sz w:val="24"/>
                <w:szCs w:val="24"/>
              </w:rPr>
              <w:t>——点声源声功率级（A计权或倍频带），dB；</w:t>
            </w:r>
          </w:p>
          <w:p w14:paraId="1CF442FA">
            <w:pPr>
              <w:pStyle w:val="26"/>
              <w:adjustRightInd w:val="0"/>
              <w:spacing w:before="0" w:after="0" w:line="360" w:lineRule="auto"/>
              <w:ind w:right="0" w:firstLine="720" w:firstLineChars="300"/>
              <w:rPr>
                <w:bCs/>
                <w:sz w:val="24"/>
                <w:szCs w:val="24"/>
              </w:rPr>
            </w:pPr>
            <w:r>
              <w:rPr>
                <w:bCs/>
                <w:sz w:val="24"/>
                <w:szCs w:val="24"/>
              </w:rPr>
              <w:t>Q——指向性因数；通常对无指向性声源，当声源放在房间中心时，Q=1；当放在一面墙的中心时，Q=2；当放在两面墙夹角处时，Q=4；当放在三面墙夹角处时，Q=8；</w:t>
            </w:r>
          </w:p>
          <w:p w14:paraId="4C6FE8C8">
            <w:pPr>
              <w:pStyle w:val="26"/>
              <w:adjustRightInd w:val="0"/>
              <w:spacing w:before="0" w:after="0" w:line="360" w:lineRule="auto"/>
              <w:ind w:right="0" w:firstLine="720" w:firstLineChars="300"/>
              <w:rPr>
                <w:bCs/>
                <w:sz w:val="24"/>
                <w:szCs w:val="24"/>
              </w:rPr>
            </w:pPr>
            <w:r>
              <w:rPr>
                <w:bCs/>
                <w:sz w:val="24"/>
                <w:szCs w:val="24"/>
              </w:rPr>
              <w:t>R——房间常数；</w:t>
            </w:r>
            <w:r>
              <w:rPr>
                <w:kern w:val="0"/>
                <w:sz w:val="24"/>
                <w:szCs w:val="24"/>
              </w:rPr>
              <w:t>R=Sα/（1-α）</w:t>
            </w:r>
            <w:r>
              <w:rPr>
                <w:bCs/>
                <w:sz w:val="24"/>
                <w:szCs w:val="24"/>
              </w:rPr>
              <w:t>，S为房间内表面面积，m</w:t>
            </w:r>
            <w:r>
              <w:rPr>
                <w:bCs/>
                <w:sz w:val="24"/>
                <w:szCs w:val="24"/>
                <w:vertAlign w:val="superscript"/>
              </w:rPr>
              <w:t>2</w:t>
            </w:r>
            <w:r>
              <w:rPr>
                <w:bCs/>
                <w:sz w:val="24"/>
                <w:szCs w:val="24"/>
              </w:rPr>
              <w:t>；α为平均吸声系数；</w:t>
            </w:r>
          </w:p>
          <w:p w14:paraId="11D6DFDC">
            <w:pPr>
              <w:pStyle w:val="26"/>
              <w:adjustRightInd w:val="0"/>
              <w:spacing w:before="0" w:after="0" w:line="360" w:lineRule="auto"/>
              <w:ind w:right="0" w:firstLine="720" w:firstLineChars="300"/>
              <w:rPr>
                <w:bCs/>
                <w:sz w:val="24"/>
                <w:szCs w:val="24"/>
              </w:rPr>
            </w:pPr>
            <w:r>
              <w:rPr>
                <w:bCs/>
                <w:sz w:val="24"/>
                <w:szCs w:val="24"/>
              </w:rPr>
              <w:t>r ——声源到靠近围护结构某点处的距离，m。</w:t>
            </w:r>
          </w:p>
          <w:p w14:paraId="76B6BB28">
            <w:pPr>
              <w:pStyle w:val="26"/>
              <w:adjustRightInd w:val="0"/>
              <w:spacing w:before="0" w:after="0" w:line="360" w:lineRule="auto"/>
              <w:ind w:right="0" w:firstLine="480" w:firstLineChars="200"/>
              <w:rPr>
                <w:bCs/>
                <w:sz w:val="24"/>
                <w:szCs w:val="24"/>
              </w:rPr>
            </w:pPr>
            <w:r>
              <w:rPr>
                <w:bCs/>
                <w:sz w:val="24"/>
                <w:szCs w:val="24"/>
              </w:rPr>
              <w:t>③然后按式（B.3）计算出所有室内声源在围护结构处产生的i倍频带叠加声压级：</w:t>
            </w:r>
          </w:p>
          <w:p w14:paraId="37785B6F">
            <w:pPr>
              <w:pStyle w:val="26"/>
              <w:adjustRightInd w:val="0"/>
              <w:spacing w:before="0" w:after="0" w:line="360" w:lineRule="auto"/>
              <w:ind w:right="0" w:firstLine="0" w:firstLineChars="0"/>
              <w:jc w:val="right"/>
              <w:rPr>
                <w:bCs/>
                <w:sz w:val="24"/>
                <w:szCs w:val="24"/>
              </w:rPr>
            </w:pPr>
            <w:r>
              <w:drawing>
                <wp:inline distT="0" distB="0" distL="114300" distR="114300">
                  <wp:extent cx="3957955" cy="560705"/>
                  <wp:effectExtent l="0" t="0" r="4445" b="1079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6"/>
                          <a:stretch>
                            <a:fillRect/>
                          </a:stretch>
                        </pic:blipFill>
                        <pic:spPr>
                          <a:xfrm>
                            <a:off x="0" y="0"/>
                            <a:ext cx="3957955" cy="560705"/>
                          </a:xfrm>
                          <a:prstGeom prst="rect">
                            <a:avLst/>
                          </a:prstGeom>
                          <a:noFill/>
                          <a:ln>
                            <a:noFill/>
                          </a:ln>
                        </pic:spPr>
                      </pic:pic>
                    </a:graphicData>
                  </a:graphic>
                </wp:inline>
              </w:drawing>
            </w:r>
          </w:p>
          <w:p w14:paraId="31490C03">
            <w:pPr>
              <w:adjustRightInd w:val="0"/>
              <w:snapToGrid w:val="0"/>
              <w:spacing w:line="360" w:lineRule="auto"/>
              <w:rPr>
                <w:kern w:val="0"/>
                <w:sz w:val="24"/>
              </w:rPr>
            </w:pPr>
            <w:r>
              <w:rPr>
                <w:kern w:val="0"/>
                <w:sz w:val="24"/>
              </w:rPr>
              <w:t>式中：L</w:t>
            </w:r>
            <w:r>
              <w:rPr>
                <w:kern w:val="0"/>
                <w:sz w:val="24"/>
                <w:vertAlign w:val="subscript"/>
              </w:rPr>
              <w:t>pli</w:t>
            </w:r>
            <w:r>
              <w:rPr>
                <w:kern w:val="0"/>
                <w:sz w:val="24"/>
              </w:rPr>
              <w:t>（T）——靠近围护结构处室内N个声源i倍频带的叠加声压级，dB；</w:t>
            </w:r>
          </w:p>
          <w:p w14:paraId="6FC950CE">
            <w:pPr>
              <w:adjustRightInd w:val="0"/>
              <w:snapToGrid w:val="0"/>
              <w:spacing w:line="360" w:lineRule="auto"/>
              <w:ind w:firstLine="720" w:firstLineChars="300"/>
              <w:rPr>
                <w:kern w:val="0"/>
                <w:sz w:val="24"/>
              </w:rPr>
            </w:pPr>
            <w:r>
              <w:rPr>
                <w:kern w:val="0"/>
                <w:sz w:val="24"/>
              </w:rPr>
              <w:t>L</w:t>
            </w:r>
            <w:r>
              <w:rPr>
                <w:kern w:val="0"/>
                <w:sz w:val="24"/>
                <w:vertAlign w:val="subscript"/>
              </w:rPr>
              <w:t>plij</w:t>
            </w:r>
            <w:r>
              <w:rPr>
                <w:kern w:val="0"/>
                <w:sz w:val="24"/>
              </w:rPr>
              <w:t>——室内j声源i倍频带的声压级，dB；</w:t>
            </w:r>
          </w:p>
          <w:p w14:paraId="46BF3D9B">
            <w:pPr>
              <w:adjustRightInd w:val="0"/>
              <w:snapToGrid w:val="0"/>
              <w:spacing w:line="360" w:lineRule="auto"/>
              <w:ind w:firstLine="630" w:firstLineChars="300"/>
            </w:pPr>
            <w:r>
              <w:t>N</w:t>
            </w:r>
            <w:r>
              <w:rPr>
                <w:kern w:val="0"/>
                <w:sz w:val="24"/>
              </w:rPr>
              <w:t>——室内声源总数。</w:t>
            </w:r>
          </w:p>
          <w:p w14:paraId="7D00126F">
            <w:pPr>
              <w:pStyle w:val="26"/>
              <w:adjustRightInd w:val="0"/>
              <w:spacing w:before="0" w:after="0" w:line="360" w:lineRule="auto"/>
              <w:ind w:right="0" w:firstLine="480" w:firstLineChars="200"/>
              <w:rPr>
                <w:bCs/>
                <w:sz w:val="24"/>
                <w:szCs w:val="24"/>
              </w:rPr>
            </w:pPr>
            <w:r>
              <w:rPr>
                <w:bCs/>
                <w:sz w:val="24"/>
                <w:szCs w:val="24"/>
              </w:rPr>
              <w:t>④在室内近似为扩散声场时，按式（B.4）计算出靠近室外围护结构处的声压级：</w:t>
            </w:r>
          </w:p>
          <w:p w14:paraId="0C438CFB">
            <w:pPr>
              <w:pStyle w:val="26"/>
              <w:adjustRightInd w:val="0"/>
              <w:spacing w:before="0" w:after="0" w:line="360" w:lineRule="auto"/>
              <w:ind w:right="0" w:firstLine="0" w:firstLineChars="0"/>
              <w:jc w:val="right"/>
              <w:rPr>
                <w:bCs/>
                <w:sz w:val="24"/>
                <w:szCs w:val="24"/>
              </w:rPr>
            </w:pPr>
            <w:r>
              <w:drawing>
                <wp:inline distT="0" distB="0" distL="114300" distR="114300">
                  <wp:extent cx="4064000" cy="332740"/>
                  <wp:effectExtent l="0" t="0" r="12700" b="1016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7"/>
                          <a:stretch>
                            <a:fillRect/>
                          </a:stretch>
                        </pic:blipFill>
                        <pic:spPr>
                          <a:xfrm>
                            <a:off x="0" y="0"/>
                            <a:ext cx="4064000" cy="332740"/>
                          </a:xfrm>
                          <a:prstGeom prst="rect">
                            <a:avLst/>
                          </a:prstGeom>
                          <a:noFill/>
                          <a:ln>
                            <a:noFill/>
                          </a:ln>
                        </pic:spPr>
                      </pic:pic>
                    </a:graphicData>
                  </a:graphic>
                </wp:inline>
              </w:drawing>
            </w:r>
          </w:p>
          <w:p w14:paraId="768C5AAE">
            <w:pPr>
              <w:adjustRightInd w:val="0"/>
              <w:snapToGrid w:val="0"/>
              <w:spacing w:line="360" w:lineRule="auto"/>
              <w:rPr>
                <w:kern w:val="0"/>
                <w:sz w:val="24"/>
              </w:rPr>
            </w:pPr>
            <w:r>
              <w:rPr>
                <w:kern w:val="0"/>
                <w:sz w:val="24"/>
              </w:rPr>
              <w:t>式中：L</w:t>
            </w:r>
            <w:r>
              <w:rPr>
                <w:kern w:val="0"/>
                <w:sz w:val="24"/>
                <w:vertAlign w:val="subscript"/>
              </w:rPr>
              <w:t>p2i</w:t>
            </w:r>
            <w:r>
              <w:rPr>
                <w:kern w:val="0"/>
                <w:sz w:val="24"/>
              </w:rPr>
              <w:t>（T）——靠近围护结构处室外N个声源i倍频带的叠加声压级，dB；</w:t>
            </w:r>
          </w:p>
          <w:p w14:paraId="7E6CCE22">
            <w:pPr>
              <w:adjustRightInd w:val="0"/>
              <w:snapToGrid w:val="0"/>
              <w:spacing w:line="360" w:lineRule="auto"/>
              <w:ind w:firstLine="720" w:firstLineChars="300"/>
              <w:rPr>
                <w:kern w:val="0"/>
                <w:sz w:val="24"/>
              </w:rPr>
            </w:pPr>
            <w:r>
              <w:rPr>
                <w:kern w:val="0"/>
                <w:sz w:val="24"/>
              </w:rPr>
              <w:t>L</w:t>
            </w:r>
            <w:r>
              <w:rPr>
                <w:kern w:val="0"/>
                <w:sz w:val="24"/>
                <w:vertAlign w:val="subscript"/>
              </w:rPr>
              <w:t>pli</w:t>
            </w:r>
            <w:r>
              <w:rPr>
                <w:kern w:val="0"/>
                <w:sz w:val="24"/>
              </w:rPr>
              <w:t>（T）——靠近围护结构处室内N个声源i倍频带的叠加声压级，dB；</w:t>
            </w:r>
          </w:p>
          <w:p w14:paraId="5063B9C0">
            <w:pPr>
              <w:adjustRightInd w:val="0"/>
              <w:snapToGrid w:val="0"/>
              <w:spacing w:line="360" w:lineRule="auto"/>
              <w:ind w:firstLine="720" w:firstLineChars="300"/>
              <w:rPr>
                <w:kern w:val="0"/>
                <w:sz w:val="24"/>
              </w:rPr>
            </w:pPr>
            <w:r>
              <w:rPr>
                <w:kern w:val="0"/>
                <w:sz w:val="24"/>
              </w:rPr>
              <w:t>TL</w:t>
            </w:r>
            <w:r>
              <w:rPr>
                <w:kern w:val="0"/>
                <w:sz w:val="24"/>
                <w:vertAlign w:val="subscript"/>
              </w:rPr>
              <w:t>i</w:t>
            </w:r>
            <w:r>
              <w:rPr>
                <w:kern w:val="0"/>
                <w:sz w:val="24"/>
              </w:rPr>
              <w:t>——围护结构i倍频带的隔声量，dB；</w:t>
            </w:r>
          </w:p>
          <w:p w14:paraId="3F51A876">
            <w:pPr>
              <w:pStyle w:val="26"/>
              <w:adjustRightInd w:val="0"/>
              <w:spacing w:before="0" w:after="0" w:line="360" w:lineRule="auto"/>
              <w:ind w:right="0" w:firstLine="480" w:firstLineChars="200"/>
              <w:rPr>
                <w:bCs/>
                <w:sz w:val="24"/>
                <w:szCs w:val="24"/>
              </w:rPr>
            </w:pPr>
            <w:r>
              <w:rPr>
                <w:bCs/>
                <w:sz w:val="24"/>
                <w:szCs w:val="24"/>
              </w:rPr>
              <w:t>⑤然后按式（B.5）将室外声源的声压级和透过面积换算成等效的室外声源，计算出中心位置位于透声面积（S）处的等效声源的倍频带声功率级。</w:t>
            </w:r>
          </w:p>
          <w:p w14:paraId="1D60F799">
            <w:pPr>
              <w:pStyle w:val="26"/>
              <w:adjustRightInd w:val="0"/>
              <w:spacing w:before="0" w:after="0" w:line="360" w:lineRule="auto"/>
              <w:ind w:right="0" w:firstLine="0" w:firstLineChars="0"/>
              <w:jc w:val="right"/>
              <w:rPr>
                <w:bCs/>
                <w:sz w:val="24"/>
                <w:szCs w:val="24"/>
              </w:rPr>
            </w:pPr>
            <w:r>
              <w:drawing>
                <wp:inline distT="0" distB="0" distL="114300" distR="114300">
                  <wp:extent cx="3923665" cy="304165"/>
                  <wp:effectExtent l="0" t="0" r="635" b="63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8"/>
                          <a:stretch>
                            <a:fillRect/>
                          </a:stretch>
                        </pic:blipFill>
                        <pic:spPr>
                          <a:xfrm>
                            <a:off x="0" y="0"/>
                            <a:ext cx="3923665" cy="304165"/>
                          </a:xfrm>
                          <a:prstGeom prst="rect">
                            <a:avLst/>
                          </a:prstGeom>
                          <a:noFill/>
                          <a:ln>
                            <a:noFill/>
                          </a:ln>
                        </pic:spPr>
                      </pic:pic>
                    </a:graphicData>
                  </a:graphic>
                </wp:inline>
              </w:drawing>
            </w:r>
          </w:p>
          <w:p w14:paraId="77A3E4DB">
            <w:pPr>
              <w:adjustRightInd w:val="0"/>
              <w:snapToGrid w:val="0"/>
              <w:spacing w:line="360" w:lineRule="auto"/>
              <w:rPr>
                <w:sz w:val="24"/>
              </w:rPr>
            </w:pPr>
            <w:r>
              <w:rPr>
                <w:sz w:val="24"/>
              </w:rPr>
              <w:t>式中：L</w:t>
            </w:r>
            <w:r>
              <w:rPr>
                <w:sz w:val="24"/>
                <w:vertAlign w:val="subscript"/>
              </w:rPr>
              <w:t>W</w:t>
            </w:r>
            <w:r>
              <w:rPr>
                <w:sz w:val="24"/>
              </w:rPr>
              <w:t>——中心位置位于透声面积（S）处的等效声源的倍频带声功率级，dB；</w:t>
            </w:r>
          </w:p>
          <w:p w14:paraId="7680B28E">
            <w:pPr>
              <w:adjustRightInd w:val="0"/>
              <w:snapToGrid w:val="0"/>
              <w:spacing w:line="360" w:lineRule="auto"/>
              <w:ind w:firstLine="720" w:firstLineChars="300"/>
              <w:rPr>
                <w:sz w:val="24"/>
              </w:rPr>
            </w:pPr>
            <w:r>
              <w:rPr>
                <w:sz w:val="24"/>
              </w:rPr>
              <w:t>L</w:t>
            </w:r>
            <w:r>
              <w:rPr>
                <w:sz w:val="24"/>
                <w:vertAlign w:val="subscript"/>
              </w:rPr>
              <w:t>p2</w:t>
            </w:r>
            <w:r>
              <w:rPr>
                <w:sz w:val="24"/>
              </w:rPr>
              <w:t>（T）——靠近围护结构处室外声源的声压级，dB；</w:t>
            </w:r>
          </w:p>
          <w:p w14:paraId="68034690">
            <w:pPr>
              <w:adjustRightInd w:val="0"/>
              <w:snapToGrid w:val="0"/>
              <w:spacing w:line="360" w:lineRule="auto"/>
              <w:ind w:firstLine="720" w:firstLineChars="300"/>
              <w:rPr>
                <w:sz w:val="24"/>
              </w:rPr>
            </w:pPr>
            <w:r>
              <w:rPr>
                <w:sz w:val="24"/>
              </w:rPr>
              <w:t>S——透声面积，m</w:t>
            </w:r>
            <w:r>
              <w:rPr>
                <w:sz w:val="24"/>
                <w:vertAlign w:val="superscript"/>
              </w:rPr>
              <w:t>2</w:t>
            </w:r>
            <w:r>
              <w:rPr>
                <w:sz w:val="24"/>
              </w:rPr>
              <w:t>。</w:t>
            </w:r>
          </w:p>
          <w:p w14:paraId="58C770EE">
            <w:pPr>
              <w:adjustRightInd w:val="0"/>
              <w:snapToGrid w:val="0"/>
              <w:spacing w:line="360" w:lineRule="auto"/>
              <w:ind w:firstLine="480" w:firstLineChars="200"/>
              <w:rPr>
                <w:sz w:val="24"/>
              </w:rPr>
            </w:pPr>
            <w:r>
              <w:rPr>
                <w:sz w:val="24"/>
              </w:rPr>
              <w:t>然后按室外声源预测方法计算预测点处的 A 声级。</w:t>
            </w:r>
          </w:p>
          <w:p w14:paraId="718BA501">
            <w:pPr>
              <w:adjustRightInd w:val="0"/>
              <w:snapToGrid w:val="0"/>
              <w:spacing w:line="360" w:lineRule="auto"/>
              <w:ind w:firstLine="480" w:firstLineChars="200"/>
              <w:rPr>
                <w:sz w:val="24"/>
              </w:rPr>
            </w:pPr>
            <w:r>
              <w:rPr>
                <w:sz w:val="24"/>
              </w:rPr>
              <w:t>⑥工业企业噪声计算</w:t>
            </w:r>
          </w:p>
          <w:p w14:paraId="3FE67FC2">
            <w:pPr>
              <w:adjustRightInd w:val="0"/>
              <w:snapToGrid w:val="0"/>
              <w:spacing w:line="360" w:lineRule="auto"/>
              <w:ind w:firstLine="480" w:firstLineChars="200"/>
              <w:rPr>
                <w:kern w:val="0"/>
                <w:sz w:val="24"/>
              </w:rPr>
            </w:pPr>
            <w:r>
              <w:rPr>
                <w:kern w:val="0"/>
                <w:sz w:val="24"/>
              </w:rPr>
              <w:t>设第i个室外声源在预测点产生的A声级为L</w:t>
            </w:r>
            <w:r>
              <w:rPr>
                <w:kern w:val="0"/>
                <w:sz w:val="24"/>
                <w:vertAlign w:val="subscript"/>
              </w:rPr>
              <w:t>Ai</w:t>
            </w:r>
            <w:r>
              <w:rPr>
                <w:kern w:val="0"/>
                <w:sz w:val="24"/>
              </w:rPr>
              <w:t>，在T时间内该声源工作时间为t</w:t>
            </w:r>
            <w:r>
              <w:rPr>
                <w:kern w:val="0"/>
                <w:sz w:val="24"/>
                <w:vertAlign w:val="subscript"/>
              </w:rPr>
              <w:t>i</w:t>
            </w:r>
            <w:r>
              <w:rPr>
                <w:kern w:val="0"/>
                <w:sz w:val="24"/>
              </w:rPr>
              <w:t>；第j个等效室外声源在预测点产生的A声级为L</w:t>
            </w:r>
            <w:r>
              <w:rPr>
                <w:kern w:val="0"/>
                <w:sz w:val="24"/>
                <w:vertAlign w:val="subscript"/>
              </w:rPr>
              <w:t xml:space="preserve">Aj </w:t>
            </w:r>
            <w:r>
              <w:rPr>
                <w:kern w:val="0"/>
                <w:sz w:val="24"/>
              </w:rPr>
              <w:t>，在T时间内该声源工作时间为t</w:t>
            </w:r>
            <w:r>
              <w:rPr>
                <w:kern w:val="0"/>
                <w:sz w:val="24"/>
                <w:vertAlign w:val="subscript"/>
              </w:rPr>
              <w:t>j</w:t>
            </w:r>
            <w:r>
              <w:rPr>
                <w:kern w:val="0"/>
                <w:sz w:val="24"/>
              </w:rPr>
              <w:t>，则拟建工程声源对预测点产生的贡献值（L</w:t>
            </w:r>
            <w:r>
              <w:rPr>
                <w:kern w:val="0"/>
                <w:sz w:val="24"/>
                <w:vertAlign w:val="subscript"/>
              </w:rPr>
              <w:t>eqg</w:t>
            </w:r>
            <w:r>
              <w:rPr>
                <w:kern w:val="0"/>
                <w:sz w:val="24"/>
              </w:rPr>
              <w:t>）为：</w:t>
            </w:r>
          </w:p>
          <w:p w14:paraId="6DC1C3C0">
            <w:pPr>
              <w:adjustRightInd w:val="0"/>
              <w:snapToGrid w:val="0"/>
              <w:spacing w:line="360" w:lineRule="auto"/>
              <w:jc w:val="right"/>
              <w:rPr>
                <w:kern w:val="0"/>
                <w:sz w:val="24"/>
              </w:rPr>
            </w:pPr>
            <w:r>
              <w:drawing>
                <wp:inline distT="0" distB="0" distL="114300" distR="114300">
                  <wp:extent cx="4066540" cy="510540"/>
                  <wp:effectExtent l="0" t="0" r="10160" b="381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9"/>
                          <a:stretch>
                            <a:fillRect/>
                          </a:stretch>
                        </pic:blipFill>
                        <pic:spPr>
                          <a:xfrm>
                            <a:off x="0" y="0"/>
                            <a:ext cx="4066540" cy="510540"/>
                          </a:xfrm>
                          <a:prstGeom prst="rect">
                            <a:avLst/>
                          </a:prstGeom>
                          <a:noFill/>
                          <a:ln>
                            <a:noFill/>
                          </a:ln>
                        </pic:spPr>
                      </pic:pic>
                    </a:graphicData>
                  </a:graphic>
                </wp:inline>
              </w:drawing>
            </w:r>
          </w:p>
          <w:p w14:paraId="6E85BA37">
            <w:pPr>
              <w:adjustRightInd w:val="0"/>
              <w:snapToGrid w:val="0"/>
              <w:spacing w:line="360" w:lineRule="auto"/>
              <w:rPr>
                <w:kern w:val="0"/>
                <w:sz w:val="24"/>
                <w:vertAlign w:val="subscript"/>
              </w:rPr>
            </w:pPr>
            <w:r>
              <w:rPr>
                <w:kern w:val="0"/>
                <w:sz w:val="24"/>
              </w:rPr>
              <w:t>式中：L</w:t>
            </w:r>
            <w:r>
              <w:rPr>
                <w:kern w:val="0"/>
                <w:sz w:val="24"/>
                <w:vertAlign w:val="subscript"/>
              </w:rPr>
              <w:t>eqg</w:t>
            </w:r>
            <w:r>
              <w:rPr>
                <w:kern w:val="0"/>
                <w:sz w:val="24"/>
              </w:rPr>
              <w:t>——建设项目声源在预测点产生的噪声贡献值，dB；</w:t>
            </w:r>
          </w:p>
          <w:p w14:paraId="4371DB43">
            <w:pPr>
              <w:adjustRightInd w:val="0"/>
              <w:snapToGrid w:val="0"/>
              <w:spacing w:line="360" w:lineRule="auto"/>
              <w:ind w:firstLine="720" w:firstLineChars="300"/>
              <w:rPr>
                <w:kern w:val="0"/>
                <w:sz w:val="24"/>
              </w:rPr>
            </w:pPr>
            <w:r>
              <w:rPr>
                <w:kern w:val="0"/>
                <w:sz w:val="24"/>
              </w:rPr>
              <w:t>T——用于计算等效声级的时间，s；</w:t>
            </w:r>
          </w:p>
          <w:p w14:paraId="69B5190A">
            <w:pPr>
              <w:adjustRightInd w:val="0"/>
              <w:snapToGrid w:val="0"/>
              <w:spacing w:line="360" w:lineRule="auto"/>
              <w:ind w:firstLine="720" w:firstLineChars="300"/>
              <w:rPr>
                <w:kern w:val="0"/>
                <w:sz w:val="24"/>
              </w:rPr>
            </w:pPr>
            <w:r>
              <w:rPr>
                <w:kern w:val="0"/>
                <w:sz w:val="24"/>
              </w:rPr>
              <w:t>N——室外声源个数；</w:t>
            </w:r>
          </w:p>
          <w:p w14:paraId="28A28A9A">
            <w:pPr>
              <w:adjustRightInd w:val="0"/>
              <w:snapToGrid w:val="0"/>
              <w:spacing w:line="360" w:lineRule="auto"/>
              <w:ind w:firstLine="720" w:firstLineChars="300"/>
              <w:rPr>
                <w:kern w:val="0"/>
                <w:sz w:val="24"/>
              </w:rPr>
            </w:pPr>
            <w:r>
              <w:rPr>
                <w:kern w:val="0"/>
                <w:sz w:val="24"/>
              </w:rPr>
              <w:t xml:space="preserve">t </w:t>
            </w:r>
            <w:r>
              <w:rPr>
                <w:kern w:val="0"/>
                <w:sz w:val="24"/>
                <w:vertAlign w:val="subscript"/>
              </w:rPr>
              <w:t>i</w:t>
            </w:r>
            <w:r>
              <w:rPr>
                <w:kern w:val="0"/>
                <w:sz w:val="24"/>
              </w:rPr>
              <w:t>——在T时间内i声源工作时间，s；</w:t>
            </w:r>
          </w:p>
          <w:p w14:paraId="6198DC05">
            <w:pPr>
              <w:adjustRightInd w:val="0"/>
              <w:snapToGrid w:val="0"/>
              <w:spacing w:line="360" w:lineRule="auto"/>
              <w:ind w:firstLine="720" w:firstLineChars="300"/>
              <w:rPr>
                <w:kern w:val="0"/>
                <w:sz w:val="24"/>
              </w:rPr>
            </w:pPr>
            <w:r>
              <w:rPr>
                <w:kern w:val="0"/>
                <w:sz w:val="24"/>
              </w:rPr>
              <w:t>M——等效室外声源个数；</w:t>
            </w:r>
          </w:p>
          <w:p w14:paraId="52244001">
            <w:pPr>
              <w:adjustRightInd w:val="0"/>
              <w:snapToGrid w:val="0"/>
              <w:spacing w:line="360" w:lineRule="auto"/>
              <w:ind w:firstLine="720" w:firstLineChars="300"/>
              <w:rPr>
                <w:kern w:val="0"/>
                <w:sz w:val="24"/>
              </w:rPr>
            </w:pPr>
            <w:r>
              <w:rPr>
                <w:kern w:val="0"/>
                <w:sz w:val="24"/>
              </w:rPr>
              <w:t>t</w:t>
            </w:r>
            <w:r>
              <w:rPr>
                <w:kern w:val="0"/>
                <w:sz w:val="24"/>
                <w:vertAlign w:val="subscript"/>
              </w:rPr>
              <w:t>j</w:t>
            </w:r>
            <w:r>
              <w:rPr>
                <w:kern w:val="0"/>
                <w:sz w:val="24"/>
              </w:rPr>
              <w:t>——在T时间内j声源工作时间，s。</w:t>
            </w:r>
          </w:p>
          <w:p w14:paraId="534D45DB">
            <w:pPr>
              <w:tabs>
                <w:tab w:val="left" w:pos="1219"/>
              </w:tabs>
              <w:autoSpaceDE w:val="0"/>
              <w:autoSpaceDN w:val="0"/>
              <w:adjustRightInd w:val="0"/>
              <w:snapToGrid w:val="0"/>
              <w:spacing w:line="360" w:lineRule="auto"/>
              <w:ind w:right="193" w:firstLine="436" w:firstLineChars="182"/>
              <w:rPr>
                <w:sz w:val="24"/>
              </w:rPr>
            </w:pPr>
            <w:r>
              <w:rPr>
                <w:sz w:val="24"/>
              </w:rPr>
              <w:t>⑦预测结果</w:t>
            </w:r>
          </w:p>
          <w:p w14:paraId="326B18C1">
            <w:pPr>
              <w:adjustRightInd w:val="0"/>
              <w:snapToGrid w:val="0"/>
              <w:spacing w:line="360" w:lineRule="auto"/>
              <w:ind w:firstLine="480" w:firstLineChars="200"/>
              <w:rPr>
                <w:sz w:val="24"/>
              </w:rPr>
            </w:pPr>
            <w:r>
              <w:rPr>
                <w:rFonts w:hint="eastAsia"/>
                <w:sz w:val="24"/>
              </w:rPr>
              <w:t>厂界噪声预测结果为</w:t>
            </w:r>
            <w:r>
              <w:rPr>
                <w:rFonts w:hint="eastAsia"/>
                <w:sz w:val="24"/>
                <w:lang w:val="en-US" w:eastAsia="zh-CN"/>
              </w:rPr>
              <w:t>安徽省红跃环保科技有限公司宿州分公司</w:t>
            </w:r>
            <w:r>
              <w:rPr>
                <w:rFonts w:hint="eastAsia"/>
                <w:sz w:val="24"/>
              </w:rPr>
              <w:t>验收监测报告《</w:t>
            </w:r>
            <w:r>
              <w:rPr>
                <w:rFonts w:hint="eastAsia"/>
                <w:sz w:val="24"/>
                <w:lang w:val="en-US" w:eastAsia="zh-CN"/>
              </w:rPr>
              <w:t>道路建养材料生产项目</w:t>
            </w:r>
            <w:r>
              <w:rPr>
                <w:rFonts w:hint="eastAsia"/>
                <w:sz w:val="24"/>
              </w:rPr>
              <w:t>》（报告编号：</w:t>
            </w:r>
            <w:r>
              <w:rPr>
                <w:rFonts w:hint="eastAsia"/>
                <w:sz w:val="24"/>
                <w:lang w:val="en-US" w:eastAsia="zh-CN"/>
              </w:rPr>
              <w:t>JJYS2024081</w:t>
            </w:r>
            <w:r>
              <w:rPr>
                <w:rFonts w:hint="eastAsia"/>
                <w:sz w:val="24"/>
              </w:rPr>
              <w:t>，签发日期：202</w:t>
            </w:r>
            <w:r>
              <w:rPr>
                <w:rFonts w:hint="eastAsia"/>
                <w:sz w:val="24"/>
                <w:lang w:val="en-US" w:eastAsia="zh-CN"/>
              </w:rPr>
              <w:t>4</w:t>
            </w:r>
            <w:r>
              <w:rPr>
                <w:rFonts w:hint="eastAsia"/>
                <w:sz w:val="24"/>
              </w:rPr>
              <w:t>年</w:t>
            </w:r>
            <w:r>
              <w:rPr>
                <w:rFonts w:hint="eastAsia"/>
                <w:sz w:val="24"/>
                <w:lang w:val="en-US" w:eastAsia="zh-CN"/>
              </w:rPr>
              <w:t>12</w:t>
            </w:r>
            <w:r>
              <w:rPr>
                <w:rFonts w:hint="eastAsia"/>
                <w:sz w:val="24"/>
              </w:rPr>
              <w:t>月</w:t>
            </w:r>
            <w:r>
              <w:rPr>
                <w:rFonts w:hint="eastAsia"/>
                <w:sz w:val="24"/>
                <w:lang w:val="en-US" w:eastAsia="zh-CN"/>
              </w:rPr>
              <w:t>11</w:t>
            </w:r>
            <w:r>
              <w:rPr>
                <w:rFonts w:hint="eastAsia"/>
                <w:sz w:val="24"/>
              </w:rPr>
              <w:t>日）中噪声监测结果叠加本项目厂界噪声预测结果值。</w:t>
            </w:r>
          </w:p>
          <w:p w14:paraId="4232AD15">
            <w:pPr>
              <w:adjustRightInd w:val="0"/>
              <w:snapToGrid w:val="0"/>
              <w:spacing w:line="360" w:lineRule="auto"/>
              <w:ind w:firstLine="480" w:firstLineChars="200"/>
              <w:rPr>
                <w:sz w:val="24"/>
                <w:highlight w:val="none"/>
              </w:rPr>
            </w:pPr>
            <w:r>
              <w:rPr>
                <w:rFonts w:hint="eastAsia"/>
                <w:sz w:val="24"/>
              </w:rPr>
              <w:t>根据</w:t>
            </w:r>
            <w:r>
              <w:rPr>
                <w:rFonts w:hint="eastAsia"/>
                <w:sz w:val="24"/>
                <w:highlight w:val="none"/>
              </w:rPr>
              <w:t>噪声源衰减计算程序，预测结果详见下表。</w:t>
            </w:r>
          </w:p>
          <w:p w14:paraId="0AA6CD56">
            <w:pPr>
              <w:adjustRightInd w:val="0"/>
              <w:snapToGrid w:val="0"/>
              <w:spacing w:line="360" w:lineRule="auto"/>
              <w:jc w:val="center"/>
              <w:rPr>
                <w:b/>
                <w:bCs/>
                <w:kern w:val="0"/>
                <w:sz w:val="24"/>
                <w:highlight w:val="none"/>
              </w:rPr>
            </w:pPr>
            <w:r>
              <w:rPr>
                <w:rFonts w:hint="eastAsia"/>
                <w:b/>
                <w:bCs/>
                <w:kern w:val="0"/>
                <w:sz w:val="24"/>
                <w:highlight w:val="none"/>
              </w:rPr>
              <w:t>表4</w:t>
            </w:r>
            <w:r>
              <w:rPr>
                <w:rFonts w:hint="eastAsia"/>
                <w:b/>
                <w:bCs/>
                <w:kern w:val="0"/>
                <w:sz w:val="24"/>
                <w:highlight w:val="none"/>
                <w:lang w:val="en-US" w:eastAsia="zh-CN"/>
              </w:rPr>
              <w:t>-7</w:t>
            </w:r>
            <w:r>
              <w:rPr>
                <w:rFonts w:hint="eastAsia"/>
                <w:b/>
                <w:bCs/>
                <w:kern w:val="0"/>
                <w:sz w:val="24"/>
                <w:highlight w:val="none"/>
              </w:rPr>
              <w:t xml:space="preserve">  厂界噪声预测结果一览表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822"/>
              <w:gridCol w:w="822"/>
              <w:gridCol w:w="820"/>
              <w:gridCol w:w="822"/>
              <w:gridCol w:w="820"/>
              <w:gridCol w:w="822"/>
              <w:gridCol w:w="820"/>
              <w:gridCol w:w="824"/>
              <w:gridCol w:w="820"/>
            </w:tblGrid>
            <w:tr w14:paraId="5F52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restart"/>
                  <w:vAlign w:val="center"/>
                </w:tcPr>
                <w:p w14:paraId="5C0FB0EC">
                  <w:pPr>
                    <w:adjustRightInd w:val="0"/>
                    <w:snapToGrid w:val="0"/>
                    <w:jc w:val="center"/>
                    <w:rPr>
                      <w:kern w:val="0"/>
                      <w:szCs w:val="21"/>
                      <w:highlight w:val="none"/>
                    </w:rPr>
                  </w:pPr>
                  <w:r>
                    <w:rPr>
                      <w:kern w:val="0"/>
                      <w:szCs w:val="21"/>
                      <w:highlight w:val="none"/>
                    </w:rPr>
                    <w:t>厂界</w:t>
                  </w:r>
                </w:p>
              </w:tc>
              <w:tc>
                <w:tcPr>
                  <w:tcW w:w="1000" w:type="pct"/>
                  <w:gridSpan w:val="2"/>
                  <w:vAlign w:val="center"/>
                </w:tcPr>
                <w:p w14:paraId="66594560">
                  <w:pPr>
                    <w:adjustRightInd w:val="0"/>
                    <w:snapToGrid w:val="0"/>
                    <w:jc w:val="center"/>
                    <w:rPr>
                      <w:kern w:val="0"/>
                      <w:szCs w:val="21"/>
                      <w:highlight w:val="none"/>
                    </w:rPr>
                  </w:pPr>
                  <w:r>
                    <w:rPr>
                      <w:rFonts w:hint="eastAsia"/>
                      <w:highlight w:val="none"/>
                    </w:rPr>
                    <w:t>背景值</w:t>
                  </w:r>
                </w:p>
              </w:tc>
              <w:tc>
                <w:tcPr>
                  <w:tcW w:w="999" w:type="pct"/>
                  <w:gridSpan w:val="2"/>
                  <w:vAlign w:val="center"/>
                </w:tcPr>
                <w:p w14:paraId="38205761">
                  <w:pPr>
                    <w:adjustRightInd w:val="0"/>
                    <w:snapToGrid w:val="0"/>
                    <w:jc w:val="center"/>
                    <w:rPr>
                      <w:highlight w:val="none"/>
                    </w:rPr>
                  </w:pPr>
                  <w:r>
                    <w:rPr>
                      <w:rFonts w:hint="eastAsia"/>
                      <w:highlight w:val="none"/>
                    </w:rPr>
                    <w:t>贡献值</w:t>
                  </w:r>
                </w:p>
              </w:tc>
              <w:tc>
                <w:tcPr>
                  <w:tcW w:w="999" w:type="pct"/>
                  <w:gridSpan w:val="2"/>
                  <w:vAlign w:val="center"/>
                </w:tcPr>
                <w:p w14:paraId="1C5EBE92">
                  <w:pPr>
                    <w:adjustRightInd w:val="0"/>
                    <w:snapToGrid w:val="0"/>
                    <w:jc w:val="center"/>
                    <w:rPr>
                      <w:highlight w:val="none"/>
                    </w:rPr>
                  </w:pPr>
                  <w:r>
                    <w:rPr>
                      <w:rFonts w:hint="eastAsia"/>
                      <w:highlight w:val="none"/>
                    </w:rPr>
                    <w:t>预测值</w:t>
                  </w:r>
                </w:p>
              </w:tc>
              <w:tc>
                <w:tcPr>
                  <w:tcW w:w="1000" w:type="pct"/>
                  <w:gridSpan w:val="2"/>
                  <w:vAlign w:val="center"/>
                </w:tcPr>
                <w:p w14:paraId="745B84CD">
                  <w:pPr>
                    <w:adjustRightInd w:val="0"/>
                    <w:snapToGrid w:val="0"/>
                    <w:jc w:val="center"/>
                    <w:rPr>
                      <w:kern w:val="0"/>
                      <w:szCs w:val="21"/>
                      <w:highlight w:val="none"/>
                    </w:rPr>
                  </w:pPr>
                  <w:r>
                    <w:rPr>
                      <w:kern w:val="0"/>
                      <w:szCs w:val="21"/>
                      <w:highlight w:val="none"/>
                    </w:rPr>
                    <w:t>评价标准</w:t>
                  </w:r>
                </w:p>
              </w:tc>
              <w:tc>
                <w:tcPr>
                  <w:tcW w:w="499" w:type="pct"/>
                  <w:vMerge w:val="restart"/>
                  <w:vAlign w:val="center"/>
                </w:tcPr>
                <w:p w14:paraId="7E6B37B1">
                  <w:pPr>
                    <w:adjustRightInd w:val="0"/>
                    <w:snapToGrid w:val="0"/>
                    <w:jc w:val="center"/>
                    <w:rPr>
                      <w:kern w:val="0"/>
                      <w:szCs w:val="21"/>
                      <w:highlight w:val="none"/>
                    </w:rPr>
                  </w:pPr>
                  <w:r>
                    <w:rPr>
                      <w:kern w:val="0"/>
                      <w:szCs w:val="21"/>
                      <w:highlight w:val="none"/>
                    </w:rPr>
                    <w:t>达标情况</w:t>
                  </w:r>
                </w:p>
              </w:tc>
            </w:tr>
            <w:tr w14:paraId="0577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vAlign w:val="center"/>
                </w:tcPr>
                <w:p w14:paraId="02A98F1B">
                  <w:pPr>
                    <w:adjustRightInd w:val="0"/>
                    <w:snapToGrid w:val="0"/>
                    <w:jc w:val="center"/>
                    <w:rPr>
                      <w:kern w:val="0"/>
                      <w:szCs w:val="21"/>
                      <w:highlight w:val="none"/>
                    </w:rPr>
                  </w:pPr>
                </w:p>
              </w:tc>
              <w:tc>
                <w:tcPr>
                  <w:tcW w:w="500" w:type="pct"/>
                  <w:vAlign w:val="center"/>
                </w:tcPr>
                <w:p w14:paraId="6D0D160B">
                  <w:pPr>
                    <w:adjustRightInd w:val="0"/>
                    <w:snapToGrid w:val="0"/>
                    <w:jc w:val="center"/>
                    <w:rPr>
                      <w:kern w:val="0"/>
                      <w:szCs w:val="21"/>
                      <w:highlight w:val="none"/>
                    </w:rPr>
                  </w:pPr>
                  <w:r>
                    <w:rPr>
                      <w:kern w:val="0"/>
                      <w:szCs w:val="21"/>
                      <w:highlight w:val="none"/>
                    </w:rPr>
                    <w:t>昼间</w:t>
                  </w:r>
                </w:p>
              </w:tc>
              <w:tc>
                <w:tcPr>
                  <w:tcW w:w="500" w:type="pct"/>
                  <w:vAlign w:val="center"/>
                </w:tcPr>
                <w:p w14:paraId="497E7FDC">
                  <w:pPr>
                    <w:adjustRightInd w:val="0"/>
                    <w:snapToGrid w:val="0"/>
                    <w:jc w:val="center"/>
                    <w:rPr>
                      <w:kern w:val="0"/>
                      <w:szCs w:val="21"/>
                      <w:highlight w:val="none"/>
                    </w:rPr>
                  </w:pPr>
                  <w:r>
                    <w:rPr>
                      <w:kern w:val="0"/>
                      <w:szCs w:val="21"/>
                      <w:highlight w:val="none"/>
                    </w:rPr>
                    <w:t>夜间</w:t>
                  </w:r>
                </w:p>
              </w:tc>
              <w:tc>
                <w:tcPr>
                  <w:tcW w:w="499" w:type="pct"/>
                  <w:vAlign w:val="center"/>
                </w:tcPr>
                <w:p w14:paraId="2A39A069">
                  <w:pPr>
                    <w:adjustRightInd w:val="0"/>
                    <w:snapToGrid w:val="0"/>
                    <w:jc w:val="center"/>
                    <w:rPr>
                      <w:kern w:val="0"/>
                      <w:szCs w:val="21"/>
                      <w:highlight w:val="none"/>
                    </w:rPr>
                  </w:pPr>
                  <w:r>
                    <w:rPr>
                      <w:kern w:val="0"/>
                      <w:szCs w:val="21"/>
                      <w:highlight w:val="none"/>
                    </w:rPr>
                    <w:t>昼间</w:t>
                  </w:r>
                </w:p>
              </w:tc>
              <w:tc>
                <w:tcPr>
                  <w:tcW w:w="500" w:type="pct"/>
                  <w:vAlign w:val="center"/>
                </w:tcPr>
                <w:p w14:paraId="5720969B">
                  <w:pPr>
                    <w:adjustRightInd w:val="0"/>
                    <w:snapToGrid w:val="0"/>
                    <w:jc w:val="center"/>
                    <w:rPr>
                      <w:kern w:val="0"/>
                      <w:szCs w:val="21"/>
                      <w:highlight w:val="none"/>
                    </w:rPr>
                  </w:pPr>
                  <w:r>
                    <w:rPr>
                      <w:kern w:val="0"/>
                      <w:szCs w:val="21"/>
                      <w:highlight w:val="none"/>
                    </w:rPr>
                    <w:t>夜间</w:t>
                  </w:r>
                </w:p>
              </w:tc>
              <w:tc>
                <w:tcPr>
                  <w:tcW w:w="499" w:type="pct"/>
                  <w:vAlign w:val="center"/>
                </w:tcPr>
                <w:p w14:paraId="6E3ED673">
                  <w:pPr>
                    <w:adjustRightInd w:val="0"/>
                    <w:snapToGrid w:val="0"/>
                    <w:jc w:val="center"/>
                    <w:rPr>
                      <w:kern w:val="0"/>
                      <w:szCs w:val="21"/>
                      <w:highlight w:val="none"/>
                    </w:rPr>
                  </w:pPr>
                  <w:r>
                    <w:rPr>
                      <w:kern w:val="0"/>
                      <w:szCs w:val="21"/>
                      <w:highlight w:val="none"/>
                    </w:rPr>
                    <w:t>昼间</w:t>
                  </w:r>
                </w:p>
              </w:tc>
              <w:tc>
                <w:tcPr>
                  <w:tcW w:w="500" w:type="pct"/>
                  <w:vAlign w:val="center"/>
                </w:tcPr>
                <w:p w14:paraId="6B89C2B3">
                  <w:pPr>
                    <w:adjustRightInd w:val="0"/>
                    <w:snapToGrid w:val="0"/>
                    <w:jc w:val="center"/>
                    <w:rPr>
                      <w:kern w:val="0"/>
                      <w:szCs w:val="21"/>
                      <w:highlight w:val="none"/>
                    </w:rPr>
                  </w:pPr>
                  <w:r>
                    <w:rPr>
                      <w:kern w:val="0"/>
                      <w:szCs w:val="21"/>
                      <w:highlight w:val="none"/>
                    </w:rPr>
                    <w:t>夜间</w:t>
                  </w:r>
                </w:p>
              </w:tc>
              <w:tc>
                <w:tcPr>
                  <w:tcW w:w="499" w:type="pct"/>
                  <w:vAlign w:val="center"/>
                </w:tcPr>
                <w:p w14:paraId="1D2BBA69">
                  <w:pPr>
                    <w:adjustRightInd w:val="0"/>
                    <w:snapToGrid w:val="0"/>
                    <w:jc w:val="center"/>
                    <w:rPr>
                      <w:kern w:val="0"/>
                      <w:szCs w:val="21"/>
                      <w:highlight w:val="none"/>
                    </w:rPr>
                  </w:pPr>
                  <w:r>
                    <w:rPr>
                      <w:kern w:val="0"/>
                      <w:szCs w:val="21"/>
                      <w:highlight w:val="none"/>
                    </w:rPr>
                    <w:t>昼间</w:t>
                  </w:r>
                </w:p>
              </w:tc>
              <w:tc>
                <w:tcPr>
                  <w:tcW w:w="501" w:type="pct"/>
                  <w:vAlign w:val="center"/>
                </w:tcPr>
                <w:p w14:paraId="28588D09">
                  <w:pPr>
                    <w:adjustRightInd w:val="0"/>
                    <w:snapToGrid w:val="0"/>
                    <w:jc w:val="center"/>
                    <w:rPr>
                      <w:kern w:val="0"/>
                      <w:szCs w:val="21"/>
                      <w:highlight w:val="none"/>
                    </w:rPr>
                  </w:pPr>
                  <w:r>
                    <w:rPr>
                      <w:kern w:val="0"/>
                      <w:szCs w:val="21"/>
                      <w:highlight w:val="none"/>
                    </w:rPr>
                    <w:t>夜间</w:t>
                  </w:r>
                </w:p>
              </w:tc>
              <w:tc>
                <w:tcPr>
                  <w:tcW w:w="499" w:type="pct"/>
                  <w:vMerge w:val="continue"/>
                  <w:vAlign w:val="center"/>
                </w:tcPr>
                <w:p w14:paraId="6B4D8888">
                  <w:pPr>
                    <w:adjustRightInd w:val="0"/>
                    <w:snapToGrid w:val="0"/>
                    <w:jc w:val="center"/>
                    <w:rPr>
                      <w:kern w:val="0"/>
                      <w:szCs w:val="21"/>
                      <w:highlight w:val="none"/>
                    </w:rPr>
                  </w:pPr>
                </w:p>
              </w:tc>
            </w:tr>
            <w:tr w14:paraId="547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Align w:val="center"/>
                </w:tcPr>
                <w:p w14:paraId="51748679">
                  <w:pPr>
                    <w:adjustRightInd w:val="0"/>
                    <w:snapToGrid w:val="0"/>
                    <w:jc w:val="center"/>
                    <w:rPr>
                      <w:kern w:val="0"/>
                      <w:szCs w:val="21"/>
                      <w:highlight w:val="none"/>
                    </w:rPr>
                  </w:pPr>
                  <w:r>
                    <w:rPr>
                      <w:kern w:val="0"/>
                      <w:szCs w:val="21"/>
                      <w:highlight w:val="none"/>
                    </w:rPr>
                    <w:t>厂界东侧</w:t>
                  </w:r>
                </w:p>
              </w:tc>
              <w:tc>
                <w:tcPr>
                  <w:tcW w:w="500" w:type="pct"/>
                  <w:vAlign w:val="center"/>
                </w:tcPr>
                <w:p w14:paraId="75ACE3B3">
                  <w:pPr>
                    <w:adjustRightInd w:val="0"/>
                    <w:snapToGrid w:val="0"/>
                    <w:spacing w:before="72" w:beforeLines="30"/>
                    <w:jc w:val="center"/>
                    <w:rPr>
                      <w:rFonts w:hint="default" w:eastAsia="宋体"/>
                      <w:kern w:val="0"/>
                      <w:szCs w:val="21"/>
                      <w:highlight w:val="none"/>
                      <w:lang w:val="en-US" w:eastAsia="zh-CN"/>
                    </w:rPr>
                  </w:pPr>
                  <w:r>
                    <w:rPr>
                      <w:rFonts w:hint="eastAsia"/>
                      <w:kern w:val="0"/>
                      <w:szCs w:val="21"/>
                      <w:highlight w:val="none"/>
                      <w:lang w:val="en-US" w:eastAsia="zh-CN"/>
                    </w:rPr>
                    <w:t>54</w:t>
                  </w:r>
                </w:p>
              </w:tc>
              <w:tc>
                <w:tcPr>
                  <w:tcW w:w="500" w:type="pct"/>
                  <w:vAlign w:val="center"/>
                </w:tcPr>
                <w:p w14:paraId="077B9925">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4EC1727C">
                  <w:pPr>
                    <w:adjustRightInd w:val="0"/>
                    <w:snapToGrid w:val="0"/>
                    <w:spacing w:before="72" w:beforeLines="30"/>
                    <w:jc w:val="center"/>
                    <w:rPr>
                      <w:rFonts w:hint="default" w:eastAsia="宋体"/>
                      <w:kern w:val="0"/>
                      <w:szCs w:val="21"/>
                      <w:highlight w:val="none"/>
                      <w:lang w:val="en-US" w:eastAsia="zh-CN"/>
                    </w:rPr>
                  </w:pPr>
                  <w:r>
                    <w:rPr>
                      <w:rFonts w:hint="eastAsia"/>
                      <w:kern w:val="0"/>
                      <w:szCs w:val="21"/>
                      <w:highlight w:val="none"/>
                      <w:lang w:val="en-US" w:eastAsia="zh-CN"/>
                    </w:rPr>
                    <w:t>49</w:t>
                  </w:r>
                </w:p>
              </w:tc>
              <w:tc>
                <w:tcPr>
                  <w:tcW w:w="500" w:type="pct"/>
                  <w:vAlign w:val="center"/>
                </w:tcPr>
                <w:p w14:paraId="413081C4">
                  <w:pPr>
                    <w:adjustRightInd w:val="0"/>
                    <w:snapToGrid w:val="0"/>
                    <w:spacing w:before="72" w:beforeLines="30"/>
                    <w:jc w:val="center"/>
                    <w:rPr>
                      <w:rFonts w:hint="eastAsia" w:eastAsia="宋体"/>
                      <w:color w:val="FF0000"/>
                      <w:kern w:val="0"/>
                      <w:szCs w:val="21"/>
                      <w:highlight w:val="none"/>
                      <w:lang w:eastAsia="zh-CN"/>
                    </w:rPr>
                  </w:pPr>
                  <w:r>
                    <w:rPr>
                      <w:rFonts w:hint="eastAsia"/>
                      <w:kern w:val="0"/>
                      <w:szCs w:val="21"/>
                      <w:highlight w:val="none"/>
                      <w:lang w:val="en-US" w:eastAsia="zh-CN"/>
                    </w:rPr>
                    <w:t>/</w:t>
                  </w:r>
                </w:p>
              </w:tc>
              <w:tc>
                <w:tcPr>
                  <w:tcW w:w="499" w:type="pct"/>
                  <w:vAlign w:val="center"/>
                </w:tcPr>
                <w:p w14:paraId="62901F0C">
                  <w:pPr>
                    <w:adjustRightInd w:val="0"/>
                    <w:snapToGrid w:val="0"/>
                    <w:spacing w:before="72" w:beforeLines="30"/>
                    <w:jc w:val="center"/>
                    <w:rPr>
                      <w:rFonts w:hint="default" w:eastAsia="宋体"/>
                      <w:kern w:val="0"/>
                      <w:szCs w:val="21"/>
                      <w:highlight w:val="none"/>
                      <w:lang w:val="en-US" w:eastAsia="zh-CN"/>
                    </w:rPr>
                  </w:pPr>
                  <w:r>
                    <w:rPr>
                      <w:rFonts w:hint="eastAsia"/>
                      <w:kern w:val="0"/>
                      <w:szCs w:val="21"/>
                      <w:highlight w:val="none"/>
                      <w:lang w:val="en-US" w:eastAsia="zh-CN"/>
                    </w:rPr>
                    <w:t>55.19</w:t>
                  </w:r>
                </w:p>
              </w:tc>
              <w:tc>
                <w:tcPr>
                  <w:tcW w:w="500" w:type="pct"/>
                  <w:vAlign w:val="center"/>
                </w:tcPr>
                <w:p w14:paraId="4521D725">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556476E8">
                  <w:pPr>
                    <w:adjustRightInd w:val="0"/>
                    <w:snapToGrid w:val="0"/>
                    <w:spacing w:before="72" w:beforeLines="30"/>
                    <w:jc w:val="center"/>
                    <w:rPr>
                      <w:rFonts w:hint="default" w:eastAsia="宋体"/>
                      <w:kern w:val="0"/>
                      <w:szCs w:val="21"/>
                      <w:highlight w:val="none"/>
                      <w:lang w:val="en-US" w:eastAsia="zh-CN"/>
                    </w:rPr>
                  </w:pPr>
                  <w:r>
                    <w:rPr>
                      <w:rFonts w:hint="eastAsia" w:eastAsia="黑体"/>
                      <w:kern w:val="0"/>
                      <w:szCs w:val="21"/>
                      <w:highlight w:val="none"/>
                      <w:lang w:val="en-US" w:eastAsia="zh-CN"/>
                    </w:rPr>
                    <w:t>60</w:t>
                  </w:r>
                </w:p>
              </w:tc>
              <w:tc>
                <w:tcPr>
                  <w:tcW w:w="501" w:type="pct"/>
                  <w:vAlign w:val="center"/>
                </w:tcPr>
                <w:p w14:paraId="00D4FB37">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669ECE1B">
                  <w:pPr>
                    <w:adjustRightInd w:val="0"/>
                    <w:snapToGrid w:val="0"/>
                    <w:jc w:val="center"/>
                    <w:rPr>
                      <w:kern w:val="0"/>
                      <w:szCs w:val="21"/>
                      <w:highlight w:val="none"/>
                    </w:rPr>
                  </w:pPr>
                  <w:r>
                    <w:rPr>
                      <w:kern w:val="0"/>
                      <w:szCs w:val="21"/>
                      <w:highlight w:val="none"/>
                    </w:rPr>
                    <w:t>达标</w:t>
                  </w:r>
                </w:p>
              </w:tc>
            </w:tr>
            <w:tr w14:paraId="52B0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Align w:val="center"/>
                </w:tcPr>
                <w:p w14:paraId="2D2556F1">
                  <w:pPr>
                    <w:adjustRightInd w:val="0"/>
                    <w:snapToGrid w:val="0"/>
                    <w:jc w:val="center"/>
                    <w:rPr>
                      <w:kern w:val="0"/>
                      <w:szCs w:val="21"/>
                      <w:highlight w:val="none"/>
                    </w:rPr>
                  </w:pPr>
                  <w:r>
                    <w:rPr>
                      <w:kern w:val="0"/>
                      <w:szCs w:val="21"/>
                      <w:highlight w:val="none"/>
                    </w:rPr>
                    <w:t>厂界南侧</w:t>
                  </w:r>
                </w:p>
              </w:tc>
              <w:tc>
                <w:tcPr>
                  <w:tcW w:w="500" w:type="pct"/>
                  <w:vAlign w:val="center"/>
                </w:tcPr>
                <w:p w14:paraId="276687B2">
                  <w:pPr>
                    <w:adjustRightInd w:val="0"/>
                    <w:snapToGrid w:val="0"/>
                    <w:jc w:val="center"/>
                    <w:rPr>
                      <w:rFonts w:hint="default" w:eastAsia="宋体"/>
                      <w:kern w:val="0"/>
                      <w:szCs w:val="21"/>
                      <w:highlight w:val="none"/>
                      <w:lang w:val="en-US" w:eastAsia="zh-CN"/>
                    </w:rPr>
                  </w:pPr>
                  <w:r>
                    <w:rPr>
                      <w:rFonts w:hint="eastAsia"/>
                      <w:kern w:val="0"/>
                      <w:szCs w:val="21"/>
                      <w:highlight w:val="none"/>
                      <w:lang w:val="en-US" w:eastAsia="zh-CN"/>
                    </w:rPr>
                    <w:t>58</w:t>
                  </w:r>
                </w:p>
              </w:tc>
              <w:tc>
                <w:tcPr>
                  <w:tcW w:w="500" w:type="pct"/>
                  <w:vAlign w:val="center"/>
                </w:tcPr>
                <w:p w14:paraId="171310BE">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004D0A82">
                  <w:pPr>
                    <w:adjustRightInd w:val="0"/>
                    <w:snapToGrid w:val="0"/>
                    <w:spacing w:before="72" w:beforeLines="30"/>
                    <w:jc w:val="center"/>
                    <w:rPr>
                      <w:rFonts w:hint="default" w:eastAsia="宋体"/>
                      <w:kern w:val="0"/>
                      <w:szCs w:val="21"/>
                      <w:highlight w:val="none"/>
                      <w:lang w:val="en-US" w:eastAsia="zh-CN"/>
                    </w:rPr>
                  </w:pPr>
                  <w:r>
                    <w:rPr>
                      <w:rFonts w:hint="eastAsia"/>
                      <w:kern w:val="0"/>
                      <w:szCs w:val="21"/>
                      <w:highlight w:val="none"/>
                      <w:lang w:val="en-US" w:eastAsia="zh-CN"/>
                    </w:rPr>
                    <w:t>47</w:t>
                  </w:r>
                </w:p>
              </w:tc>
              <w:tc>
                <w:tcPr>
                  <w:tcW w:w="500" w:type="pct"/>
                  <w:vAlign w:val="center"/>
                </w:tcPr>
                <w:p w14:paraId="39910EEE">
                  <w:pPr>
                    <w:adjustRightInd w:val="0"/>
                    <w:snapToGrid w:val="0"/>
                    <w:spacing w:before="72" w:beforeLines="30"/>
                    <w:jc w:val="center"/>
                    <w:rPr>
                      <w:rFonts w:hint="eastAsia" w:eastAsia="宋体"/>
                      <w:color w:val="FF0000"/>
                      <w:kern w:val="0"/>
                      <w:szCs w:val="21"/>
                      <w:highlight w:val="none"/>
                      <w:lang w:eastAsia="zh-CN"/>
                    </w:rPr>
                  </w:pPr>
                  <w:r>
                    <w:rPr>
                      <w:rFonts w:hint="eastAsia"/>
                      <w:kern w:val="0"/>
                      <w:szCs w:val="21"/>
                      <w:highlight w:val="none"/>
                      <w:lang w:val="en-US" w:eastAsia="zh-CN"/>
                    </w:rPr>
                    <w:t>/</w:t>
                  </w:r>
                </w:p>
              </w:tc>
              <w:tc>
                <w:tcPr>
                  <w:tcW w:w="499" w:type="pct"/>
                  <w:vAlign w:val="center"/>
                </w:tcPr>
                <w:p w14:paraId="0EA1526C">
                  <w:pPr>
                    <w:adjustRightInd w:val="0"/>
                    <w:snapToGrid w:val="0"/>
                    <w:jc w:val="center"/>
                    <w:rPr>
                      <w:rFonts w:hint="default" w:eastAsia="宋体"/>
                      <w:kern w:val="0"/>
                      <w:szCs w:val="21"/>
                      <w:highlight w:val="none"/>
                      <w:lang w:val="en-US" w:eastAsia="zh-CN"/>
                    </w:rPr>
                  </w:pPr>
                  <w:r>
                    <w:rPr>
                      <w:rFonts w:hint="eastAsia"/>
                      <w:kern w:val="0"/>
                      <w:szCs w:val="21"/>
                      <w:highlight w:val="none"/>
                      <w:lang w:val="en-US" w:eastAsia="zh-CN"/>
                    </w:rPr>
                    <w:t>58.33</w:t>
                  </w:r>
                </w:p>
              </w:tc>
              <w:tc>
                <w:tcPr>
                  <w:tcW w:w="500" w:type="pct"/>
                  <w:vAlign w:val="center"/>
                </w:tcPr>
                <w:p w14:paraId="3A7C85F1">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79745356">
                  <w:pPr>
                    <w:adjustRightInd w:val="0"/>
                    <w:snapToGrid w:val="0"/>
                    <w:spacing w:before="72" w:beforeLines="30"/>
                    <w:jc w:val="center"/>
                    <w:rPr>
                      <w:kern w:val="0"/>
                      <w:szCs w:val="21"/>
                      <w:highlight w:val="none"/>
                    </w:rPr>
                  </w:pPr>
                  <w:r>
                    <w:rPr>
                      <w:rFonts w:hint="eastAsia" w:eastAsia="黑体"/>
                      <w:kern w:val="0"/>
                      <w:szCs w:val="21"/>
                      <w:highlight w:val="none"/>
                      <w:lang w:val="en-US" w:eastAsia="zh-CN"/>
                    </w:rPr>
                    <w:t>60</w:t>
                  </w:r>
                </w:p>
              </w:tc>
              <w:tc>
                <w:tcPr>
                  <w:tcW w:w="501" w:type="pct"/>
                  <w:vAlign w:val="center"/>
                </w:tcPr>
                <w:p w14:paraId="6D337E77">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2BAE3E9C">
                  <w:pPr>
                    <w:adjustRightInd w:val="0"/>
                    <w:snapToGrid w:val="0"/>
                    <w:jc w:val="center"/>
                    <w:rPr>
                      <w:kern w:val="0"/>
                      <w:szCs w:val="21"/>
                      <w:highlight w:val="none"/>
                    </w:rPr>
                  </w:pPr>
                  <w:r>
                    <w:rPr>
                      <w:kern w:val="0"/>
                      <w:szCs w:val="21"/>
                      <w:highlight w:val="none"/>
                    </w:rPr>
                    <w:t>达标</w:t>
                  </w:r>
                </w:p>
              </w:tc>
            </w:tr>
            <w:tr w14:paraId="2716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Align w:val="center"/>
                </w:tcPr>
                <w:p w14:paraId="504A4282">
                  <w:pPr>
                    <w:adjustRightInd w:val="0"/>
                    <w:snapToGrid w:val="0"/>
                    <w:jc w:val="center"/>
                    <w:rPr>
                      <w:kern w:val="0"/>
                      <w:szCs w:val="21"/>
                      <w:highlight w:val="none"/>
                    </w:rPr>
                  </w:pPr>
                  <w:r>
                    <w:rPr>
                      <w:kern w:val="0"/>
                      <w:szCs w:val="21"/>
                      <w:highlight w:val="none"/>
                    </w:rPr>
                    <w:t>厂界西侧</w:t>
                  </w:r>
                </w:p>
              </w:tc>
              <w:tc>
                <w:tcPr>
                  <w:tcW w:w="500" w:type="pct"/>
                  <w:vAlign w:val="center"/>
                </w:tcPr>
                <w:p w14:paraId="00AD0518">
                  <w:pPr>
                    <w:adjustRightInd w:val="0"/>
                    <w:snapToGrid w:val="0"/>
                    <w:jc w:val="center"/>
                    <w:rPr>
                      <w:rFonts w:hint="default" w:eastAsia="宋体"/>
                      <w:kern w:val="0"/>
                      <w:szCs w:val="21"/>
                      <w:highlight w:val="none"/>
                      <w:lang w:val="en-US" w:eastAsia="zh-CN"/>
                    </w:rPr>
                  </w:pPr>
                  <w:r>
                    <w:rPr>
                      <w:rFonts w:hint="eastAsia"/>
                      <w:kern w:val="0"/>
                      <w:szCs w:val="21"/>
                      <w:highlight w:val="none"/>
                      <w:lang w:val="en-US" w:eastAsia="zh-CN"/>
                    </w:rPr>
                    <w:t>55</w:t>
                  </w:r>
                </w:p>
              </w:tc>
              <w:tc>
                <w:tcPr>
                  <w:tcW w:w="500" w:type="pct"/>
                  <w:vAlign w:val="center"/>
                </w:tcPr>
                <w:p w14:paraId="36261E36">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111323CA">
                  <w:pPr>
                    <w:adjustRightInd w:val="0"/>
                    <w:snapToGrid w:val="0"/>
                    <w:spacing w:before="72" w:beforeLines="30"/>
                    <w:jc w:val="center"/>
                    <w:rPr>
                      <w:rFonts w:hint="default" w:eastAsia="宋体"/>
                      <w:kern w:val="0"/>
                      <w:szCs w:val="21"/>
                      <w:highlight w:val="none"/>
                      <w:lang w:val="en-US" w:eastAsia="zh-CN"/>
                    </w:rPr>
                  </w:pPr>
                  <w:r>
                    <w:rPr>
                      <w:rFonts w:hint="eastAsia"/>
                      <w:kern w:val="0"/>
                      <w:szCs w:val="21"/>
                      <w:highlight w:val="none"/>
                      <w:lang w:val="en-US" w:eastAsia="zh-CN"/>
                    </w:rPr>
                    <w:t>52</w:t>
                  </w:r>
                </w:p>
              </w:tc>
              <w:tc>
                <w:tcPr>
                  <w:tcW w:w="500" w:type="pct"/>
                  <w:vAlign w:val="center"/>
                </w:tcPr>
                <w:p w14:paraId="0B949692">
                  <w:pPr>
                    <w:adjustRightInd w:val="0"/>
                    <w:snapToGrid w:val="0"/>
                    <w:spacing w:before="72" w:beforeLines="30"/>
                    <w:jc w:val="center"/>
                    <w:rPr>
                      <w:rFonts w:hint="eastAsia" w:eastAsia="宋体"/>
                      <w:color w:val="FF0000"/>
                      <w:kern w:val="0"/>
                      <w:szCs w:val="21"/>
                      <w:highlight w:val="none"/>
                      <w:lang w:eastAsia="zh-CN"/>
                    </w:rPr>
                  </w:pPr>
                  <w:r>
                    <w:rPr>
                      <w:rFonts w:hint="eastAsia"/>
                      <w:kern w:val="0"/>
                      <w:szCs w:val="21"/>
                      <w:highlight w:val="none"/>
                      <w:lang w:val="en-US" w:eastAsia="zh-CN"/>
                    </w:rPr>
                    <w:t>/</w:t>
                  </w:r>
                </w:p>
              </w:tc>
              <w:tc>
                <w:tcPr>
                  <w:tcW w:w="499" w:type="pct"/>
                  <w:vAlign w:val="center"/>
                </w:tcPr>
                <w:p w14:paraId="0F850216">
                  <w:pPr>
                    <w:adjustRightInd w:val="0"/>
                    <w:snapToGrid w:val="0"/>
                    <w:jc w:val="center"/>
                    <w:rPr>
                      <w:rFonts w:hint="default" w:eastAsia="宋体"/>
                      <w:kern w:val="0"/>
                      <w:szCs w:val="21"/>
                      <w:highlight w:val="none"/>
                      <w:lang w:val="en-US" w:eastAsia="zh-CN"/>
                    </w:rPr>
                  </w:pPr>
                  <w:r>
                    <w:rPr>
                      <w:rFonts w:hint="eastAsia"/>
                      <w:kern w:val="0"/>
                      <w:szCs w:val="21"/>
                      <w:highlight w:val="none"/>
                      <w:lang w:val="en-US" w:eastAsia="zh-CN"/>
                    </w:rPr>
                    <w:t>56.76</w:t>
                  </w:r>
                </w:p>
              </w:tc>
              <w:tc>
                <w:tcPr>
                  <w:tcW w:w="500" w:type="pct"/>
                  <w:vAlign w:val="center"/>
                </w:tcPr>
                <w:p w14:paraId="508D0E04">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1125C0E1">
                  <w:pPr>
                    <w:adjustRightInd w:val="0"/>
                    <w:snapToGrid w:val="0"/>
                    <w:spacing w:before="72" w:beforeLines="30"/>
                    <w:jc w:val="center"/>
                    <w:rPr>
                      <w:kern w:val="0"/>
                      <w:szCs w:val="21"/>
                      <w:highlight w:val="none"/>
                    </w:rPr>
                  </w:pPr>
                  <w:r>
                    <w:rPr>
                      <w:rFonts w:hint="eastAsia" w:eastAsia="黑体"/>
                      <w:kern w:val="0"/>
                      <w:szCs w:val="21"/>
                      <w:highlight w:val="none"/>
                      <w:lang w:val="en-US" w:eastAsia="zh-CN"/>
                    </w:rPr>
                    <w:t>60</w:t>
                  </w:r>
                </w:p>
              </w:tc>
              <w:tc>
                <w:tcPr>
                  <w:tcW w:w="501" w:type="pct"/>
                  <w:vAlign w:val="center"/>
                </w:tcPr>
                <w:p w14:paraId="3C4F027F">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53E3ADE4">
                  <w:pPr>
                    <w:adjustRightInd w:val="0"/>
                    <w:snapToGrid w:val="0"/>
                    <w:jc w:val="center"/>
                    <w:rPr>
                      <w:kern w:val="0"/>
                      <w:szCs w:val="21"/>
                      <w:highlight w:val="none"/>
                    </w:rPr>
                  </w:pPr>
                  <w:r>
                    <w:rPr>
                      <w:kern w:val="0"/>
                      <w:szCs w:val="21"/>
                      <w:highlight w:val="none"/>
                    </w:rPr>
                    <w:t>达标</w:t>
                  </w:r>
                </w:p>
              </w:tc>
            </w:tr>
            <w:tr w14:paraId="2CCA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Align w:val="center"/>
                </w:tcPr>
                <w:p w14:paraId="58F3AE2C">
                  <w:pPr>
                    <w:adjustRightInd w:val="0"/>
                    <w:snapToGrid w:val="0"/>
                    <w:jc w:val="center"/>
                    <w:rPr>
                      <w:kern w:val="0"/>
                      <w:szCs w:val="21"/>
                      <w:highlight w:val="none"/>
                    </w:rPr>
                  </w:pPr>
                  <w:r>
                    <w:rPr>
                      <w:kern w:val="0"/>
                      <w:szCs w:val="21"/>
                      <w:highlight w:val="none"/>
                    </w:rPr>
                    <w:t>厂界北侧</w:t>
                  </w:r>
                </w:p>
              </w:tc>
              <w:tc>
                <w:tcPr>
                  <w:tcW w:w="500" w:type="pct"/>
                  <w:vAlign w:val="center"/>
                </w:tcPr>
                <w:p w14:paraId="395B26FD">
                  <w:pPr>
                    <w:widowControl/>
                    <w:jc w:val="center"/>
                    <w:textAlignment w:val="center"/>
                    <w:rPr>
                      <w:rFonts w:hint="default" w:eastAsia="宋体"/>
                      <w:szCs w:val="21"/>
                      <w:highlight w:val="none"/>
                      <w:lang w:val="en-US" w:eastAsia="zh-CN"/>
                    </w:rPr>
                  </w:pPr>
                  <w:r>
                    <w:rPr>
                      <w:rFonts w:hint="eastAsia"/>
                      <w:szCs w:val="21"/>
                      <w:highlight w:val="none"/>
                      <w:lang w:val="en-US" w:eastAsia="zh-CN"/>
                    </w:rPr>
                    <w:t>59</w:t>
                  </w:r>
                </w:p>
              </w:tc>
              <w:tc>
                <w:tcPr>
                  <w:tcW w:w="500" w:type="pct"/>
                  <w:vAlign w:val="center"/>
                </w:tcPr>
                <w:p w14:paraId="7FE64547">
                  <w:pPr>
                    <w:widowControl/>
                    <w:jc w:val="center"/>
                    <w:textAlignment w:val="center"/>
                    <w:rPr>
                      <w:rFonts w:hint="eastAsia" w:eastAsia="宋体"/>
                      <w:szCs w:val="21"/>
                      <w:highlight w:val="none"/>
                      <w:lang w:eastAsia="zh-CN"/>
                    </w:rPr>
                  </w:pPr>
                  <w:r>
                    <w:rPr>
                      <w:rFonts w:hint="eastAsia"/>
                      <w:szCs w:val="21"/>
                      <w:highlight w:val="none"/>
                      <w:lang w:val="en-US" w:eastAsia="zh-CN"/>
                    </w:rPr>
                    <w:t>/</w:t>
                  </w:r>
                </w:p>
              </w:tc>
              <w:tc>
                <w:tcPr>
                  <w:tcW w:w="499" w:type="pct"/>
                  <w:vAlign w:val="center"/>
                </w:tcPr>
                <w:p w14:paraId="40FF9EA0">
                  <w:pPr>
                    <w:adjustRightInd w:val="0"/>
                    <w:snapToGrid w:val="0"/>
                    <w:spacing w:before="72" w:beforeLines="30"/>
                    <w:jc w:val="center"/>
                    <w:rPr>
                      <w:rFonts w:hint="default" w:eastAsia="宋体"/>
                      <w:kern w:val="0"/>
                      <w:szCs w:val="21"/>
                      <w:highlight w:val="none"/>
                      <w:lang w:val="en-US" w:eastAsia="zh-CN"/>
                    </w:rPr>
                  </w:pPr>
                  <w:r>
                    <w:rPr>
                      <w:rFonts w:hint="eastAsia"/>
                      <w:kern w:val="0"/>
                      <w:szCs w:val="21"/>
                      <w:highlight w:val="none"/>
                      <w:lang w:val="en-US" w:eastAsia="zh-CN"/>
                    </w:rPr>
                    <w:t>52</w:t>
                  </w:r>
                </w:p>
              </w:tc>
              <w:tc>
                <w:tcPr>
                  <w:tcW w:w="500" w:type="pct"/>
                  <w:vAlign w:val="center"/>
                </w:tcPr>
                <w:p w14:paraId="70D5C750">
                  <w:pPr>
                    <w:adjustRightInd w:val="0"/>
                    <w:snapToGrid w:val="0"/>
                    <w:spacing w:before="72" w:beforeLines="30"/>
                    <w:jc w:val="center"/>
                    <w:rPr>
                      <w:rFonts w:hint="eastAsia" w:eastAsia="宋体"/>
                      <w:color w:val="FF0000"/>
                      <w:kern w:val="0"/>
                      <w:szCs w:val="21"/>
                      <w:highlight w:val="none"/>
                      <w:lang w:eastAsia="zh-CN"/>
                    </w:rPr>
                  </w:pPr>
                  <w:r>
                    <w:rPr>
                      <w:rFonts w:hint="eastAsia"/>
                      <w:kern w:val="0"/>
                      <w:szCs w:val="21"/>
                      <w:highlight w:val="none"/>
                      <w:lang w:val="en-US" w:eastAsia="zh-CN"/>
                    </w:rPr>
                    <w:t>/</w:t>
                  </w:r>
                </w:p>
              </w:tc>
              <w:tc>
                <w:tcPr>
                  <w:tcW w:w="499" w:type="pct"/>
                  <w:vAlign w:val="center"/>
                </w:tcPr>
                <w:p w14:paraId="0A2E1D60">
                  <w:pPr>
                    <w:adjustRightInd w:val="0"/>
                    <w:snapToGrid w:val="0"/>
                    <w:jc w:val="center"/>
                    <w:rPr>
                      <w:rFonts w:hint="default" w:eastAsia="宋体"/>
                      <w:kern w:val="0"/>
                      <w:szCs w:val="21"/>
                      <w:highlight w:val="none"/>
                      <w:lang w:val="en-US" w:eastAsia="zh-CN"/>
                    </w:rPr>
                  </w:pPr>
                  <w:r>
                    <w:rPr>
                      <w:rFonts w:hint="eastAsia"/>
                      <w:kern w:val="0"/>
                      <w:szCs w:val="21"/>
                      <w:highlight w:val="none"/>
                      <w:lang w:val="en-US" w:eastAsia="zh-CN"/>
                    </w:rPr>
                    <w:t>59.79</w:t>
                  </w:r>
                </w:p>
              </w:tc>
              <w:tc>
                <w:tcPr>
                  <w:tcW w:w="500" w:type="pct"/>
                  <w:vAlign w:val="center"/>
                </w:tcPr>
                <w:p w14:paraId="76B348F5">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772479F2">
                  <w:pPr>
                    <w:adjustRightInd w:val="0"/>
                    <w:snapToGrid w:val="0"/>
                    <w:spacing w:before="72" w:beforeLines="30"/>
                    <w:jc w:val="center"/>
                    <w:rPr>
                      <w:kern w:val="0"/>
                      <w:szCs w:val="21"/>
                      <w:highlight w:val="none"/>
                    </w:rPr>
                  </w:pPr>
                  <w:r>
                    <w:rPr>
                      <w:rFonts w:hint="eastAsia" w:eastAsia="黑体"/>
                      <w:kern w:val="0"/>
                      <w:szCs w:val="21"/>
                      <w:highlight w:val="none"/>
                      <w:lang w:val="en-US" w:eastAsia="zh-CN"/>
                    </w:rPr>
                    <w:t>60</w:t>
                  </w:r>
                </w:p>
              </w:tc>
              <w:tc>
                <w:tcPr>
                  <w:tcW w:w="501" w:type="pct"/>
                  <w:vAlign w:val="center"/>
                </w:tcPr>
                <w:p w14:paraId="6ACF85FF">
                  <w:pPr>
                    <w:adjustRightInd w:val="0"/>
                    <w:snapToGrid w:val="0"/>
                    <w:spacing w:before="72" w:beforeLines="30"/>
                    <w:jc w:val="center"/>
                    <w:rPr>
                      <w:rFonts w:hint="eastAsia" w:eastAsia="宋体"/>
                      <w:kern w:val="0"/>
                      <w:szCs w:val="21"/>
                      <w:highlight w:val="none"/>
                      <w:lang w:eastAsia="zh-CN"/>
                    </w:rPr>
                  </w:pPr>
                  <w:r>
                    <w:rPr>
                      <w:rFonts w:hint="eastAsia"/>
                      <w:kern w:val="0"/>
                      <w:szCs w:val="21"/>
                      <w:highlight w:val="none"/>
                      <w:lang w:val="en-US" w:eastAsia="zh-CN"/>
                    </w:rPr>
                    <w:t>/</w:t>
                  </w:r>
                </w:p>
              </w:tc>
              <w:tc>
                <w:tcPr>
                  <w:tcW w:w="499" w:type="pct"/>
                  <w:vAlign w:val="center"/>
                </w:tcPr>
                <w:p w14:paraId="420C6B7E">
                  <w:pPr>
                    <w:adjustRightInd w:val="0"/>
                    <w:snapToGrid w:val="0"/>
                    <w:jc w:val="center"/>
                    <w:rPr>
                      <w:kern w:val="0"/>
                      <w:szCs w:val="21"/>
                      <w:highlight w:val="none"/>
                    </w:rPr>
                  </w:pPr>
                  <w:r>
                    <w:rPr>
                      <w:kern w:val="0"/>
                      <w:szCs w:val="21"/>
                      <w:highlight w:val="none"/>
                    </w:rPr>
                    <w:t>达标</w:t>
                  </w:r>
                </w:p>
              </w:tc>
            </w:tr>
          </w:tbl>
          <w:p w14:paraId="214A9920">
            <w:pPr>
              <w:tabs>
                <w:tab w:val="left" w:pos="1380"/>
                <w:tab w:val="left" w:pos="1860"/>
                <w:tab w:val="center" w:pos="4535"/>
                <w:tab w:val="left" w:pos="5985"/>
                <w:tab w:val="left" w:pos="7740"/>
              </w:tabs>
              <w:adjustRightInd w:val="0"/>
              <w:snapToGrid w:val="0"/>
              <w:spacing w:before="120" w:beforeLines="50" w:line="360" w:lineRule="auto"/>
              <w:ind w:firstLine="480" w:firstLineChars="200"/>
              <w:rPr>
                <w:kern w:val="0"/>
                <w:sz w:val="24"/>
              </w:rPr>
            </w:pPr>
            <w:r>
              <w:rPr>
                <w:sz w:val="24"/>
              </w:rPr>
              <w:t>由上表可见，东侧、南侧、西侧</w:t>
            </w:r>
            <w:r>
              <w:rPr>
                <w:rFonts w:hint="eastAsia"/>
                <w:sz w:val="24"/>
              </w:rPr>
              <w:t>、北侧</w:t>
            </w:r>
            <w:r>
              <w:rPr>
                <w:sz w:val="24"/>
              </w:rPr>
              <w:t>厂界噪声排放达到</w:t>
            </w:r>
            <w:r>
              <w:rPr>
                <w:rFonts w:hint="eastAsia"/>
                <w:sz w:val="24"/>
              </w:rPr>
              <w:t>《工业企业厂界环境噪声排放标准》（GB12348-2008）中</w:t>
            </w:r>
            <w:r>
              <w:rPr>
                <w:rFonts w:hint="eastAsia"/>
                <w:sz w:val="24"/>
                <w:lang w:val="en-US" w:eastAsia="zh-CN"/>
              </w:rPr>
              <w:t>2</w:t>
            </w:r>
            <w:r>
              <w:rPr>
                <w:rFonts w:hint="eastAsia"/>
                <w:sz w:val="24"/>
              </w:rPr>
              <w:t>类标准，</w:t>
            </w:r>
            <w:r>
              <w:rPr>
                <w:sz w:val="24"/>
              </w:rPr>
              <w:t>对外环境的影响不大。</w:t>
            </w:r>
            <w:r>
              <w:rPr>
                <w:kern w:val="0"/>
                <w:sz w:val="24"/>
              </w:rPr>
              <w:t>因此，本项目噪声源噪声值经厂房隔声和距离减震降噪措施后，可保证厂界</w:t>
            </w:r>
            <w:r>
              <w:rPr>
                <w:rFonts w:hint="eastAsia"/>
                <w:kern w:val="0"/>
                <w:sz w:val="24"/>
              </w:rPr>
              <w:t>和</w:t>
            </w:r>
            <w:r>
              <w:rPr>
                <w:rFonts w:hint="eastAsia"/>
                <w:sz w:val="24"/>
                <w:lang w:val="zh-CN"/>
              </w:rPr>
              <w:t>敏感点</w:t>
            </w:r>
            <w:r>
              <w:rPr>
                <w:kern w:val="0"/>
                <w:sz w:val="24"/>
              </w:rPr>
              <w:t>噪声达标排放，对区域环境的影响较小。</w:t>
            </w:r>
          </w:p>
          <w:p w14:paraId="5889DF48">
            <w:pPr>
              <w:adjustRightInd w:val="0"/>
              <w:snapToGrid w:val="0"/>
              <w:spacing w:line="360" w:lineRule="auto"/>
              <w:ind w:firstLine="482" w:firstLineChars="200"/>
              <w:rPr>
                <w:b/>
                <w:bCs/>
                <w:kern w:val="0"/>
                <w:sz w:val="24"/>
              </w:rPr>
            </w:pPr>
            <w:r>
              <w:rPr>
                <w:b/>
                <w:bCs/>
                <w:kern w:val="0"/>
                <w:sz w:val="24"/>
              </w:rPr>
              <w:t>监测计划</w:t>
            </w:r>
          </w:p>
          <w:p w14:paraId="55CE5CEA">
            <w:pPr>
              <w:adjustRightInd w:val="0"/>
              <w:snapToGrid w:val="0"/>
              <w:spacing w:line="360" w:lineRule="auto"/>
              <w:ind w:firstLine="480" w:firstLineChars="200"/>
              <w:rPr>
                <w:b/>
                <w:bCs/>
                <w:kern w:val="0"/>
                <w:sz w:val="24"/>
              </w:rPr>
            </w:pPr>
            <w:r>
              <w:rPr>
                <w:kern w:val="0"/>
                <w:sz w:val="24"/>
              </w:rPr>
              <w:t>根据《</w:t>
            </w:r>
            <w:r>
              <w:rPr>
                <w:rFonts w:hint="eastAsia"/>
                <w:kern w:val="0"/>
                <w:sz w:val="24"/>
              </w:rPr>
              <w:t>排污许可证申请与核发技术规范 工业噪声</w:t>
            </w:r>
            <w:r>
              <w:rPr>
                <w:kern w:val="0"/>
                <w:sz w:val="24"/>
              </w:rPr>
              <w:t>》（</w:t>
            </w:r>
            <w:r>
              <w:rPr>
                <w:rFonts w:hint="eastAsia"/>
                <w:kern w:val="0"/>
                <w:sz w:val="24"/>
              </w:rPr>
              <w:t>HJ 1301-2023</w:t>
            </w:r>
            <w:r>
              <w:rPr>
                <w:kern w:val="0"/>
                <w:sz w:val="24"/>
              </w:rPr>
              <w:t>），制定本项目噪声监测计划如下：</w:t>
            </w:r>
          </w:p>
          <w:p w14:paraId="78EC3238">
            <w:pPr>
              <w:adjustRightInd w:val="0"/>
              <w:snapToGrid w:val="0"/>
              <w:spacing w:line="360" w:lineRule="auto"/>
              <w:jc w:val="center"/>
              <w:rPr>
                <w:b/>
                <w:bCs/>
                <w:kern w:val="0"/>
                <w:sz w:val="24"/>
              </w:rPr>
            </w:pPr>
            <w:r>
              <w:rPr>
                <w:b/>
                <w:bCs/>
                <w:kern w:val="0"/>
                <w:sz w:val="24"/>
              </w:rPr>
              <w:t>表4</w:t>
            </w:r>
            <w:r>
              <w:rPr>
                <w:rFonts w:hint="eastAsia"/>
                <w:b/>
                <w:bCs/>
                <w:kern w:val="0"/>
                <w:sz w:val="24"/>
                <w:lang w:val="en-US" w:eastAsia="zh-CN"/>
              </w:rPr>
              <w:t>-8</w:t>
            </w:r>
            <w:r>
              <w:rPr>
                <w:rFonts w:hint="eastAsia"/>
                <w:b/>
                <w:bCs/>
                <w:kern w:val="0"/>
                <w:sz w:val="24"/>
              </w:rPr>
              <w:t xml:space="preserve"> </w:t>
            </w:r>
            <w:r>
              <w:rPr>
                <w:b/>
                <w:bCs/>
                <w:kern w:val="0"/>
                <w:sz w:val="24"/>
              </w:rPr>
              <w:t xml:space="preserve"> 噪声监测一览表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500"/>
              <w:gridCol w:w="2540"/>
              <w:gridCol w:w="2739"/>
            </w:tblGrid>
            <w:tr w14:paraId="5A5E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14:paraId="3955E8EE">
                  <w:pPr>
                    <w:adjustRightInd w:val="0"/>
                    <w:snapToGrid w:val="0"/>
                    <w:jc w:val="center"/>
                    <w:rPr>
                      <w:kern w:val="0"/>
                      <w:szCs w:val="21"/>
                    </w:rPr>
                  </w:pPr>
                  <w:r>
                    <w:rPr>
                      <w:kern w:val="0"/>
                      <w:szCs w:val="21"/>
                    </w:rPr>
                    <w:t>类别</w:t>
                  </w:r>
                </w:p>
              </w:tc>
              <w:tc>
                <w:tcPr>
                  <w:tcW w:w="913" w:type="pct"/>
                  <w:vAlign w:val="center"/>
                </w:tcPr>
                <w:p w14:paraId="4864B628">
                  <w:pPr>
                    <w:adjustRightInd w:val="0"/>
                    <w:snapToGrid w:val="0"/>
                    <w:jc w:val="center"/>
                    <w:rPr>
                      <w:kern w:val="0"/>
                      <w:szCs w:val="21"/>
                    </w:rPr>
                  </w:pPr>
                  <w:r>
                    <w:rPr>
                      <w:kern w:val="0"/>
                      <w:szCs w:val="21"/>
                    </w:rPr>
                    <w:t>监测点位</w:t>
                  </w:r>
                </w:p>
              </w:tc>
              <w:tc>
                <w:tcPr>
                  <w:tcW w:w="1546" w:type="pct"/>
                  <w:vAlign w:val="center"/>
                </w:tcPr>
                <w:p w14:paraId="3F2E812B">
                  <w:pPr>
                    <w:adjustRightInd w:val="0"/>
                    <w:snapToGrid w:val="0"/>
                    <w:jc w:val="center"/>
                    <w:rPr>
                      <w:kern w:val="0"/>
                      <w:szCs w:val="21"/>
                    </w:rPr>
                  </w:pPr>
                  <w:r>
                    <w:rPr>
                      <w:kern w:val="0"/>
                      <w:szCs w:val="21"/>
                    </w:rPr>
                    <w:t>监测项目</w:t>
                  </w:r>
                </w:p>
              </w:tc>
              <w:tc>
                <w:tcPr>
                  <w:tcW w:w="1667" w:type="pct"/>
                  <w:vAlign w:val="center"/>
                </w:tcPr>
                <w:p w14:paraId="62F9BC42">
                  <w:pPr>
                    <w:adjustRightInd w:val="0"/>
                    <w:snapToGrid w:val="0"/>
                    <w:jc w:val="center"/>
                    <w:rPr>
                      <w:kern w:val="0"/>
                      <w:szCs w:val="21"/>
                    </w:rPr>
                  </w:pPr>
                  <w:r>
                    <w:rPr>
                      <w:kern w:val="0"/>
                      <w:szCs w:val="21"/>
                    </w:rPr>
                    <w:t>监测频率</w:t>
                  </w:r>
                </w:p>
              </w:tc>
            </w:tr>
            <w:tr w14:paraId="53C8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pct"/>
                  <w:vAlign w:val="center"/>
                </w:tcPr>
                <w:p w14:paraId="30A0A5EC">
                  <w:pPr>
                    <w:adjustRightInd w:val="0"/>
                    <w:snapToGrid w:val="0"/>
                    <w:jc w:val="center"/>
                    <w:rPr>
                      <w:kern w:val="0"/>
                      <w:szCs w:val="21"/>
                    </w:rPr>
                  </w:pPr>
                  <w:r>
                    <w:rPr>
                      <w:kern w:val="0"/>
                      <w:szCs w:val="21"/>
                    </w:rPr>
                    <w:t>厂界噪声</w:t>
                  </w:r>
                </w:p>
              </w:tc>
              <w:tc>
                <w:tcPr>
                  <w:tcW w:w="913" w:type="pct"/>
                  <w:vAlign w:val="center"/>
                </w:tcPr>
                <w:p w14:paraId="61ABB9A3">
                  <w:pPr>
                    <w:adjustRightInd w:val="0"/>
                    <w:snapToGrid w:val="0"/>
                    <w:jc w:val="center"/>
                    <w:rPr>
                      <w:kern w:val="0"/>
                      <w:szCs w:val="21"/>
                    </w:rPr>
                  </w:pPr>
                  <w:r>
                    <w:rPr>
                      <w:kern w:val="0"/>
                      <w:szCs w:val="21"/>
                    </w:rPr>
                    <w:t>厂界</w:t>
                  </w:r>
                </w:p>
              </w:tc>
              <w:tc>
                <w:tcPr>
                  <w:tcW w:w="1546" w:type="pct"/>
                  <w:vAlign w:val="center"/>
                </w:tcPr>
                <w:p w14:paraId="4F8B1DCB">
                  <w:pPr>
                    <w:adjustRightInd w:val="0"/>
                    <w:snapToGrid w:val="0"/>
                    <w:jc w:val="center"/>
                    <w:rPr>
                      <w:kern w:val="0"/>
                      <w:szCs w:val="21"/>
                    </w:rPr>
                  </w:pPr>
                  <w:r>
                    <w:rPr>
                      <w:kern w:val="0"/>
                      <w:szCs w:val="21"/>
                    </w:rPr>
                    <w:t>等效连续A声级</w:t>
                  </w:r>
                </w:p>
              </w:tc>
              <w:tc>
                <w:tcPr>
                  <w:tcW w:w="1667" w:type="pct"/>
                  <w:vAlign w:val="center"/>
                </w:tcPr>
                <w:p w14:paraId="777328D3">
                  <w:pPr>
                    <w:adjustRightInd w:val="0"/>
                    <w:snapToGrid w:val="0"/>
                    <w:jc w:val="center"/>
                    <w:rPr>
                      <w:kern w:val="0"/>
                      <w:szCs w:val="21"/>
                    </w:rPr>
                  </w:pPr>
                  <w:r>
                    <w:rPr>
                      <w:rFonts w:hint="eastAsia"/>
                      <w:kern w:val="0"/>
                      <w:szCs w:val="21"/>
                    </w:rPr>
                    <w:t>1次/季度</w:t>
                  </w:r>
                </w:p>
              </w:tc>
            </w:tr>
          </w:tbl>
          <w:p w14:paraId="4952504C">
            <w:pPr>
              <w:pStyle w:val="40"/>
              <w:adjustRightInd w:val="0"/>
              <w:snapToGrid w:val="0"/>
              <w:spacing w:before="120" w:beforeLines="50"/>
              <w:ind w:firstLine="0" w:firstLineChars="0"/>
              <w:jc w:val="both"/>
              <w:rPr>
                <w:rFonts w:ascii="Times New Roman" w:hAnsi="Times New Roman"/>
                <w:b/>
                <w:bCs/>
                <w:kern w:val="0"/>
                <w:szCs w:val="24"/>
              </w:rPr>
            </w:pPr>
            <w:r>
              <w:rPr>
                <w:rFonts w:ascii="Times New Roman" w:hAnsi="Times New Roman"/>
                <w:b/>
                <w:bCs/>
                <w:kern w:val="0"/>
                <w:szCs w:val="24"/>
              </w:rPr>
              <w:t>4、固体废物</w:t>
            </w:r>
          </w:p>
          <w:p w14:paraId="235B2E08">
            <w:pPr>
              <w:pStyle w:val="40"/>
              <w:adjustRightInd w:val="0"/>
              <w:snapToGrid w:val="0"/>
              <w:ind w:firstLine="480"/>
              <w:jc w:val="both"/>
              <w:rPr>
                <w:rFonts w:ascii="Times New Roman" w:hAnsi="Times New Roman"/>
                <w:kern w:val="0"/>
                <w:szCs w:val="24"/>
              </w:rPr>
            </w:pPr>
            <w:r>
              <w:rPr>
                <w:rFonts w:ascii="Times New Roman" w:hAnsi="Times New Roman"/>
                <w:kern w:val="0"/>
              </w:rPr>
              <w:t>本项目运营期</w:t>
            </w:r>
            <w:r>
              <w:rPr>
                <w:rFonts w:ascii="Times New Roman" w:hAnsi="Times New Roman"/>
                <w:kern w:val="0"/>
                <w:szCs w:val="24"/>
              </w:rPr>
              <w:t>项目固废主要包括生活垃圾</w:t>
            </w:r>
            <w:r>
              <w:rPr>
                <w:rFonts w:hint="eastAsia" w:ascii="Times New Roman" w:hAnsi="Times New Roman"/>
                <w:kern w:val="0"/>
                <w:szCs w:val="24"/>
              </w:rPr>
              <w:t>，</w:t>
            </w:r>
            <w:r>
              <w:rPr>
                <w:rFonts w:ascii="Times New Roman" w:hAnsi="Times New Roman"/>
                <w:kern w:val="0"/>
                <w:szCs w:val="24"/>
              </w:rPr>
              <w:t>一般工业固体废物及危险废物。</w:t>
            </w:r>
          </w:p>
          <w:p w14:paraId="1E183DA6">
            <w:pPr>
              <w:snapToGrid w:val="0"/>
              <w:spacing w:line="360" w:lineRule="auto"/>
              <w:ind w:firstLine="480"/>
              <w:rPr>
                <w:kern w:val="0"/>
                <w:sz w:val="24"/>
              </w:rPr>
            </w:pPr>
            <w:r>
              <w:rPr>
                <w:kern w:val="0"/>
                <w:sz w:val="24"/>
              </w:rPr>
              <w:t>（1）生活垃圾</w:t>
            </w:r>
          </w:p>
          <w:p w14:paraId="5289FE1C">
            <w:pPr>
              <w:pStyle w:val="40"/>
              <w:adjustRightInd w:val="0"/>
              <w:snapToGrid w:val="0"/>
              <w:ind w:firstLine="480"/>
              <w:jc w:val="both"/>
              <w:rPr>
                <w:rFonts w:ascii="Times New Roman" w:hAnsi="Times New Roman"/>
                <w:kern w:val="0"/>
              </w:rPr>
            </w:pPr>
            <w:r>
              <w:rPr>
                <w:rFonts w:ascii="Times New Roman" w:hAnsi="Times New Roman"/>
                <w:kern w:val="0"/>
              </w:rPr>
              <w:t>本项目劳动定员</w:t>
            </w:r>
            <w:r>
              <w:rPr>
                <w:rFonts w:hint="eastAsia" w:ascii="Times New Roman" w:hAnsi="Times New Roman"/>
                <w:kern w:val="0"/>
                <w:lang w:val="en-US" w:eastAsia="zh-CN"/>
              </w:rPr>
              <w:t>3</w:t>
            </w:r>
            <w:r>
              <w:rPr>
                <w:rFonts w:ascii="Times New Roman" w:hAnsi="Times New Roman"/>
                <w:kern w:val="0"/>
              </w:rPr>
              <w:t>人，按每人每日排放生活垃圾0.5kg计，</w:t>
            </w:r>
            <w:r>
              <w:rPr>
                <w:rFonts w:ascii="Times New Roman" w:hAnsi="Times New Roman"/>
                <w:kern w:val="0"/>
                <w:szCs w:val="24"/>
              </w:rPr>
              <w:t>年工作天数</w:t>
            </w:r>
            <w:r>
              <w:rPr>
                <w:rFonts w:hint="eastAsia" w:ascii="Times New Roman" w:hAnsi="Times New Roman"/>
                <w:kern w:val="0"/>
                <w:szCs w:val="24"/>
                <w:lang w:val="en-US" w:eastAsia="zh-CN"/>
              </w:rPr>
              <w:t>300</w:t>
            </w:r>
            <w:r>
              <w:rPr>
                <w:rFonts w:ascii="Times New Roman" w:hAnsi="Times New Roman"/>
                <w:kern w:val="0"/>
                <w:szCs w:val="24"/>
              </w:rPr>
              <w:t>天</w:t>
            </w:r>
            <w:r>
              <w:rPr>
                <w:rFonts w:ascii="Times New Roman" w:hAnsi="Times New Roman"/>
                <w:kern w:val="0"/>
              </w:rPr>
              <w:t>，则生活垃圾产生量约</w:t>
            </w:r>
            <w:r>
              <w:rPr>
                <w:rFonts w:hint="eastAsia" w:ascii="Times New Roman" w:hAnsi="Times New Roman"/>
                <w:kern w:val="0"/>
                <w:lang w:val="en-US" w:eastAsia="zh-CN"/>
              </w:rPr>
              <w:t>0.45</w:t>
            </w:r>
            <w:r>
              <w:rPr>
                <w:rFonts w:ascii="Times New Roman" w:hAnsi="Times New Roman"/>
                <w:kern w:val="0"/>
              </w:rPr>
              <w:t>t/a，集中收集后交由环卫部门清运处理。</w:t>
            </w:r>
          </w:p>
          <w:p w14:paraId="6EB91DFD">
            <w:pPr>
              <w:pStyle w:val="40"/>
              <w:adjustRightInd w:val="0"/>
              <w:snapToGrid w:val="0"/>
              <w:ind w:firstLine="480"/>
              <w:jc w:val="both"/>
              <w:rPr>
                <w:rFonts w:ascii="Times New Roman" w:hAnsi="Times New Roman"/>
                <w:kern w:val="0"/>
                <w:szCs w:val="24"/>
              </w:rPr>
            </w:pPr>
            <w:r>
              <w:rPr>
                <w:rFonts w:hint="eastAsia" w:ascii="Times New Roman" w:hAnsi="Times New Roman"/>
                <w:kern w:val="0"/>
                <w:szCs w:val="24"/>
              </w:rPr>
              <w:t>（2）一般工业固体废物</w:t>
            </w:r>
          </w:p>
          <w:p w14:paraId="04F2BD66">
            <w:pPr>
              <w:pStyle w:val="40"/>
              <w:adjustRightInd w:val="0"/>
              <w:snapToGrid w:val="0"/>
              <w:ind w:firstLine="480"/>
              <w:jc w:val="both"/>
              <w:rPr>
                <w:rFonts w:hint="eastAsia" w:ascii="Times New Roman" w:hAnsi="Times New Roman" w:eastAsia="宋体"/>
                <w:kern w:val="0"/>
                <w:szCs w:val="24"/>
                <w:lang w:eastAsia="zh-CN"/>
              </w:rPr>
            </w:pPr>
            <w:r>
              <w:rPr>
                <w:rFonts w:ascii="Times New Roman" w:hAnsi="Times New Roman"/>
                <w:kern w:val="0"/>
                <w:szCs w:val="24"/>
              </w:rPr>
              <w:t>①</w:t>
            </w:r>
            <w:r>
              <w:rPr>
                <w:rFonts w:hint="eastAsia" w:ascii="Times New Roman" w:hAnsi="Times New Roman"/>
                <w:kern w:val="0"/>
                <w:szCs w:val="24"/>
              </w:rPr>
              <w:t xml:space="preserve"> </w:t>
            </w:r>
            <w:r>
              <w:rPr>
                <w:rFonts w:hint="eastAsia" w:ascii="Times New Roman" w:hAnsi="Times New Roman"/>
                <w:kern w:val="0"/>
                <w:szCs w:val="24"/>
                <w:lang w:eastAsia="zh-CN"/>
              </w:rPr>
              <w:t>除尘器收集粉尘</w:t>
            </w:r>
          </w:p>
          <w:p w14:paraId="42F25F4E">
            <w:pPr>
              <w:pStyle w:val="40"/>
              <w:adjustRightInd w:val="0"/>
              <w:snapToGrid w:val="0"/>
              <w:ind w:firstLine="480"/>
              <w:jc w:val="both"/>
              <w:rPr>
                <w:rFonts w:hint="eastAsia" w:eastAsia="宋体"/>
                <w:color w:val="auto"/>
                <w:kern w:val="0"/>
                <w:sz w:val="24"/>
                <w:lang w:val="en-US" w:eastAsia="zh-CN"/>
              </w:rPr>
            </w:pPr>
            <w:r>
              <w:rPr>
                <w:rFonts w:hint="eastAsia"/>
                <w:color w:val="auto"/>
                <w:kern w:val="0"/>
                <w:sz w:val="24"/>
              </w:rPr>
              <w:t>除尘器收尘</w:t>
            </w:r>
            <w:r>
              <w:rPr>
                <w:rFonts w:hint="eastAsia" w:ascii="Times New Roman" w:hAnsi="Times New Roman" w:cs="Times New Roman"/>
                <w:color w:val="auto"/>
                <w:sz w:val="24"/>
                <w:lang w:eastAsia="zh-CN"/>
              </w:rPr>
              <w:t>颗粒物</w:t>
            </w:r>
            <w:r>
              <w:rPr>
                <w:rFonts w:hint="eastAsia"/>
                <w:color w:val="auto"/>
                <w:kern w:val="0"/>
                <w:sz w:val="24"/>
              </w:rPr>
              <w:t>：根据工程分析，项目除尘器收集</w:t>
            </w:r>
            <w:r>
              <w:rPr>
                <w:rFonts w:hint="eastAsia"/>
                <w:color w:val="auto"/>
                <w:kern w:val="0"/>
                <w:sz w:val="24"/>
                <w:lang w:eastAsia="zh-CN"/>
              </w:rPr>
              <w:t>颗粒物</w:t>
            </w:r>
            <w:r>
              <w:rPr>
                <w:rFonts w:hint="default" w:ascii="Times New Roman" w:hAnsi="Times New Roman" w:cs="Times New Roman"/>
                <w:color w:val="auto"/>
                <w:kern w:val="0"/>
                <w:sz w:val="24"/>
              </w:rPr>
              <w:t>为</w:t>
            </w:r>
            <w:r>
              <w:rPr>
                <w:rFonts w:hint="eastAsia" w:ascii="Times New Roman" w:hAnsi="Times New Roman" w:cs="Times New Roman"/>
                <w:color w:val="auto"/>
                <w:kern w:val="0"/>
                <w:sz w:val="24"/>
                <w:lang w:val="en-US" w:eastAsia="zh-CN"/>
              </w:rPr>
              <w:t>40.85</w:t>
            </w:r>
            <w:r>
              <w:rPr>
                <w:rFonts w:hint="default" w:ascii="Times New Roman" w:hAnsi="Times New Roman" w:cs="Times New Roman"/>
                <w:color w:val="auto"/>
                <w:kern w:val="0"/>
                <w:sz w:val="24"/>
              </w:rPr>
              <w:t>t</w:t>
            </w:r>
            <w:r>
              <w:rPr>
                <w:rFonts w:hint="eastAsia"/>
                <w:color w:val="auto"/>
                <w:kern w:val="0"/>
                <w:sz w:val="24"/>
              </w:rPr>
              <w:t>/a，收集后</w:t>
            </w:r>
            <w:r>
              <w:rPr>
                <w:rFonts w:hint="eastAsia"/>
                <w:color w:val="auto"/>
                <w:kern w:val="0"/>
                <w:sz w:val="24"/>
                <w:lang w:eastAsia="zh-CN"/>
              </w:rPr>
              <w:t>回用于搅拌工序。</w:t>
            </w:r>
          </w:p>
          <w:p w14:paraId="1A67E917">
            <w:pPr>
              <w:pStyle w:val="40"/>
              <w:adjustRightInd w:val="0"/>
              <w:snapToGrid w:val="0"/>
              <w:ind w:firstLine="480"/>
              <w:jc w:val="both"/>
              <w:rPr>
                <w:rFonts w:ascii="Times New Roman" w:hAnsi="Times New Roman"/>
                <w:kern w:val="0"/>
                <w:szCs w:val="24"/>
              </w:rPr>
            </w:pPr>
            <w:r>
              <w:rPr>
                <w:rFonts w:hint="eastAsia" w:cs="宋体"/>
                <w:kern w:val="0"/>
                <w:szCs w:val="24"/>
              </w:rPr>
              <w:t xml:space="preserve">② </w:t>
            </w:r>
            <w:r>
              <w:rPr>
                <w:rFonts w:hint="eastAsia"/>
                <w:kern w:val="0"/>
                <w:szCs w:val="24"/>
              </w:rPr>
              <w:t>废包装袋</w:t>
            </w:r>
          </w:p>
          <w:p w14:paraId="0FCF1946">
            <w:pPr>
              <w:widowControl/>
              <w:spacing w:line="360" w:lineRule="auto"/>
              <w:ind w:firstLine="480"/>
              <w:jc w:val="left"/>
              <w:rPr>
                <w:kern w:val="0"/>
                <w:sz w:val="24"/>
              </w:rPr>
            </w:pPr>
            <w:r>
              <w:rPr>
                <w:rFonts w:hint="eastAsia"/>
                <w:sz w:val="24"/>
              </w:rPr>
              <w:t>项目在</w:t>
            </w:r>
            <w:r>
              <w:rPr>
                <w:rFonts w:hint="eastAsia"/>
                <w:sz w:val="24"/>
                <w:lang w:eastAsia="zh-CN"/>
              </w:rPr>
              <w:t>污泥</w:t>
            </w:r>
            <w:r>
              <w:rPr>
                <w:rFonts w:hint="eastAsia"/>
                <w:kern w:val="0"/>
                <w:sz w:val="24"/>
              </w:rPr>
              <w:t>等</w:t>
            </w:r>
            <w:r>
              <w:rPr>
                <w:rFonts w:hint="eastAsia"/>
                <w:sz w:val="24"/>
              </w:rPr>
              <w:t>物料使用过程中会产生废包装袋，</w:t>
            </w:r>
            <w:r>
              <w:rPr>
                <w:rFonts w:hint="eastAsia"/>
                <w:kern w:val="0"/>
                <w:sz w:val="24"/>
              </w:rPr>
              <w:t>根据建设单位提供资料，</w:t>
            </w:r>
            <w:r>
              <w:rPr>
                <w:rFonts w:hint="eastAsia"/>
                <w:sz w:val="24"/>
              </w:rPr>
              <w:t>废包装袋的产生量为</w:t>
            </w:r>
            <w:r>
              <w:rPr>
                <w:rFonts w:hint="eastAsia"/>
                <w:sz w:val="24"/>
                <w:lang w:val="en-US" w:eastAsia="zh-CN"/>
              </w:rPr>
              <w:t>0.1</w:t>
            </w:r>
            <w:r>
              <w:rPr>
                <w:rFonts w:hint="eastAsia"/>
                <w:sz w:val="24"/>
              </w:rPr>
              <w:t>t/a，</w:t>
            </w:r>
            <w:r>
              <w:rPr>
                <w:kern w:val="0"/>
                <w:sz w:val="24"/>
              </w:rPr>
              <w:t>集中收集</w:t>
            </w:r>
            <w:r>
              <w:rPr>
                <w:rFonts w:hint="eastAsia"/>
                <w:kern w:val="0"/>
                <w:sz w:val="24"/>
              </w:rPr>
              <w:t>后交由物资回收部门回收利用。</w:t>
            </w:r>
          </w:p>
          <w:p w14:paraId="5F4A7FCD">
            <w:pPr>
              <w:adjustRightInd w:val="0"/>
              <w:snapToGrid w:val="0"/>
              <w:spacing w:line="360" w:lineRule="auto"/>
              <w:ind w:firstLine="480" w:firstLineChars="200"/>
              <w:rPr>
                <w:kern w:val="0"/>
                <w:sz w:val="24"/>
              </w:rPr>
            </w:pPr>
            <w:r>
              <w:rPr>
                <w:rFonts w:hint="eastAsia"/>
                <w:kern w:val="0"/>
                <w:sz w:val="24"/>
              </w:rPr>
              <w:t>（3）危险废物</w:t>
            </w:r>
          </w:p>
          <w:p w14:paraId="14B5BDFF">
            <w:pPr>
              <w:adjustRightInd w:val="0"/>
              <w:snapToGrid w:val="0"/>
              <w:spacing w:line="360" w:lineRule="auto"/>
              <w:ind w:firstLine="480" w:firstLineChars="200"/>
              <w:rPr>
                <w:kern w:val="0"/>
                <w:sz w:val="24"/>
              </w:rPr>
            </w:pPr>
            <w:r>
              <w:rPr>
                <w:rFonts w:hint="eastAsia"/>
                <w:kern w:val="0"/>
                <w:sz w:val="24"/>
              </w:rPr>
              <w:t>项目危险废物主要为废机油。</w:t>
            </w:r>
          </w:p>
          <w:p w14:paraId="51E24F3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废机油</w:t>
            </w:r>
            <w:r>
              <w:rPr>
                <w:rFonts w:hint="eastAsia"/>
                <w:color w:val="000000" w:themeColor="text1"/>
                <w:sz w:val="24"/>
                <w14:textFill>
                  <w14:solidFill>
                    <w14:schemeClr w14:val="tx1"/>
                  </w14:solidFill>
                </w14:textFill>
              </w:rPr>
              <w:t>：项目机械设备</w:t>
            </w:r>
            <w:r>
              <w:rPr>
                <w:rFonts w:hint="eastAsia"/>
                <w:color w:val="000000" w:themeColor="text1"/>
                <w:sz w:val="24"/>
                <w:lang w:eastAsia="zh-CN"/>
                <w14:textFill>
                  <w14:solidFill>
                    <w14:schemeClr w14:val="tx1"/>
                  </w14:solidFill>
                </w14:textFill>
              </w:rPr>
              <w:t>维护</w:t>
            </w:r>
            <w:r>
              <w:rPr>
                <w:rFonts w:hint="eastAsia"/>
                <w:color w:val="000000" w:themeColor="text1"/>
                <w:sz w:val="24"/>
                <w14:textFill>
                  <w14:solidFill>
                    <w14:schemeClr w14:val="tx1"/>
                  </w14:solidFill>
                </w14:textFill>
              </w:rPr>
              <w:t>需要使用一定量的机油</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根据建设单位提供资料，年废机油产生量为0.</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t/a；废机油属于危险废物，废机油（类别HW08废矿物油与含矿物油废物，废物代码</w:t>
            </w:r>
            <w:r>
              <w:rPr>
                <w:rFonts w:hint="eastAsia"/>
                <w:color w:val="auto"/>
                <w:sz w:val="24"/>
                <w:szCs w:val="24"/>
                <w:lang w:val="en-US" w:eastAsia="zh-CN"/>
              </w:rPr>
              <w:t>9</w:t>
            </w:r>
            <w:r>
              <w:rPr>
                <w:color w:val="auto"/>
                <w:sz w:val="24"/>
                <w:szCs w:val="24"/>
              </w:rPr>
              <w:t>00-</w:t>
            </w:r>
            <w:r>
              <w:rPr>
                <w:rFonts w:hint="eastAsia"/>
                <w:color w:val="auto"/>
                <w:sz w:val="24"/>
                <w:szCs w:val="24"/>
                <w:lang w:val="en-US" w:eastAsia="zh-CN"/>
              </w:rPr>
              <w:t>249</w:t>
            </w:r>
            <w:r>
              <w:rPr>
                <w:color w:val="auto"/>
                <w:sz w:val="24"/>
                <w:szCs w:val="24"/>
              </w:rPr>
              <w:t>-0</w:t>
            </w:r>
            <w:r>
              <w:rPr>
                <w:rFonts w:hint="eastAsia"/>
                <w:color w:val="auto"/>
                <w:sz w:val="24"/>
                <w:szCs w:val="24"/>
              </w:rPr>
              <w:t>8</w:t>
            </w:r>
            <w:r>
              <w:rPr>
                <w:rFonts w:hint="eastAsia"/>
                <w:color w:val="000000" w:themeColor="text1"/>
                <w:sz w:val="24"/>
                <w14:textFill>
                  <w14:solidFill>
                    <w14:schemeClr w14:val="tx1"/>
                  </w14:solidFill>
                </w14:textFill>
              </w:rPr>
              <w:t>），委托有危废处理资质单位处置</w:t>
            </w:r>
            <w:r>
              <w:rPr>
                <w:kern w:val="0"/>
                <w:sz w:val="24"/>
              </w:rPr>
              <w:t>。</w:t>
            </w:r>
          </w:p>
          <w:p w14:paraId="557E93A0">
            <w:pPr>
              <w:adjustRightInd w:val="0"/>
              <w:snapToGrid w:val="0"/>
              <w:spacing w:line="360" w:lineRule="auto"/>
              <w:jc w:val="center"/>
              <w:rPr>
                <w:kern w:val="0"/>
                <w:sz w:val="24"/>
              </w:rPr>
            </w:pPr>
            <w:r>
              <w:rPr>
                <w:b/>
                <w:bCs/>
                <w:kern w:val="0"/>
                <w:sz w:val="24"/>
              </w:rPr>
              <w:t>表4</w:t>
            </w:r>
            <w:r>
              <w:rPr>
                <w:rFonts w:hint="eastAsia"/>
                <w:b/>
                <w:bCs/>
                <w:kern w:val="0"/>
                <w:sz w:val="24"/>
                <w:lang w:val="en-US" w:eastAsia="zh-CN"/>
              </w:rPr>
              <w:t>-9</w:t>
            </w:r>
            <w:r>
              <w:rPr>
                <w:b/>
                <w:bCs/>
                <w:kern w:val="0"/>
                <w:sz w:val="24"/>
              </w:rPr>
              <w:t xml:space="preserve"> 项目固体废物产</w:t>
            </w:r>
            <w:r>
              <w:rPr>
                <w:rFonts w:hint="eastAsia"/>
                <w:b/>
                <w:bCs/>
                <w:kern w:val="0"/>
                <w:sz w:val="24"/>
              </w:rPr>
              <w:t>排污</w:t>
            </w:r>
            <w:r>
              <w:rPr>
                <w:b/>
                <w:bCs/>
                <w:kern w:val="0"/>
                <w:sz w:val="24"/>
              </w:rPr>
              <w:t>情况</w:t>
            </w:r>
            <w:r>
              <w:rPr>
                <w:rFonts w:hint="eastAsia"/>
                <w:b/>
                <w:bCs/>
                <w:kern w:val="0"/>
                <w:sz w:val="24"/>
              </w:rPr>
              <w:t>一览</w:t>
            </w:r>
            <w:r>
              <w:rPr>
                <w:b/>
                <w:bCs/>
                <w:kern w:val="0"/>
                <w:sz w:val="24"/>
              </w:rPr>
              <w:t>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681"/>
              <w:gridCol w:w="668"/>
              <w:gridCol w:w="516"/>
              <w:gridCol w:w="862"/>
              <w:gridCol w:w="520"/>
              <w:gridCol w:w="839"/>
              <w:gridCol w:w="888"/>
              <w:gridCol w:w="462"/>
              <w:gridCol w:w="862"/>
              <w:gridCol w:w="888"/>
              <w:gridCol w:w="582"/>
            </w:tblGrid>
            <w:tr w14:paraId="70AB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1DB5ECF6">
                  <w:pPr>
                    <w:adjustRightInd w:val="0"/>
                    <w:snapToGrid w:val="0"/>
                    <w:jc w:val="center"/>
                    <w:rPr>
                      <w:kern w:val="0"/>
                      <w:szCs w:val="21"/>
                    </w:rPr>
                  </w:pPr>
                  <w:r>
                    <w:rPr>
                      <w:kern w:val="0"/>
                      <w:szCs w:val="21"/>
                    </w:rPr>
                    <w:t>序号</w:t>
                  </w:r>
                </w:p>
              </w:tc>
              <w:tc>
                <w:tcPr>
                  <w:tcW w:w="414" w:type="pct"/>
                  <w:vAlign w:val="center"/>
                </w:tcPr>
                <w:p w14:paraId="713F9DF6">
                  <w:pPr>
                    <w:adjustRightInd w:val="0"/>
                    <w:snapToGrid w:val="0"/>
                    <w:jc w:val="center"/>
                    <w:rPr>
                      <w:kern w:val="0"/>
                      <w:szCs w:val="21"/>
                    </w:rPr>
                  </w:pPr>
                  <w:r>
                    <w:rPr>
                      <w:kern w:val="0"/>
                      <w:szCs w:val="21"/>
                    </w:rPr>
                    <w:t>产生环节</w:t>
                  </w:r>
                </w:p>
              </w:tc>
              <w:tc>
                <w:tcPr>
                  <w:tcW w:w="406" w:type="pct"/>
                  <w:vAlign w:val="center"/>
                </w:tcPr>
                <w:p w14:paraId="2CA3A1FA">
                  <w:pPr>
                    <w:adjustRightInd w:val="0"/>
                    <w:snapToGrid w:val="0"/>
                    <w:jc w:val="center"/>
                    <w:rPr>
                      <w:kern w:val="0"/>
                      <w:szCs w:val="21"/>
                    </w:rPr>
                  </w:pPr>
                  <w:r>
                    <w:rPr>
                      <w:kern w:val="0"/>
                      <w:szCs w:val="21"/>
                    </w:rPr>
                    <w:t>固废名称</w:t>
                  </w:r>
                </w:p>
              </w:tc>
              <w:tc>
                <w:tcPr>
                  <w:tcW w:w="314" w:type="pct"/>
                  <w:vAlign w:val="center"/>
                </w:tcPr>
                <w:p w14:paraId="1BEA0AC0">
                  <w:pPr>
                    <w:adjustRightInd w:val="0"/>
                    <w:snapToGrid w:val="0"/>
                    <w:jc w:val="center"/>
                    <w:rPr>
                      <w:kern w:val="0"/>
                      <w:szCs w:val="21"/>
                    </w:rPr>
                  </w:pPr>
                  <w:r>
                    <w:rPr>
                      <w:kern w:val="0"/>
                      <w:szCs w:val="21"/>
                    </w:rPr>
                    <w:t>属性</w:t>
                  </w:r>
                </w:p>
              </w:tc>
              <w:tc>
                <w:tcPr>
                  <w:tcW w:w="524" w:type="pct"/>
                  <w:vAlign w:val="center"/>
                </w:tcPr>
                <w:p w14:paraId="2B5DFF11">
                  <w:pPr>
                    <w:adjustRightInd w:val="0"/>
                    <w:snapToGrid w:val="0"/>
                    <w:jc w:val="center"/>
                    <w:rPr>
                      <w:kern w:val="0"/>
                      <w:szCs w:val="21"/>
                    </w:rPr>
                  </w:pPr>
                  <w:r>
                    <w:rPr>
                      <w:kern w:val="0"/>
                      <w:szCs w:val="21"/>
                    </w:rPr>
                    <w:t>主要有毒有害物质名称</w:t>
                  </w:r>
                </w:p>
              </w:tc>
              <w:tc>
                <w:tcPr>
                  <w:tcW w:w="316" w:type="pct"/>
                  <w:vAlign w:val="center"/>
                </w:tcPr>
                <w:p w14:paraId="10EF50DE">
                  <w:pPr>
                    <w:adjustRightInd w:val="0"/>
                    <w:snapToGrid w:val="0"/>
                    <w:jc w:val="center"/>
                    <w:rPr>
                      <w:kern w:val="0"/>
                      <w:szCs w:val="21"/>
                    </w:rPr>
                  </w:pPr>
                  <w:r>
                    <w:rPr>
                      <w:kern w:val="0"/>
                      <w:szCs w:val="21"/>
                    </w:rPr>
                    <w:t>物理性状</w:t>
                  </w:r>
                </w:p>
              </w:tc>
              <w:tc>
                <w:tcPr>
                  <w:tcW w:w="510" w:type="pct"/>
                  <w:vAlign w:val="center"/>
                </w:tcPr>
                <w:p w14:paraId="4E1E7776">
                  <w:pPr>
                    <w:adjustRightInd w:val="0"/>
                    <w:snapToGrid w:val="0"/>
                    <w:jc w:val="center"/>
                    <w:rPr>
                      <w:kern w:val="0"/>
                      <w:szCs w:val="21"/>
                    </w:rPr>
                  </w:pPr>
                  <w:r>
                    <w:rPr>
                      <w:kern w:val="0"/>
                      <w:szCs w:val="21"/>
                    </w:rPr>
                    <w:t>环境危险特性</w:t>
                  </w:r>
                </w:p>
              </w:tc>
              <w:tc>
                <w:tcPr>
                  <w:tcW w:w="540" w:type="pct"/>
                  <w:vAlign w:val="center"/>
                </w:tcPr>
                <w:p w14:paraId="07A62AEE">
                  <w:pPr>
                    <w:adjustRightInd w:val="0"/>
                    <w:snapToGrid w:val="0"/>
                    <w:jc w:val="center"/>
                    <w:rPr>
                      <w:kern w:val="0"/>
                      <w:szCs w:val="21"/>
                    </w:rPr>
                  </w:pPr>
                  <w:r>
                    <w:rPr>
                      <w:kern w:val="0"/>
                      <w:szCs w:val="21"/>
                    </w:rPr>
                    <w:t>产生量（t/a）</w:t>
                  </w:r>
                </w:p>
              </w:tc>
              <w:tc>
                <w:tcPr>
                  <w:tcW w:w="281" w:type="pct"/>
                  <w:vAlign w:val="center"/>
                </w:tcPr>
                <w:p w14:paraId="26DFC41E">
                  <w:pPr>
                    <w:adjustRightInd w:val="0"/>
                    <w:snapToGrid w:val="0"/>
                    <w:jc w:val="center"/>
                    <w:rPr>
                      <w:kern w:val="0"/>
                      <w:szCs w:val="21"/>
                    </w:rPr>
                  </w:pPr>
                  <w:r>
                    <w:rPr>
                      <w:kern w:val="0"/>
                      <w:szCs w:val="21"/>
                    </w:rPr>
                    <w:t>贮存方式</w:t>
                  </w:r>
                </w:p>
              </w:tc>
              <w:tc>
                <w:tcPr>
                  <w:tcW w:w="524" w:type="pct"/>
                  <w:vAlign w:val="center"/>
                </w:tcPr>
                <w:p w14:paraId="6027F9F4">
                  <w:pPr>
                    <w:adjustRightInd w:val="0"/>
                    <w:snapToGrid w:val="0"/>
                    <w:jc w:val="center"/>
                    <w:rPr>
                      <w:kern w:val="0"/>
                      <w:szCs w:val="21"/>
                    </w:rPr>
                  </w:pPr>
                  <w:r>
                    <w:rPr>
                      <w:kern w:val="0"/>
                      <w:szCs w:val="21"/>
                    </w:rPr>
                    <w:t>利用处置方式和去向</w:t>
                  </w:r>
                </w:p>
              </w:tc>
              <w:tc>
                <w:tcPr>
                  <w:tcW w:w="540" w:type="pct"/>
                  <w:vAlign w:val="center"/>
                </w:tcPr>
                <w:p w14:paraId="21389BBE">
                  <w:pPr>
                    <w:adjustRightInd w:val="0"/>
                    <w:snapToGrid w:val="0"/>
                    <w:jc w:val="center"/>
                    <w:rPr>
                      <w:kern w:val="0"/>
                      <w:szCs w:val="21"/>
                    </w:rPr>
                  </w:pPr>
                  <w:r>
                    <w:rPr>
                      <w:kern w:val="0"/>
                      <w:szCs w:val="21"/>
                    </w:rPr>
                    <w:t>利用量或处置量（t/a）</w:t>
                  </w:r>
                </w:p>
              </w:tc>
              <w:tc>
                <w:tcPr>
                  <w:tcW w:w="354" w:type="pct"/>
                  <w:vAlign w:val="center"/>
                </w:tcPr>
                <w:p w14:paraId="08230291">
                  <w:pPr>
                    <w:adjustRightInd w:val="0"/>
                    <w:snapToGrid w:val="0"/>
                    <w:jc w:val="center"/>
                    <w:rPr>
                      <w:kern w:val="0"/>
                      <w:szCs w:val="21"/>
                    </w:rPr>
                  </w:pPr>
                  <w:r>
                    <w:rPr>
                      <w:kern w:val="0"/>
                      <w:szCs w:val="21"/>
                    </w:rPr>
                    <w:t>环境管理要求</w:t>
                  </w:r>
                </w:p>
              </w:tc>
            </w:tr>
            <w:tr w14:paraId="30F1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2D6E8C7E">
                  <w:pPr>
                    <w:adjustRightInd w:val="0"/>
                    <w:snapToGrid w:val="0"/>
                    <w:jc w:val="center"/>
                    <w:rPr>
                      <w:kern w:val="0"/>
                      <w:szCs w:val="21"/>
                    </w:rPr>
                  </w:pPr>
                  <w:r>
                    <w:rPr>
                      <w:kern w:val="0"/>
                      <w:szCs w:val="21"/>
                    </w:rPr>
                    <w:t>1</w:t>
                  </w:r>
                </w:p>
              </w:tc>
              <w:tc>
                <w:tcPr>
                  <w:tcW w:w="414" w:type="pct"/>
                  <w:vAlign w:val="center"/>
                </w:tcPr>
                <w:p w14:paraId="0B9013B9">
                  <w:pPr>
                    <w:jc w:val="center"/>
                    <w:rPr>
                      <w:kern w:val="0"/>
                      <w:szCs w:val="21"/>
                    </w:rPr>
                  </w:pPr>
                  <w:r>
                    <w:rPr>
                      <w:kern w:val="0"/>
                      <w:szCs w:val="21"/>
                    </w:rPr>
                    <w:t>职工生活</w:t>
                  </w:r>
                </w:p>
              </w:tc>
              <w:tc>
                <w:tcPr>
                  <w:tcW w:w="406" w:type="pct"/>
                  <w:vAlign w:val="center"/>
                </w:tcPr>
                <w:p w14:paraId="5C657DA8">
                  <w:pPr>
                    <w:jc w:val="center"/>
                    <w:rPr>
                      <w:kern w:val="0"/>
                      <w:szCs w:val="21"/>
                    </w:rPr>
                  </w:pPr>
                  <w:r>
                    <w:rPr>
                      <w:kern w:val="0"/>
                      <w:szCs w:val="21"/>
                    </w:rPr>
                    <w:t>生活垃圾</w:t>
                  </w:r>
                </w:p>
              </w:tc>
              <w:tc>
                <w:tcPr>
                  <w:tcW w:w="314" w:type="pct"/>
                  <w:vMerge w:val="restart"/>
                  <w:vAlign w:val="center"/>
                </w:tcPr>
                <w:p w14:paraId="23EF3FDC">
                  <w:pPr>
                    <w:adjustRightInd w:val="0"/>
                    <w:snapToGrid w:val="0"/>
                    <w:jc w:val="center"/>
                    <w:rPr>
                      <w:kern w:val="0"/>
                      <w:szCs w:val="21"/>
                    </w:rPr>
                  </w:pPr>
                  <w:r>
                    <w:rPr>
                      <w:kern w:val="0"/>
                      <w:szCs w:val="21"/>
                    </w:rPr>
                    <w:t>一般</w:t>
                  </w:r>
                </w:p>
                <w:p w14:paraId="00B270BA">
                  <w:pPr>
                    <w:adjustRightInd w:val="0"/>
                    <w:snapToGrid w:val="0"/>
                    <w:jc w:val="center"/>
                    <w:rPr>
                      <w:kern w:val="0"/>
                      <w:szCs w:val="21"/>
                    </w:rPr>
                  </w:pPr>
                  <w:r>
                    <w:rPr>
                      <w:kern w:val="0"/>
                      <w:szCs w:val="21"/>
                    </w:rPr>
                    <w:t>固废</w:t>
                  </w:r>
                </w:p>
              </w:tc>
              <w:tc>
                <w:tcPr>
                  <w:tcW w:w="524" w:type="pct"/>
                  <w:vAlign w:val="center"/>
                </w:tcPr>
                <w:p w14:paraId="2CA308E6">
                  <w:pPr>
                    <w:adjustRightInd w:val="0"/>
                    <w:snapToGrid w:val="0"/>
                    <w:jc w:val="center"/>
                    <w:rPr>
                      <w:kern w:val="0"/>
                      <w:szCs w:val="21"/>
                    </w:rPr>
                  </w:pPr>
                  <w:r>
                    <w:rPr>
                      <w:kern w:val="0"/>
                      <w:szCs w:val="21"/>
                    </w:rPr>
                    <w:t>/</w:t>
                  </w:r>
                </w:p>
              </w:tc>
              <w:tc>
                <w:tcPr>
                  <w:tcW w:w="316" w:type="pct"/>
                  <w:vAlign w:val="center"/>
                </w:tcPr>
                <w:p w14:paraId="590D0D92">
                  <w:pPr>
                    <w:adjustRightInd w:val="0"/>
                    <w:snapToGrid w:val="0"/>
                    <w:jc w:val="center"/>
                    <w:rPr>
                      <w:kern w:val="0"/>
                      <w:szCs w:val="21"/>
                    </w:rPr>
                  </w:pPr>
                  <w:r>
                    <w:rPr>
                      <w:kern w:val="0"/>
                      <w:szCs w:val="21"/>
                    </w:rPr>
                    <w:t>固态</w:t>
                  </w:r>
                </w:p>
              </w:tc>
              <w:tc>
                <w:tcPr>
                  <w:tcW w:w="510" w:type="pct"/>
                  <w:vAlign w:val="center"/>
                </w:tcPr>
                <w:p w14:paraId="37207419">
                  <w:pPr>
                    <w:adjustRightInd w:val="0"/>
                    <w:snapToGrid w:val="0"/>
                    <w:jc w:val="center"/>
                    <w:rPr>
                      <w:kern w:val="0"/>
                      <w:szCs w:val="21"/>
                    </w:rPr>
                  </w:pPr>
                  <w:r>
                    <w:rPr>
                      <w:kern w:val="0"/>
                      <w:szCs w:val="21"/>
                    </w:rPr>
                    <w:t>/</w:t>
                  </w:r>
                </w:p>
              </w:tc>
              <w:tc>
                <w:tcPr>
                  <w:tcW w:w="540" w:type="pct"/>
                  <w:vAlign w:val="center"/>
                </w:tcPr>
                <w:p w14:paraId="53BB1A54">
                  <w:pPr>
                    <w:jc w:val="center"/>
                    <w:rPr>
                      <w:rFonts w:hint="default" w:eastAsia="宋体"/>
                      <w:kern w:val="0"/>
                      <w:szCs w:val="21"/>
                      <w:lang w:val="en-US" w:eastAsia="zh-CN"/>
                    </w:rPr>
                  </w:pPr>
                  <w:r>
                    <w:rPr>
                      <w:rFonts w:hint="eastAsia"/>
                      <w:kern w:val="0"/>
                      <w:lang w:val="en-US" w:eastAsia="zh-CN"/>
                    </w:rPr>
                    <w:t>0.45</w:t>
                  </w:r>
                </w:p>
              </w:tc>
              <w:tc>
                <w:tcPr>
                  <w:tcW w:w="281" w:type="pct"/>
                  <w:vAlign w:val="center"/>
                </w:tcPr>
                <w:p w14:paraId="4C12FC5F">
                  <w:pPr>
                    <w:adjustRightInd w:val="0"/>
                    <w:snapToGrid w:val="0"/>
                    <w:jc w:val="center"/>
                    <w:rPr>
                      <w:kern w:val="0"/>
                      <w:szCs w:val="21"/>
                    </w:rPr>
                  </w:pPr>
                  <w:r>
                    <w:rPr>
                      <w:kern w:val="0"/>
                      <w:szCs w:val="21"/>
                    </w:rPr>
                    <w:t>袋装</w:t>
                  </w:r>
                </w:p>
              </w:tc>
              <w:tc>
                <w:tcPr>
                  <w:tcW w:w="524" w:type="pct"/>
                  <w:vAlign w:val="center"/>
                </w:tcPr>
                <w:p w14:paraId="78209473">
                  <w:pPr>
                    <w:adjustRightInd w:val="0"/>
                    <w:snapToGrid w:val="0"/>
                    <w:jc w:val="center"/>
                    <w:rPr>
                      <w:kern w:val="0"/>
                      <w:szCs w:val="21"/>
                    </w:rPr>
                  </w:pPr>
                  <w:r>
                    <w:rPr>
                      <w:kern w:val="0"/>
                      <w:szCs w:val="21"/>
                    </w:rPr>
                    <w:t>环卫部门</w:t>
                  </w:r>
                </w:p>
              </w:tc>
              <w:tc>
                <w:tcPr>
                  <w:tcW w:w="540" w:type="pct"/>
                  <w:vAlign w:val="center"/>
                </w:tcPr>
                <w:p w14:paraId="7AE99152">
                  <w:pPr>
                    <w:jc w:val="center"/>
                    <w:rPr>
                      <w:rFonts w:hint="default" w:eastAsia="宋体"/>
                      <w:kern w:val="0"/>
                      <w:szCs w:val="21"/>
                      <w:lang w:val="en-US" w:eastAsia="zh-CN"/>
                    </w:rPr>
                  </w:pPr>
                  <w:r>
                    <w:rPr>
                      <w:rFonts w:hint="eastAsia"/>
                      <w:kern w:val="0"/>
                      <w:lang w:val="en-US" w:eastAsia="zh-CN"/>
                    </w:rPr>
                    <w:t>0.45</w:t>
                  </w:r>
                </w:p>
              </w:tc>
              <w:tc>
                <w:tcPr>
                  <w:tcW w:w="354" w:type="pct"/>
                  <w:vAlign w:val="center"/>
                </w:tcPr>
                <w:p w14:paraId="1372F685">
                  <w:pPr>
                    <w:adjustRightInd w:val="0"/>
                    <w:snapToGrid w:val="0"/>
                    <w:jc w:val="center"/>
                    <w:rPr>
                      <w:kern w:val="0"/>
                      <w:szCs w:val="21"/>
                    </w:rPr>
                  </w:pPr>
                  <w:r>
                    <w:rPr>
                      <w:kern w:val="0"/>
                      <w:szCs w:val="21"/>
                    </w:rPr>
                    <w:t>垃圾桶</w:t>
                  </w:r>
                </w:p>
              </w:tc>
            </w:tr>
            <w:tr w14:paraId="1BF4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32D49522">
                  <w:pPr>
                    <w:adjustRightInd w:val="0"/>
                    <w:snapToGrid w:val="0"/>
                    <w:jc w:val="center"/>
                    <w:rPr>
                      <w:rFonts w:hint="eastAsia" w:eastAsia="宋体"/>
                      <w:kern w:val="0"/>
                      <w:szCs w:val="21"/>
                      <w:lang w:val="en-US" w:eastAsia="zh-CN"/>
                    </w:rPr>
                  </w:pPr>
                  <w:r>
                    <w:rPr>
                      <w:rFonts w:hint="eastAsia"/>
                      <w:kern w:val="0"/>
                      <w:szCs w:val="21"/>
                      <w:lang w:val="en-US" w:eastAsia="zh-CN"/>
                    </w:rPr>
                    <w:t>2</w:t>
                  </w:r>
                </w:p>
              </w:tc>
              <w:tc>
                <w:tcPr>
                  <w:tcW w:w="414" w:type="pct"/>
                  <w:shd w:val="clear" w:color="auto" w:fill="auto"/>
                  <w:vAlign w:val="center"/>
                </w:tcPr>
                <w:p w14:paraId="1EB0B3E9">
                  <w:pPr>
                    <w:jc w:val="center"/>
                    <w:rPr>
                      <w:rFonts w:ascii="Times New Roman" w:hAnsi="Times New Roman" w:eastAsia="宋体" w:cs="Times New Roman"/>
                      <w:kern w:val="0"/>
                      <w:sz w:val="21"/>
                      <w:szCs w:val="21"/>
                      <w:lang w:val="en-US" w:eastAsia="zh-CN" w:bidi="ar-SA"/>
                    </w:rPr>
                  </w:pPr>
                  <w:r>
                    <w:rPr>
                      <w:kern w:val="0"/>
                      <w:szCs w:val="21"/>
                    </w:rPr>
                    <w:t>废气处理</w:t>
                  </w:r>
                </w:p>
              </w:tc>
              <w:tc>
                <w:tcPr>
                  <w:tcW w:w="406" w:type="pct"/>
                  <w:shd w:val="clear" w:color="auto" w:fill="auto"/>
                  <w:vAlign w:val="center"/>
                </w:tcPr>
                <w:p w14:paraId="7936EF7F">
                  <w:pPr>
                    <w:jc w:val="center"/>
                    <w:rPr>
                      <w:rFonts w:hint="eastAsia" w:ascii="Times New Roman" w:hAnsi="Times New Roman" w:eastAsia="宋体" w:cs="Times New Roman"/>
                      <w:kern w:val="0"/>
                      <w:sz w:val="21"/>
                      <w:szCs w:val="21"/>
                      <w:lang w:val="en-US" w:eastAsia="zh-CN" w:bidi="ar-SA"/>
                    </w:rPr>
                  </w:pPr>
                  <w:r>
                    <w:rPr>
                      <w:kern w:val="0"/>
                      <w:szCs w:val="21"/>
                    </w:rPr>
                    <w:t>除尘器收集</w:t>
                  </w:r>
                  <w:r>
                    <w:rPr>
                      <w:rFonts w:hint="eastAsia"/>
                      <w:kern w:val="0"/>
                      <w:szCs w:val="21"/>
                      <w:lang w:eastAsia="zh-CN"/>
                    </w:rPr>
                    <w:t>颗粒物</w:t>
                  </w:r>
                </w:p>
              </w:tc>
              <w:tc>
                <w:tcPr>
                  <w:tcW w:w="314" w:type="pct"/>
                  <w:vMerge w:val="continue"/>
                  <w:vAlign w:val="center"/>
                </w:tcPr>
                <w:p w14:paraId="14F4D6C7">
                  <w:pPr>
                    <w:adjustRightInd w:val="0"/>
                    <w:snapToGrid w:val="0"/>
                    <w:jc w:val="center"/>
                    <w:rPr>
                      <w:kern w:val="0"/>
                      <w:szCs w:val="21"/>
                    </w:rPr>
                  </w:pPr>
                </w:p>
              </w:tc>
              <w:tc>
                <w:tcPr>
                  <w:tcW w:w="524" w:type="pct"/>
                  <w:vAlign w:val="center"/>
                </w:tcPr>
                <w:p w14:paraId="0DB71442">
                  <w:pPr>
                    <w:adjustRightInd w:val="0"/>
                    <w:snapToGrid w:val="0"/>
                    <w:jc w:val="center"/>
                    <w:rPr>
                      <w:rFonts w:hint="eastAsia" w:eastAsia="宋体"/>
                      <w:kern w:val="0"/>
                      <w:szCs w:val="21"/>
                      <w:lang w:val="en-US" w:eastAsia="zh-CN"/>
                    </w:rPr>
                  </w:pPr>
                  <w:r>
                    <w:rPr>
                      <w:rFonts w:hint="eastAsia"/>
                      <w:kern w:val="0"/>
                      <w:szCs w:val="21"/>
                      <w:lang w:val="en-US" w:eastAsia="zh-CN"/>
                    </w:rPr>
                    <w:t>/</w:t>
                  </w:r>
                </w:p>
              </w:tc>
              <w:tc>
                <w:tcPr>
                  <w:tcW w:w="316" w:type="pct"/>
                  <w:shd w:val="clear" w:color="auto" w:fill="auto"/>
                  <w:vAlign w:val="center"/>
                </w:tcPr>
                <w:p w14:paraId="7FF4ED92">
                  <w:pPr>
                    <w:adjustRightInd w:val="0"/>
                    <w:snapToGrid w:val="0"/>
                    <w:jc w:val="center"/>
                    <w:rPr>
                      <w:rFonts w:ascii="Times New Roman" w:hAnsi="Times New Roman" w:eastAsia="宋体" w:cs="Times New Roman"/>
                      <w:kern w:val="0"/>
                      <w:sz w:val="21"/>
                      <w:szCs w:val="21"/>
                      <w:lang w:val="en-US" w:eastAsia="zh-CN" w:bidi="ar-SA"/>
                    </w:rPr>
                  </w:pPr>
                  <w:r>
                    <w:rPr>
                      <w:kern w:val="0"/>
                      <w:szCs w:val="21"/>
                    </w:rPr>
                    <w:t>固态</w:t>
                  </w:r>
                </w:p>
              </w:tc>
              <w:tc>
                <w:tcPr>
                  <w:tcW w:w="510" w:type="pct"/>
                  <w:shd w:val="clear" w:color="auto" w:fill="auto"/>
                  <w:vAlign w:val="center"/>
                </w:tcPr>
                <w:p w14:paraId="274A93D0">
                  <w:pPr>
                    <w:adjustRightInd w:val="0"/>
                    <w:snapToGrid w:val="0"/>
                    <w:jc w:val="center"/>
                    <w:rPr>
                      <w:rFonts w:ascii="Times New Roman" w:hAnsi="Times New Roman" w:eastAsia="宋体" w:cs="Times New Roman"/>
                      <w:kern w:val="0"/>
                      <w:sz w:val="21"/>
                      <w:szCs w:val="21"/>
                      <w:lang w:val="en-US" w:eastAsia="zh-CN" w:bidi="ar-SA"/>
                    </w:rPr>
                  </w:pPr>
                  <w:r>
                    <w:rPr>
                      <w:kern w:val="0"/>
                      <w:szCs w:val="21"/>
                    </w:rPr>
                    <w:t>/</w:t>
                  </w:r>
                </w:p>
              </w:tc>
              <w:tc>
                <w:tcPr>
                  <w:tcW w:w="540" w:type="pct"/>
                  <w:shd w:val="clear" w:color="auto" w:fill="auto"/>
                  <w:vAlign w:val="center"/>
                </w:tcPr>
                <w:p w14:paraId="29097BD3">
                  <w:pPr>
                    <w:jc w:val="center"/>
                    <w:rPr>
                      <w:rFonts w:hint="default" w:ascii="Times New Roman" w:hAnsi="Times New Roman" w:eastAsia="宋体" w:cs="Times New Roman"/>
                      <w:kern w:val="0"/>
                      <w:sz w:val="21"/>
                      <w:szCs w:val="21"/>
                      <w:lang w:val="en-US" w:eastAsia="zh-CN" w:bidi="ar-SA"/>
                    </w:rPr>
                  </w:pPr>
                  <w:r>
                    <w:rPr>
                      <w:rFonts w:hint="eastAsia"/>
                      <w:kern w:val="0"/>
                      <w:lang w:val="en-US" w:eastAsia="zh-CN"/>
                    </w:rPr>
                    <w:t>40.85</w:t>
                  </w:r>
                </w:p>
              </w:tc>
              <w:tc>
                <w:tcPr>
                  <w:tcW w:w="281" w:type="pct"/>
                  <w:shd w:val="clear" w:color="auto" w:fill="auto"/>
                  <w:vAlign w:val="center"/>
                </w:tcPr>
                <w:p w14:paraId="4B7EE8B1">
                  <w:pPr>
                    <w:adjustRightInd w:val="0"/>
                    <w:snapToGrid w:val="0"/>
                    <w:jc w:val="center"/>
                    <w:rPr>
                      <w:rFonts w:ascii="Times New Roman" w:hAnsi="Times New Roman" w:eastAsia="宋体" w:cs="Times New Roman"/>
                      <w:kern w:val="0"/>
                      <w:sz w:val="21"/>
                      <w:szCs w:val="21"/>
                      <w:lang w:val="en-US" w:eastAsia="zh-CN" w:bidi="ar-SA"/>
                    </w:rPr>
                  </w:pPr>
                  <w:r>
                    <w:rPr>
                      <w:kern w:val="0"/>
                      <w:szCs w:val="21"/>
                    </w:rPr>
                    <w:t>袋装</w:t>
                  </w:r>
                </w:p>
              </w:tc>
              <w:tc>
                <w:tcPr>
                  <w:tcW w:w="524" w:type="pct"/>
                  <w:shd w:val="clear" w:color="auto" w:fill="auto"/>
                  <w:vAlign w:val="center"/>
                </w:tcPr>
                <w:p w14:paraId="5E59D167">
                  <w:pPr>
                    <w:adjustRightInd w:val="0"/>
                    <w:snapToGrid w:val="0"/>
                    <w:jc w:val="center"/>
                    <w:rPr>
                      <w:rFonts w:ascii="Times New Roman" w:hAnsi="Times New Roman" w:eastAsia="宋体" w:cs="Times New Roman"/>
                      <w:kern w:val="0"/>
                      <w:sz w:val="21"/>
                      <w:szCs w:val="21"/>
                      <w:lang w:val="en-US" w:eastAsia="zh-CN" w:bidi="ar-SA"/>
                    </w:rPr>
                  </w:pPr>
                  <w:r>
                    <w:rPr>
                      <w:rFonts w:hint="eastAsia"/>
                      <w:kern w:val="0"/>
                      <w:szCs w:val="21"/>
                      <w:lang w:eastAsia="zh-CN"/>
                    </w:rPr>
                    <w:t>回用于生产</w:t>
                  </w:r>
                </w:p>
              </w:tc>
              <w:tc>
                <w:tcPr>
                  <w:tcW w:w="540" w:type="pct"/>
                  <w:shd w:val="clear" w:color="auto" w:fill="auto"/>
                  <w:vAlign w:val="center"/>
                </w:tcPr>
                <w:p w14:paraId="405A21A3">
                  <w:pPr>
                    <w:jc w:val="center"/>
                    <w:rPr>
                      <w:rFonts w:hint="default" w:ascii="Times New Roman" w:hAnsi="Times New Roman" w:eastAsia="宋体" w:cs="Times New Roman"/>
                      <w:kern w:val="0"/>
                      <w:sz w:val="21"/>
                      <w:szCs w:val="21"/>
                      <w:lang w:val="en-US" w:eastAsia="zh-CN" w:bidi="ar-SA"/>
                    </w:rPr>
                  </w:pPr>
                  <w:r>
                    <w:rPr>
                      <w:rFonts w:hint="eastAsia"/>
                      <w:kern w:val="0"/>
                      <w:lang w:val="en-US" w:eastAsia="zh-CN"/>
                    </w:rPr>
                    <w:t>40.85</w:t>
                  </w:r>
                </w:p>
              </w:tc>
              <w:tc>
                <w:tcPr>
                  <w:tcW w:w="354" w:type="pct"/>
                  <w:vMerge w:val="restart"/>
                  <w:vAlign w:val="center"/>
                </w:tcPr>
                <w:p w14:paraId="5E7922F7">
                  <w:pPr>
                    <w:adjustRightInd w:val="0"/>
                    <w:snapToGrid w:val="0"/>
                    <w:jc w:val="center"/>
                    <w:rPr>
                      <w:rFonts w:hint="eastAsia" w:eastAsia="宋体"/>
                      <w:kern w:val="0"/>
                      <w:szCs w:val="21"/>
                      <w:lang w:eastAsia="zh-CN"/>
                    </w:rPr>
                  </w:pPr>
                  <w:r>
                    <w:rPr>
                      <w:rFonts w:hint="eastAsia"/>
                      <w:kern w:val="0"/>
                      <w:szCs w:val="21"/>
                    </w:rPr>
                    <w:t>固废暂存间</w:t>
                  </w:r>
                </w:p>
              </w:tc>
            </w:tr>
            <w:tr w14:paraId="6903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0FF92909">
                  <w:pPr>
                    <w:adjustRightInd w:val="0"/>
                    <w:snapToGrid w:val="0"/>
                    <w:jc w:val="center"/>
                    <w:rPr>
                      <w:kern w:val="0"/>
                      <w:szCs w:val="21"/>
                    </w:rPr>
                  </w:pPr>
                  <w:r>
                    <w:rPr>
                      <w:kern w:val="0"/>
                      <w:szCs w:val="21"/>
                    </w:rPr>
                    <w:t>3</w:t>
                  </w:r>
                </w:p>
              </w:tc>
              <w:tc>
                <w:tcPr>
                  <w:tcW w:w="414" w:type="pct"/>
                  <w:vAlign w:val="center"/>
                </w:tcPr>
                <w:p w14:paraId="1F5C91D9">
                  <w:pPr>
                    <w:jc w:val="center"/>
                    <w:rPr>
                      <w:kern w:val="0"/>
                      <w:szCs w:val="21"/>
                    </w:rPr>
                  </w:pPr>
                  <w:r>
                    <w:rPr>
                      <w:kern w:val="0"/>
                      <w:szCs w:val="21"/>
                    </w:rPr>
                    <w:t>物料使用</w:t>
                  </w:r>
                </w:p>
              </w:tc>
              <w:tc>
                <w:tcPr>
                  <w:tcW w:w="406" w:type="pct"/>
                  <w:vAlign w:val="center"/>
                </w:tcPr>
                <w:p w14:paraId="27C2549B">
                  <w:pPr>
                    <w:jc w:val="center"/>
                    <w:rPr>
                      <w:kern w:val="0"/>
                      <w:szCs w:val="21"/>
                    </w:rPr>
                  </w:pPr>
                  <w:r>
                    <w:rPr>
                      <w:kern w:val="0"/>
                      <w:szCs w:val="21"/>
                    </w:rPr>
                    <w:t>废包装袋</w:t>
                  </w:r>
                </w:p>
              </w:tc>
              <w:tc>
                <w:tcPr>
                  <w:tcW w:w="314" w:type="pct"/>
                  <w:vMerge w:val="continue"/>
                  <w:vAlign w:val="center"/>
                </w:tcPr>
                <w:p w14:paraId="2601F370">
                  <w:pPr>
                    <w:adjustRightInd w:val="0"/>
                    <w:snapToGrid w:val="0"/>
                    <w:jc w:val="center"/>
                    <w:rPr>
                      <w:kern w:val="0"/>
                      <w:szCs w:val="21"/>
                    </w:rPr>
                  </w:pPr>
                </w:p>
              </w:tc>
              <w:tc>
                <w:tcPr>
                  <w:tcW w:w="524" w:type="pct"/>
                  <w:vAlign w:val="center"/>
                </w:tcPr>
                <w:p w14:paraId="1CDDA330">
                  <w:pPr>
                    <w:adjustRightInd w:val="0"/>
                    <w:snapToGrid w:val="0"/>
                    <w:jc w:val="center"/>
                    <w:rPr>
                      <w:kern w:val="0"/>
                      <w:szCs w:val="21"/>
                    </w:rPr>
                  </w:pPr>
                  <w:r>
                    <w:rPr>
                      <w:kern w:val="0"/>
                      <w:szCs w:val="21"/>
                    </w:rPr>
                    <w:t>/</w:t>
                  </w:r>
                </w:p>
              </w:tc>
              <w:tc>
                <w:tcPr>
                  <w:tcW w:w="316" w:type="pct"/>
                  <w:vAlign w:val="center"/>
                </w:tcPr>
                <w:p w14:paraId="79D67B85">
                  <w:pPr>
                    <w:adjustRightInd w:val="0"/>
                    <w:snapToGrid w:val="0"/>
                    <w:jc w:val="center"/>
                    <w:rPr>
                      <w:kern w:val="0"/>
                      <w:szCs w:val="21"/>
                    </w:rPr>
                  </w:pPr>
                  <w:r>
                    <w:rPr>
                      <w:kern w:val="0"/>
                      <w:szCs w:val="21"/>
                    </w:rPr>
                    <w:t>固态</w:t>
                  </w:r>
                </w:p>
              </w:tc>
              <w:tc>
                <w:tcPr>
                  <w:tcW w:w="510" w:type="pct"/>
                  <w:vAlign w:val="center"/>
                </w:tcPr>
                <w:p w14:paraId="2B0BF7C8">
                  <w:pPr>
                    <w:adjustRightInd w:val="0"/>
                    <w:snapToGrid w:val="0"/>
                    <w:jc w:val="center"/>
                    <w:rPr>
                      <w:kern w:val="0"/>
                      <w:szCs w:val="21"/>
                    </w:rPr>
                  </w:pPr>
                  <w:r>
                    <w:rPr>
                      <w:kern w:val="0"/>
                      <w:szCs w:val="21"/>
                    </w:rPr>
                    <w:t>/</w:t>
                  </w:r>
                </w:p>
              </w:tc>
              <w:tc>
                <w:tcPr>
                  <w:tcW w:w="540" w:type="pct"/>
                  <w:vAlign w:val="center"/>
                </w:tcPr>
                <w:p w14:paraId="40054C43">
                  <w:pPr>
                    <w:jc w:val="center"/>
                    <w:rPr>
                      <w:rFonts w:hint="default" w:eastAsia="宋体"/>
                      <w:kern w:val="0"/>
                      <w:szCs w:val="21"/>
                      <w:lang w:val="en-US" w:eastAsia="zh-CN"/>
                    </w:rPr>
                  </w:pPr>
                  <w:r>
                    <w:rPr>
                      <w:rFonts w:hint="eastAsia"/>
                      <w:kern w:val="0"/>
                      <w:szCs w:val="21"/>
                      <w:lang w:val="en-US" w:eastAsia="zh-CN"/>
                    </w:rPr>
                    <w:t>0.1</w:t>
                  </w:r>
                </w:p>
              </w:tc>
              <w:tc>
                <w:tcPr>
                  <w:tcW w:w="281" w:type="pct"/>
                  <w:vAlign w:val="center"/>
                </w:tcPr>
                <w:p w14:paraId="535689A5">
                  <w:pPr>
                    <w:adjustRightInd w:val="0"/>
                    <w:snapToGrid w:val="0"/>
                    <w:jc w:val="center"/>
                    <w:rPr>
                      <w:kern w:val="0"/>
                      <w:szCs w:val="21"/>
                    </w:rPr>
                  </w:pPr>
                  <w:r>
                    <w:rPr>
                      <w:kern w:val="0"/>
                      <w:szCs w:val="21"/>
                    </w:rPr>
                    <w:t>袋装</w:t>
                  </w:r>
                </w:p>
              </w:tc>
              <w:tc>
                <w:tcPr>
                  <w:tcW w:w="524" w:type="pct"/>
                  <w:vAlign w:val="center"/>
                </w:tcPr>
                <w:p w14:paraId="2B8E74AE">
                  <w:pPr>
                    <w:adjustRightInd w:val="0"/>
                    <w:snapToGrid w:val="0"/>
                    <w:jc w:val="center"/>
                    <w:rPr>
                      <w:kern w:val="0"/>
                      <w:szCs w:val="21"/>
                    </w:rPr>
                  </w:pPr>
                  <w:r>
                    <w:rPr>
                      <w:kern w:val="0"/>
                      <w:szCs w:val="21"/>
                    </w:rPr>
                    <w:t>交由物资回收部门回收利用</w:t>
                  </w:r>
                </w:p>
              </w:tc>
              <w:tc>
                <w:tcPr>
                  <w:tcW w:w="540" w:type="pct"/>
                  <w:vAlign w:val="center"/>
                </w:tcPr>
                <w:p w14:paraId="4EF64269">
                  <w:pPr>
                    <w:jc w:val="center"/>
                    <w:rPr>
                      <w:rFonts w:hint="default" w:eastAsia="宋体"/>
                      <w:kern w:val="0"/>
                      <w:szCs w:val="21"/>
                      <w:lang w:val="en-US" w:eastAsia="zh-CN"/>
                    </w:rPr>
                  </w:pPr>
                  <w:r>
                    <w:rPr>
                      <w:rFonts w:hint="eastAsia"/>
                      <w:kern w:val="0"/>
                      <w:szCs w:val="21"/>
                      <w:lang w:val="en-US" w:eastAsia="zh-CN"/>
                    </w:rPr>
                    <w:t>0.1</w:t>
                  </w:r>
                </w:p>
              </w:tc>
              <w:tc>
                <w:tcPr>
                  <w:tcW w:w="354" w:type="pct"/>
                  <w:vMerge w:val="continue"/>
                  <w:vAlign w:val="center"/>
                </w:tcPr>
                <w:p w14:paraId="4D21D4EB">
                  <w:pPr>
                    <w:adjustRightInd w:val="0"/>
                    <w:snapToGrid w:val="0"/>
                    <w:jc w:val="center"/>
                    <w:rPr>
                      <w:kern w:val="0"/>
                      <w:szCs w:val="21"/>
                    </w:rPr>
                  </w:pPr>
                </w:p>
              </w:tc>
            </w:tr>
            <w:tr w14:paraId="561D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vAlign w:val="center"/>
                </w:tcPr>
                <w:p w14:paraId="139C8ED8">
                  <w:pPr>
                    <w:adjustRightInd w:val="0"/>
                    <w:snapToGrid w:val="0"/>
                    <w:jc w:val="center"/>
                    <w:rPr>
                      <w:rFonts w:hint="eastAsia" w:eastAsia="宋体"/>
                      <w:kern w:val="0"/>
                      <w:szCs w:val="21"/>
                      <w:lang w:eastAsia="zh-CN"/>
                    </w:rPr>
                  </w:pPr>
                  <w:r>
                    <w:rPr>
                      <w:rFonts w:hint="eastAsia"/>
                      <w:kern w:val="0"/>
                      <w:szCs w:val="21"/>
                      <w:lang w:val="en-US" w:eastAsia="zh-CN"/>
                    </w:rPr>
                    <w:t>4</w:t>
                  </w:r>
                </w:p>
              </w:tc>
              <w:tc>
                <w:tcPr>
                  <w:tcW w:w="414" w:type="pct"/>
                  <w:vAlign w:val="center"/>
                </w:tcPr>
                <w:p w14:paraId="2B023003">
                  <w:pPr>
                    <w:jc w:val="center"/>
                    <w:rPr>
                      <w:kern w:val="0"/>
                      <w:szCs w:val="21"/>
                    </w:rPr>
                  </w:pPr>
                  <w:r>
                    <w:rPr>
                      <w:kern w:val="0"/>
                      <w:szCs w:val="21"/>
                    </w:rPr>
                    <w:t>设备运行</w:t>
                  </w:r>
                </w:p>
              </w:tc>
              <w:tc>
                <w:tcPr>
                  <w:tcW w:w="406" w:type="pct"/>
                  <w:vAlign w:val="center"/>
                </w:tcPr>
                <w:p w14:paraId="2CFC8193">
                  <w:pPr>
                    <w:jc w:val="center"/>
                    <w:rPr>
                      <w:bCs/>
                      <w:kern w:val="0"/>
                      <w:szCs w:val="21"/>
                    </w:rPr>
                  </w:pPr>
                  <w:r>
                    <w:rPr>
                      <w:bCs/>
                      <w:kern w:val="0"/>
                      <w:szCs w:val="21"/>
                    </w:rPr>
                    <w:t>废机油</w:t>
                  </w:r>
                </w:p>
              </w:tc>
              <w:tc>
                <w:tcPr>
                  <w:tcW w:w="314" w:type="pct"/>
                  <w:vAlign w:val="center"/>
                </w:tcPr>
                <w:p w14:paraId="2CC706F3">
                  <w:pPr>
                    <w:adjustRightInd w:val="0"/>
                    <w:snapToGrid w:val="0"/>
                    <w:jc w:val="center"/>
                    <w:rPr>
                      <w:kern w:val="0"/>
                      <w:szCs w:val="21"/>
                    </w:rPr>
                  </w:pPr>
                  <w:r>
                    <w:rPr>
                      <w:kern w:val="0"/>
                      <w:szCs w:val="21"/>
                    </w:rPr>
                    <w:t>危险</w:t>
                  </w:r>
                </w:p>
                <w:p w14:paraId="1DE9ADA7">
                  <w:pPr>
                    <w:adjustRightInd w:val="0"/>
                    <w:snapToGrid w:val="0"/>
                    <w:jc w:val="center"/>
                    <w:rPr>
                      <w:kern w:val="0"/>
                      <w:szCs w:val="21"/>
                    </w:rPr>
                  </w:pPr>
                  <w:r>
                    <w:rPr>
                      <w:kern w:val="0"/>
                      <w:szCs w:val="21"/>
                    </w:rPr>
                    <w:t>废物</w:t>
                  </w:r>
                </w:p>
              </w:tc>
              <w:tc>
                <w:tcPr>
                  <w:tcW w:w="524" w:type="pct"/>
                  <w:vAlign w:val="center"/>
                </w:tcPr>
                <w:p w14:paraId="798D8D53">
                  <w:pPr>
                    <w:adjustRightInd w:val="0"/>
                    <w:snapToGrid w:val="0"/>
                    <w:jc w:val="center"/>
                    <w:rPr>
                      <w:bCs/>
                      <w:kern w:val="0"/>
                      <w:szCs w:val="21"/>
                    </w:rPr>
                  </w:pPr>
                  <w:r>
                    <w:rPr>
                      <w:bCs/>
                      <w:kern w:val="0"/>
                      <w:szCs w:val="21"/>
                    </w:rPr>
                    <w:t>矿物油</w:t>
                  </w:r>
                </w:p>
              </w:tc>
              <w:tc>
                <w:tcPr>
                  <w:tcW w:w="316" w:type="pct"/>
                  <w:vAlign w:val="center"/>
                </w:tcPr>
                <w:p w14:paraId="5AD5B335">
                  <w:pPr>
                    <w:adjustRightInd w:val="0"/>
                    <w:snapToGrid w:val="0"/>
                    <w:jc w:val="center"/>
                    <w:rPr>
                      <w:kern w:val="0"/>
                      <w:szCs w:val="21"/>
                    </w:rPr>
                  </w:pPr>
                  <w:r>
                    <w:rPr>
                      <w:kern w:val="0"/>
                      <w:szCs w:val="21"/>
                    </w:rPr>
                    <w:t>液态</w:t>
                  </w:r>
                </w:p>
              </w:tc>
              <w:tc>
                <w:tcPr>
                  <w:tcW w:w="510" w:type="pct"/>
                  <w:vAlign w:val="center"/>
                </w:tcPr>
                <w:p w14:paraId="12EE3FD4">
                  <w:pPr>
                    <w:adjustRightInd w:val="0"/>
                    <w:snapToGrid w:val="0"/>
                    <w:jc w:val="center"/>
                    <w:rPr>
                      <w:kern w:val="0"/>
                      <w:szCs w:val="21"/>
                    </w:rPr>
                  </w:pPr>
                  <w:r>
                    <w:rPr>
                      <w:kern w:val="0"/>
                      <w:szCs w:val="21"/>
                    </w:rPr>
                    <w:t>T，I</w:t>
                  </w:r>
                </w:p>
              </w:tc>
              <w:tc>
                <w:tcPr>
                  <w:tcW w:w="540" w:type="pct"/>
                  <w:vAlign w:val="center"/>
                </w:tcPr>
                <w:p w14:paraId="33CD1589">
                  <w:pPr>
                    <w:spacing w:line="240" w:lineRule="exact"/>
                    <w:jc w:val="center"/>
                    <w:rPr>
                      <w:rFonts w:hint="default" w:eastAsia="宋体"/>
                      <w:kern w:val="0"/>
                      <w:szCs w:val="21"/>
                      <w:lang w:val="en-US" w:eastAsia="zh-CN"/>
                    </w:rPr>
                  </w:pPr>
                  <w:r>
                    <w:rPr>
                      <w:rFonts w:hint="eastAsia"/>
                      <w:kern w:val="0"/>
                      <w:szCs w:val="21"/>
                      <w:lang w:val="en-US" w:eastAsia="zh-CN"/>
                    </w:rPr>
                    <w:t>0.5</w:t>
                  </w:r>
                </w:p>
              </w:tc>
              <w:tc>
                <w:tcPr>
                  <w:tcW w:w="281" w:type="pct"/>
                  <w:vAlign w:val="center"/>
                </w:tcPr>
                <w:p w14:paraId="7685C34A">
                  <w:pPr>
                    <w:adjustRightInd w:val="0"/>
                    <w:snapToGrid w:val="0"/>
                    <w:jc w:val="center"/>
                    <w:rPr>
                      <w:kern w:val="0"/>
                      <w:szCs w:val="21"/>
                    </w:rPr>
                  </w:pPr>
                  <w:r>
                    <w:rPr>
                      <w:kern w:val="0"/>
                      <w:szCs w:val="21"/>
                    </w:rPr>
                    <w:t>桶装</w:t>
                  </w:r>
                </w:p>
              </w:tc>
              <w:tc>
                <w:tcPr>
                  <w:tcW w:w="524" w:type="pct"/>
                  <w:vAlign w:val="center"/>
                </w:tcPr>
                <w:p w14:paraId="4B01A2E4">
                  <w:pPr>
                    <w:adjustRightInd w:val="0"/>
                    <w:snapToGrid w:val="0"/>
                    <w:jc w:val="center"/>
                    <w:rPr>
                      <w:kern w:val="0"/>
                      <w:szCs w:val="21"/>
                    </w:rPr>
                  </w:pPr>
                  <w:r>
                    <w:rPr>
                      <w:kern w:val="0"/>
                      <w:szCs w:val="21"/>
                    </w:rPr>
                    <w:t>委托有资质单位处理</w:t>
                  </w:r>
                </w:p>
              </w:tc>
              <w:tc>
                <w:tcPr>
                  <w:tcW w:w="540" w:type="pct"/>
                  <w:vAlign w:val="center"/>
                </w:tcPr>
                <w:p w14:paraId="27906A8F">
                  <w:pPr>
                    <w:spacing w:line="240" w:lineRule="exact"/>
                    <w:jc w:val="center"/>
                    <w:rPr>
                      <w:rFonts w:hint="default" w:eastAsia="宋体"/>
                      <w:kern w:val="0"/>
                      <w:szCs w:val="21"/>
                      <w:lang w:val="en-US" w:eastAsia="zh-CN"/>
                    </w:rPr>
                  </w:pPr>
                  <w:r>
                    <w:rPr>
                      <w:rFonts w:hint="eastAsia"/>
                      <w:kern w:val="0"/>
                      <w:szCs w:val="21"/>
                      <w:lang w:val="en-US" w:eastAsia="zh-CN"/>
                    </w:rPr>
                    <w:t>0.5</w:t>
                  </w:r>
                </w:p>
              </w:tc>
              <w:tc>
                <w:tcPr>
                  <w:tcW w:w="354" w:type="pct"/>
                  <w:vAlign w:val="center"/>
                </w:tcPr>
                <w:p w14:paraId="74419187">
                  <w:pPr>
                    <w:adjustRightInd w:val="0"/>
                    <w:snapToGrid w:val="0"/>
                    <w:jc w:val="center"/>
                    <w:rPr>
                      <w:kern w:val="0"/>
                      <w:szCs w:val="21"/>
                    </w:rPr>
                  </w:pPr>
                  <w:r>
                    <w:rPr>
                      <w:kern w:val="0"/>
                      <w:szCs w:val="21"/>
                    </w:rPr>
                    <w:t>危废暂存间</w:t>
                  </w:r>
                </w:p>
              </w:tc>
            </w:tr>
          </w:tbl>
          <w:p w14:paraId="41690023">
            <w:pPr>
              <w:adjustRightInd w:val="0"/>
              <w:snapToGrid w:val="0"/>
              <w:spacing w:before="120" w:beforeLines="50" w:line="360" w:lineRule="auto"/>
              <w:jc w:val="center"/>
            </w:pPr>
            <w:r>
              <w:rPr>
                <w:b/>
                <w:bCs/>
                <w:sz w:val="24"/>
              </w:rPr>
              <w:t>表4</w:t>
            </w:r>
            <w:r>
              <w:rPr>
                <w:rFonts w:hint="eastAsia"/>
                <w:b/>
                <w:bCs/>
                <w:sz w:val="24"/>
                <w:lang w:val="en-US" w:eastAsia="zh-CN"/>
              </w:rPr>
              <w:t>-</w:t>
            </w:r>
            <w:r>
              <w:rPr>
                <w:rFonts w:hint="eastAsia"/>
                <w:b/>
                <w:bCs/>
                <w:sz w:val="24"/>
              </w:rPr>
              <w:t>1</w:t>
            </w:r>
            <w:r>
              <w:rPr>
                <w:rFonts w:hint="eastAsia"/>
                <w:b/>
                <w:bCs/>
                <w:sz w:val="24"/>
                <w:lang w:val="en-US" w:eastAsia="zh-CN"/>
              </w:rPr>
              <w:t>0</w:t>
            </w:r>
            <w:r>
              <w:rPr>
                <w:rFonts w:hint="eastAsia"/>
                <w:b/>
                <w:bCs/>
                <w:sz w:val="24"/>
              </w:rPr>
              <w:t xml:space="preserve"> </w:t>
            </w:r>
            <w:r>
              <w:rPr>
                <w:b/>
                <w:bCs/>
                <w:sz w:val="24"/>
              </w:rPr>
              <w:t xml:space="preserve"> 项目</w:t>
            </w:r>
            <w:r>
              <w:rPr>
                <w:rFonts w:hint="eastAsia"/>
                <w:b/>
                <w:bCs/>
                <w:sz w:val="24"/>
              </w:rPr>
              <w:t>一般工业固体废物</w:t>
            </w:r>
            <w:r>
              <w:rPr>
                <w:b/>
                <w:bCs/>
                <w:sz w:val="24"/>
              </w:rPr>
              <w:t>产</w:t>
            </w:r>
            <w:r>
              <w:rPr>
                <w:rFonts w:hint="eastAsia"/>
                <w:b/>
                <w:bCs/>
                <w:sz w:val="24"/>
              </w:rPr>
              <w:t>生及处置统计一览</w:t>
            </w:r>
            <w:r>
              <w:rPr>
                <w:b/>
                <w:bCs/>
                <w:sz w:val="24"/>
              </w:rPr>
              <w:t>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294"/>
              <w:gridCol w:w="1197"/>
              <w:gridCol w:w="962"/>
              <w:gridCol w:w="952"/>
              <w:gridCol w:w="477"/>
              <w:gridCol w:w="883"/>
              <w:gridCol w:w="761"/>
              <w:gridCol w:w="1221"/>
            </w:tblGrid>
            <w:tr w14:paraId="49D8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Align w:val="center"/>
                </w:tcPr>
                <w:p w14:paraId="655C72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787" w:type="pct"/>
                  <w:vAlign w:val="center"/>
                </w:tcPr>
                <w:p w14:paraId="1E1F745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一般工业固体废物</w:t>
                  </w:r>
                </w:p>
              </w:tc>
              <w:tc>
                <w:tcPr>
                  <w:tcW w:w="728" w:type="pct"/>
                  <w:vAlign w:val="center"/>
                </w:tcPr>
                <w:p w14:paraId="1B4A42C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w:t>
                  </w:r>
                </w:p>
                <w:p w14:paraId="6A19DF8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代码</w:t>
                  </w:r>
                </w:p>
              </w:tc>
              <w:tc>
                <w:tcPr>
                  <w:tcW w:w="585" w:type="pct"/>
                  <w:vAlign w:val="center"/>
                </w:tcPr>
                <w:p w14:paraId="3DA261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579" w:type="pct"/>
                  <w:vAlign w:val="center"/>
                </w:tcPr>
                <w:p w14:paraId="57E793C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产生工序及装置</w:t>
                  </w:r>
                </w:p>
              </w:tc>
              <w:tc>
                <w:tcPr>
                  <w:tcW w:w="290" w:type="pct"/>
                  <w:vAlign w:val="center"/>
                </w:tcPr>
                <w:p w14:paraId="5025B9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形态</w:t>
                  </w:r>
                </w:p>
              </w:tc>
              <w:tc>
                <w:tcPr>
                  <w:tcW w:w="537" w:type="pct"/>
                  <w:vAlign w:val="center"/>
                </w:tcPr>
                <w:p w14:paraId="5C13CE9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主要成分</w:t>
                  </w:r>
                </w:p>
              </w:tc>
              <w:tc>
                <w:tcPr>
                  <w:tcW w:w="463" w:type="pct"/>
                  <w:vAlign w:val="center"/>
                </w:tcPr>
                <w:p w14:paraId="22D9852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产废周期</w:t>
                  </w:r>
                </w:p>
              </w:tc>
              <w:tc>
                <w:tcPr>
                  <w:tcW w:w="743" w:type="pct"/>
                  <w:vAlign w:val="center"/>
                </w:tcPr>
                <w:p w14:paraId="24705AE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防治措施</w:t>
                  </w:r>
                </w:p>
              </w:tc>
            </w:tr>
            <w:tr w14:paraId="554F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Align w:val="center"/>
                </w:tcPr>
                <w:p w14:paraId="6B80753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87" w:type="pct"/>
                  <w:vAlign w:val="center"/>
                </w:tcPr>
                <w:p w14:paraId="52B9AA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28" w:type="pct"/>
                  <w:vAlign w:val="center"/>
                </w:tcPr>
                <w:p w14:paraId="5B879827">
                  <w:pPr>
                    <w:widowControl/>
                    <w:jc w:val="center"/>
                    <w:rPr>
                      <w:rFonts w:hint="default" w:eastAsia="宋体"/>
                      <w:color w:val="FF0000"/>
                      <w:lang w:val="en-US" w:eastAsia="zh-CN"/>
                    </w:rPr>
                  </w:pPr>
                  <w:r>
                    <w:rPr>
                      <w:rFonts w:hint="eastAsia" w:cs="Times New Roman"/>
                      <w:color w:val="000000" w:themeColor="text1"/>
                      <w:kern w:val="0"/>
                      <w:sz w:val="21"/>
                      <w:szCs w:val="21"/>
                      <w:lang w:val="en-US" w:eastAsia="zh-CN" w:bidi="ar"/>
                      <w14:textFill>
                        <w14:solidFill>
                          <w14:schemeClr w14:val="tx1"/>
                        </w14:solidFill>
                      </w14:textFill>
                    </w:rPr>
                    <w:t>900-999-99</w:t>
                  </w:r>
                </w:p>
              </w:tc>
              <w:tc>
                <w:tcPr>
                  <w:tcW w:w="585" w:type="pct"/>
                  <w:vAlign w:val="center"/>
                </w:tcPr>
                <w:p w14:paraId="54FD6A82">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0.45</w:t>
                  </w:r>
                </w:p>
              </w:tc>
              <w:tc>
                <w:tcPr>
                  <w:tcW w:w="579" w:type="pct"/>
                  <w:vAlign w:val="center"/>
                </w:tcPr>
                <w:p w14:paraId="167475F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职工生活</w:t>
                  </w:r>
                </w:p>
              </w:tc>
              <w:tc>
                <w:tcPr>
                  <w:tcW w:w="290" w:type="pct"/>
                  <w:vAlign w:val="center"/>
                </w:tcPr>
                <w:p w14:paraId="6A1773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37" w:type="pct"/>
                  <w:vAlign w:val="center"/>
                </w:tcPr>
                <w:p w14:paraId="587ABE3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废纸等</w:t>
                  </w:r>
                </w:p>
              </w:tc>
              <w:tc>
                <w:tcPr>
                  <w:tcW w:w="463" w:type="pct"/>
                  <w:vAlign w:val="center"/>
                </w:tcPr>
                <w:p w14:paraId="071B1D7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1天</w:t>
                  </w:r>
                </w:p>
              </w:tc>
              <w:tc>
                <w:tcPr>
                  <w:tcW w:w="743" w:type="pct"/>
                  <w:vAlign w:val="center"/>
                </w:tcPr>
                <w:p w14:paraId="60E3C1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环卫部门</w:t>
                  </w:r>
                </w:p>
              </w:tc>
            </w:tr>
            <w:tr w14:paraId="6993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Align w:val="center"/>
                </w:tcPr>
                <w:p w14:paraId="02D29C1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87" w:type="pct"/>
                  <w:vAlign w:val="center"/>
                </w:tcPr>
                <w:p w14:paraId="1A97CE5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废包装袋</w:t>
                  </w:r>
                </w:p>
              </w:tc>
              <w:tc>
                <w:tcPr>
                  <w:tcW w:w="728" w:type="pct"/>
                  <w:vAlign w:val="center"/>
                </w:tcPr>
                <w:p w14:paraId="3FC0FE21">
                  <w:pPr>
                    <w:adjustRightInd w:val="0"/>
                    <w:snapToGrid w:val="0"/>
                    <w:jc w:val="center"/>
                    <w:rPr>
                      <w:rFonts w:hint="default" w:eastAsia="宋体"/>
                      <w:color w:val="FF0000"/>
                      <w:lang w:val="en-US" w:eastAsia="zh-CN"/>
                    </w:rPr>
                  </w:pPr>
                  <w:r>
                    <w:rPr>
                      <w:rFonts w:hint="eastAsia" w:cs="Times New Roman"/>
                      <w:color w:val="000000" w:themeColor="text1"/>
                      <w:kern w:val="2"/>
                      <w:sz w:val="21"/>
                      <w:szCs w:val="24"/>
                      <w:lang w:val="en-US" w:eastAsia="zh-CN" w:bidi="ar-SA"/>
                      <w14:textFill>
                        <w14:solidFill>
                          <w14:schemeClr w14:val="tx1"/>
                        </w14:solidFill>
                      </w14:textFill>
                    </w:rPr>
                    <w:t>900-999-07</w:t>
                  </w:r>
                </w:p>
              </w:tc>
              <w:tc>
                <w:tcPr>
                  <w:tcW w:w="585" w:type="pct"/>
                  <w:vAlign w:val="center"/>
                </w:tcPr>
                <w:p w14:paraId="30B34D1C">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0.1</w:t>
                  </w:r>
                </w:p>
              </w:tc>
              <w:tc>
                <w:tcPr>
                  <w:tcW w:w="579" w:type="pct"/>
                  <w:vAlign w:val="center"/>
                </w:tcPr>
                <w:p w14:paraId="67E998D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物料使用</w:t>
                  </w:r>
                </w:p>
              </w:tc>
              <w:tc>
                <w:tcPr>
                  <w:tcW w:w="290" w:type="pct"/>
                  <w:vAlign w:val="center"/>
                </w:tcPr>
                <w:p w14:paraId="5D835F5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537" w:type="pct"/>
                  <w:vAlign w:val="center"/>
                </w:tcPr>
                <w:p w14:paraId="039F06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包装袋</w:t>
                  </w:r>
                </w:p>
              </w:tc>
              <w:tc>
                <w:tcPr>
                  <w:tcW w:w="463" w:type="pct"/>
                  <w:vAlign w:val="center"/>
                </w:tcPr>
                <w:p w14:paraId="24E5089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1个月</w:t>
                  </w:r>
                </w:p>
              </w:tc>
              <w:tc>
                <w:tcPr>
                  <w:tcW w:w="743" w:type="pct"/>
                  <w:vAlign w:val="center"/>
                </w:tcPr>
                <w:p w14:paraId="5A142E14">
                  <w:pPr>
                    <w:adjustRightInd w:val="0"/>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交由物资回收部门回收利用</w:t>
                  </w:r>
                </w:p>
              </w:tc>
            </w:tr>
            <w:tr w14:paraId="2CE3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 w:type="pct"/>
                  <w:vAlign w:val="center"/>
                </w:tcPr>
                <w:p w14:paraId="07D6F69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87" w:type="pct"/>
                  <w:vAlign w:val="center"/>
                </w:tcPr>
                <w:p w14:paraId="27505A4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除尘器收</w:t>
                  </w:r>
                </w:p>
                <w:p w14:paraId="0A89BBAF">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集</w:t>
                  </w:r>
                  <w:r>
                    <w:rPr>
                      <w:rFonts w:hint="eastAsia"/>
                      <w:color w:val="000000" w:themeColor="text1"/>
                      <w:szCs w:val="21"/>
                      <w:lang w:eastAsia="zh-CN"/>
                      <w14:textFill>
                        <w14:solidFill>
                          <w14:schemeClr w14:val="tx1"/>
                        </w14:solidFill>
                      </w14:textFill>
                    </w:rPr>
                    <w:t>颗粒物</w:t>
                  </w:r>
                </w:p>
              </w:tc>
              <w:tc>
                <w:tcPr>
                  <w:tcW w:w="728" w:type="pct"/>
                  <w:vAlign w:val="center"/>
                </w:tcPr>
                <w:p w14:paraId="23C38E94">
                  <w:pPr>
                    <w:adjustRightInd w:val="0"/>
                    <w:snapToGrid w:val="0"/>
                    <w:jc w:val="center"/>
                    <w:rPr>
                      <w:color w:val="FF0000"/>
                      <w:kern w:val="0"/>
                      <w:szCs w:val="21"/>
                      <w:lang w:bidi="ar"/>
                    </w:rPr>
                  </w:pPr>
                  <w:r>
                    <w:rPr>
                      <w:rFonts w:hint="eastAsia"/>
                      <w:szCs w:val="21"/>
                    </w:rPr>
                    <w:t>900-999-66</w:t>
                  </w:r>
                </w:p>
              </w:tc>
              <w:tc>
                <w:tcPr>
                  <w:tcW w:w="585" w:type="pct"/>
                  <w:vAlign w:val="center"/>
                </w:tcPr>
                <w:p w14:paraId="66E857C0">
                  <w:pPr>
                    <w:spacing w:line="24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40.85</w:t>
                  </w:r>
                </w:p>
              </w:tc>
              <w:tc>
                <w:tcPr>
                  <w:tcW w:w="579" w:type="pct"/>
                  <w:vAlign w:val="center"/>
                </w:tcPr>
                <w:p w14:paraId="6BC70844">
                  <w:pPr>
                    <w:jc w:val="center"/>
                    <w:rPr>
                      <w:color w:val="000000" w:themeColor="text1"/>
                      <w14:textFill>
                        <w14:solidFill>
                          <w14:schemeClr w14:val="tx1"/>
                        </w14:solidFill>
                      </w14:textFill>
                    </w:rPr>
                  </w:pPr>
                  <w:r>
                    <w:rPr>
                      <w:color w:val="000000" w:themeColor="text1"/>
                      <w14:textFill>
                        <w14:solidFill>
                          <w14:schemeClr w14:val="tx1"/>
                        </w14:solidFill>
                      </w14:textFill>
                    </w:rPr>
                    <w:t>废气治理</w:t>
                  </w:r>
                </w:p>
              </w:tc>
              <w:tc>
                <w:tcPr>
                  <w:tcW w:w="290" w:type="pct"/>
                  <w:vAlign w:val="center"/>
                </w:tcPr>
                <w:p w14:paraId="3C9B414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537" w:type="pct"/>
                  <w:vAlign w:val="center"/>
                </w:tcPr>
                <w:p w14:paraId="324D940B">
                  <w:pPr>
                    <w:jc w:val="both"/>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颗粒物</w:t>
                  </w:r>
                </w:p>
              </w:tc>
              <w:tc>
                <w:tcPr>
                  <w:tcW w:w="463" w:type="pct"/>
                  <w:vAlign w:val="center"/>
                </w:tcPr>
                <w:p w14:paraId="0716C71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1个月</w:t>
                  </w:r>
                </w:p>
              </w:tc>
              <w:tc>
                <w:tcPr>
                  <w:tcW w:w="743" w:type="pct"/>
                  <w:vAlign w:val="center"/>
                </w:tcPr>
                <w:p w14:paraId="569D54A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回用</w:t>
                  </w:r>
                </w:p>
              </w:tc>
            </w:tr>
          </w:tbl>
          <w:p w14:paraId="751C5D93">
            <w:pPr>
              <w:adjustRightInd w:val="0"/>
              <w:snapToGrid w:val="0"/>
              <w:spacing w:before="120" w:beforeLines="50" w:line="360" w:lineRule="auto"/>
              <w:jc w:val="center"/>
              <w:rPr>
                <w:kern w:val="0"/>
              </w:rPr>
            </w:pPr>
            <w:r>
              <w:rPr>
                <w:b/>
                <w:bCs/>
                <w:kern w:val="0"/>
                <w:sz w:val="24"/>
              </w:rPr>
              <w:t>表4</w:t>
            </w:r>
            <w:r>
              <w:rPr>
                <w:rFonts w:hint="eastAsia"/>
                <w:b/>
                <w:bCs/>
                <w:kern w:val="0"/>
                <w:sz w:val="24"/>
                <w:lang w:val="en-US" w:eastAsia="zh-CN"/>
              </w:rPr>
              <w:t>-</w:t>
            </w:r>
            <w:r>
              <w:rPr>
                <w:rFonts w:hint="eastAsia"/>
                <w:b/>
                <w:bCs/>
                <w:kern w:val="0"/>
                <w:sz w:val="24"/>
              </w:rPr>
              <w:t>1</w:t>
            </w:r>
            <w:r>
              <w:rPr>
                <w:rFonts w:hint="eastAsia"/>
                <w:b/>
                <w:bCs/>
                <w:kern w:val="0"/>
                <w:sz w:val="24"/>
                <w:lang w:val="en-US" w:eastAsia="zh-CN"/>
              </w:rPr>
              <w:t>1</w:t>
            </w:r>
            <w:r>
              <w:rPr>
                <w:b/>
                <w:bCs/>
                <w:kern w:val="0"/>
                <w:sz w:val="24"/>
              </w:rPr>
              <w:t xml:space="preserve"> </w:t>
            </w:r>
            <w:r>
              <w:rPr>
                <w:rFonts w:hint="eastAsia"/>
                <w:b/>
                <w:bCs/>
                <w:kern w:val="0"/>
                <w:sz w:val="24"/>
              </w:rPr>
              <w:t xml:space="preserve"> </w:t>
            </w:r>
            <w:r>
              <w:rPr>
                <w:b/>
                <w:bCs/>
                <w:kern w:val="0"/>
                <w:sz w:val="24"/>
              </w:rPr>
              <w:t>项目</w:t>
            </w:r>
            <w:r>
              <w:rPr>
                <w:rFonts w:hint="eastAsia"/>
                <w:b/>
                <w:bCs/>
                <w:kern w:val="0"/>
                <w:sz w:val="24"/>
              </w:rPr>
              <w:t>危险</w:t>
            </w:r>
            <w:r>
              <w:rPr>
                <w:b/>
                <w:bCs/>
                <w:kern w:val="0"/>
                <w:sz w:val="24"/>
              </w:rPr>
              <w:t>废物产</w:t>
            </w:r>
            <w:r>
              <w:rPr>
                <w:rFonts w:hint="eastAsia"/>
                <w:b/>
                <w:bCs/>
                <w:kern w:val="0"/>
                <w:sz w:val="24"/>
              </w:rPr>
              <w:t>生及处置统计一览</w:t>
            </w:r>
            <w:r>
              <w:rPr>
                <w:b/>
                <w:bCs/>
                <w:kern w:val="0"/>
                <w:sz w:val="24"/>
              </w:rPr>
              <w:t>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2"/>
              <w:gridCol w:w="857"/>
              <w:gridCol w:w="1197"/>
              <w:gridCol w:w="847"/>
              <w:gridCol w:w="802"/>
              <w:gridCol w:w="426"/>
              <w:gridCol w:w="743"/>
              <w:gridCol w:w="646"/>
              <w:gridCol w:w="702"/>
              <w:gridCol w:w="834"/>
            </w:tblGrid>
            <w:tr w14:paraId="6E46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 w:type="pct"/>
                  <w:vAlign w:val="center"/>
                </w:tcPr>
                <w:p w14:paraId="360A27B3">
                  <w:pPr>
                    <w:adjustRightInd w:val="0"/>
                    <w:snapToGrid w:val="0"/>
                    <w:jc w:val="center"/>
                    <w:rPr>
                      <w:kern w:val="0"/>
                      <w:szCs w:val="21"/>
                    </w:rPr>
                  </w:pPr>
                  <w:r>
                    <w:rPr>
                      <w:kern w:val="0"/>
                      <w:szCs w:val="21"/>
                    </w:rPr>
                    <w:t>序号</w:t>
                  </w:r>
                </w:p>
              </w:tc>
              <w:tc>
                <w:tcPr>
                  <w:tcW w:w="446" w:type="pct"/>
                  <w:vAlign w:val="center"/>
                </w:tcPr>
                <w:p w14:paraId="7CFD8B06">
                  <w:pPr>
                    <w:adjustRightInd w:val="0"/>
                    <w:snapToGrid w:val="0"/>
                    <w:jc w:val="center"/>
                    <w:rPr>
                      <w:kern w:val="0"/>
                      <w:szCs w:val="21"/>
                    </w:rPr>
                  </w:pPr>
                  <w:r>
                    <w:rPr>
                      <w:kern w:val="0"/>
                      <w:szCs w:val="21"/>
                    </w:rPr>
                    <w:t>危险废物</w:t>
                  </w:r>
                </w:p>
              </w:tc>
              <w:tc>
                <w:tcPr>
                  <w:tcW w:w="521" w:type="pct"/>
                  <w:vAlign w:val="center"/>
                </w:tcPr>
                <w:p w14:paraId="5564525F">
                  <w:pPr>
                    <w:adjustRightInd w:val="0"/>
                    <w:snapToGrid w:val="0"/>
                    <w:jc w:val="center"/>
                    <w:rPr>
                      <w:kern w:val="0"/>
                      <w:szCs w:val="21"/>
                    </w:rPr>
                  </w:pPr>
                  <w:r>
                    <w:rPr>
                      <w:kern w:val="0"/>
                      <w:szCs w:val="21"/>
                    </w:rPr>
                    <w:t>危险废物类别</w:t>
                  </w:r>
                </w:p>
              </w:tc>
              <w:tc>
                <w:tcPr>
                  <w:tcW w:w="728" w:type="pct"/>
                  <w:vAlign w:val="center"/>
                </w:tcPr>
                <w:p w14:paraId="1F0C5242">
                  <w:pPr>
                    <w:adjustRightInd w:val="0"/>
                    <w:snapToGrid w:val="0"/>
                    <w:jc w:val="center"/>
                    <w:rPr>
                      <w:kern w:val="0"/>
                      <w:szCs w:val="21"/>
                    </w:rPr>
                  </w:pPr>
                  <w:r>
                    <w:rPr>
                      <w:kern w:val="0"/>
                      <w:szCs w:val="21"/>
                    </w:rPr>
                    <w:t>废物代码</w:t>
                  </w:r>
                </w:p>
              </w:tc>
              <w:tc>
                <w:tcPr>
                  <w:tcW w:w="515" w:type="pct"/>
                  <w:vAlign w:val="center"/>
                </w:tcPr>
                <w:p w14:paraId="38E3F893">
                  <w:pPr>
                    <w:adjustRightInd w:val="0"/>
                    <w:snapToGrid w:val="0"/>
                    <w:jc w:val="center"/>
                    <w:rPr>
                      <w:kern w:val="0"/>
                      <w:szCs w:val="21"/>
                    </w:rPr>
                  </w:pPr>
                  <w:r>
                    <w:rPr>
                      <w:kern w:val="0"/>
                      <w:szCs w:val="21"/>
                    </w:rPr>
                    <w:t>产生量（t/a）</w:t>
                  </w:r>
                </w:p>
              </w:tc>
              <w:tc>
                <w:tcPr>
                  <w:tcW w:w="488" w:type="pct"/>
                  <w:vAlign w:val="center"/>
                </w:tcPr>
                <w:p w14:paraId="5AFBB1C1">
                  <w:pPr>
                    <w:adjustRightInd w:val="0"/>
                    <w:snapToGrid w:val="0"/>
                    <w:jc w:val="center"/>
                    <w:rPr>
                      <w:kern w:val="0"/>
                      <w:szCs w:val="21"/>
                    </w:rPr>
                  </w:pPr>
                  <w:r>
                    <w:rPr>
                      <w:kern w:val="0"/>
                      <w:szCs w:val="21"/>
                    </w:rPr>
                    <w:t>产生工序及装置</w:t>
                  </w:r>
                </w:p>
              </w:tc>
              <w:tc>
                <w:tcPr>
                  <w:tcW w:w="259" w:type="pct"/>
                  <w:vAlign w:val="center"/>
                </w:tcPr>
                <w:p w14:paraId="38A21DBF">
                  <w:pPr>
                    <w:adjustRightInd w:val="0"/>
                    <w:snapToGrid w:val="0"/>
                    <w:jc w:val="center"/>
                    <w:rPr>
                      <w:kern w:val="0"/>
                      <w:szCs w:val="21"/>
                    </w:rPr>
                  </w:pPr>
                  <w:r>
                    <w:rPr>
                      <w:kern w:val="0"/>
                      <w:szCs w:val="21"/>
                    </w:rPr>
                    <w:t>形态</w:t>
                  </w:r>
                </w:p>
              </w:tc>
              <w:tc>
                <w:tcPr>
                  <w:tcW w:w="452" w:type="pct"/>
                  <w:vAlign w:val="center"/>
                </w:tcPr>
                <w:p w14:paraId="7FBDA306">
                  <w:pPr>
                    <w:adjustRightInd w:val="0"/>
                    <w:snapToGrid w:val="0"/>
                    <w:jc w:val="center"/>
                    <w:rPr>
                      <w:kern w:val="0"/>
                      <w:szCs w:val="21"/>
                    </w:rPr>
                  </w:pPr>
                  <w:r>
                    <w:rPr>
                      <w:kern w:val="0"/>
                      <w:szCs w:val="21"/>
                    </w:rPr>
                    <w:t>主要成分</w:t>
                  </w:r>
                </w:p>
              </w:tc>
              <w:tc>
                <w:tcPr>
                  <w:tcW w:w="393" w:type="pct"/>
                  <w:vAlign w:val="center"/>
                </w:tcPr>
                <w:p w14:paraId="2FC7DB81">
                  <w:pPr>
                    <w:adjustRightInd w:val="0"/>
                    <w:snapToGrid w:val="0"/>
                    <w:jc w:val="center"/>
                    <w:rPr>
                      <w:kern w:val="0"/>
                      <w:szCs w:val="21"/>
                    </w:rPr>
                  </w:pPr>
                  <w:r>
                    <w:rPr>
                      <w:kern w:val="0"/>
                      <w:szCs w:val="21"/>
                    </w:rPr>
                    <w:t>产废周期</w:t>
                  </w:r>
                </w:p>
              </w:tc>
              <w:tc>
                <w:tcPr>
                  <w:tcW w:w="427" w:type="pct"/>
                  <w:vAlign w:val="center"/>
                </w:tcPr>
                <w:p w14:paraId="36A685C0">
                  <w:pPr>
                    <w:adjustRightInd w:val="0"/>
                    <w:snapToGrid w:val="0"/>
                    <w:jc w:val="center"/>
                    <w:rPr>
                      <w:kern w:val="0"/>
                      <w:szCs w:val="21"/>
                    </w:rPr>
                  </w:pPr>
                  <w:r>
                    <w:rPr>
                      <w:kern w:val="0"/>
                      <w:szCs w:val="21"/>
                    </w:rPr>
                    <w:t>危险特性</w:t>
                  </w:r>
                </w:p>
              </w:tc>
              <w:tc>
                <w:tcPr>
                  <w:tcW w:w="507" w:type="pct"/>
                  <w:vAlign w:val="center"/>
                </w:tcPr>
                <w:p w14:paraId="10B4906F">
                  <w:pPr>
                    <w:adjustRightInd w:val="0"/>
                    <w:snapToGrid w:val="0"/>
                    <w:jc w:val="center"/>
                    <w:rPr>
                      <w:kern w:val="0"/>
                      <w:szCs w:val="21"/>
                    </w:rPr>
                  </w:pPr>
                  <w:r>
                    <w:rPr>
                      <w:kern w:val="0"/>
                      <w:szCs w:val="21"/>
                    </w:rPr>
                    <w:t>防治措施</w:t>
                  </w:r>
                </w:p>
              </w:tc>
            </w:tr>
            <w:tr w14:paraId="158F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 w:type="pct"/>
                  <w:vAlign w:val="center"/>
                </w:tcPr>
                <w:p w14:paraId="183168CA">
                  <w:pPr>
                    <w:adjustRightInd w:val="0"/>
                    <w:snapToGrid w:val="0"/>
                    <w:jc w:val="center"/>
                    <w:rPr>
                      <w:kern w:val="0"/>
                      <w:szCs w:val="21"/>
                    </w:rPr>
                  </w:pPr>
                  <w:r>
                    <w:rPr>
                      <w:kern w:val="0"/>
                      <w:szCs w:val="21"/>
                    </w:rPr>
                    <w:t>1</w:t>
                  </w:r>
                </w:p>
              </w:tc>
              <w:tc>
                <w:tcPr>
                  <w:tcW w:w="446" w:type="pct"/>
                  <w:vAlign w:val="center"/>
                </w:tcPr>
                <w:p w14:paraId="06244850">
                  <w:pPr>
                    <w:jc w:val="center"/>
                    <w:rPr>
                      <w:bCs/>
                      <w:kern w:val="0"/>
                      <w:szCs w:val="21"/>
                    </w:rPr>
                  </w:pPr>
                  <w:r>
                    <w:rPr>
                      <w:bCs/>
                      <w:kern w:val="0"/>
                      <w:szCs w:val="21"/>
                    </w:rPr>
                    <w:t>废机油</w:t>
                  </w:r>
                </w:p>
              </w:tc>
              <w:tc>
                <w:tcPr>
                  <w:tcW w:w="521" w:type="pct"/>
                  <w:vAlign w:val="center"/>
                </w:tcPr>
                <w:p w14:paraId="57D180B7">
                  <w:pPr>
                    <w:adjustRightInd w:val="0"/>
                    <w:snapToGrid w:val="0"/>
                    <w:jc w:val="center"/>
                    <w:rPr>
                      <w:kern w:val="0"/>
                      <w:szCs w:val="21"/>
                    </w:rPr>
                  </w:pPr>
                  <w:r>
                    <w:rPr>
                      <w:kern w:val="0"/>
                      <w:szCs w:val="21"/>
                    </w:rPr>
                    <w:t>HW08废矿物油与含矿物油废物</w:t>
                  </w:r>
                </w:p>
              </w:tc>
              <w:tc>
                <w:tcPr>
                  <w:tcW w:w="728" w:type="pct"/>
                  <w:vAlign w:val="center"/>
                </w:tcPr>
                <w:p w14:paraId="4CC69828">
                  <w:pPr>
                    <w:adjustRightInd w:val="0"/>
                    <w:snapToGrid w:val="0"/>
                    <w:jc w:val="center"/>
                    <w:rPr>
                      <w:kern w:val="0"/>
                      <w:szCs w:val="21"/>
                    </w:rPr>
                  </w:pPr>
                  <w:r>
                    <w:rPr>
                      <w:kern w:val="0"/>
                      <w:szCs w:val="21"/>
                    </w:rPr>
                    <w:t>900-249-08</w:t>
                  </w:r>
                </w:p>
              </w:tc>
              <w:tc>
                <w:tcPr>
                  <w:tcW w:w="515" w:type="pct"/>
                  <w:vAlign w:val="center"/>
                </w:tcPr>
                <w:p w14:paraId="0A76027C">
                  <w:pPr>
                    <w:spacing w:line="240" w:lineRule="exact"/>
                    <w:jc w:val="center"/>
                    <w:rPr>
                      <w:rFonts w:hint="default" w:eastAsia="宋体"/>
                      <w:kern w:val="0"/>
                      <w:szCs w:val="21"/>
                      <w:lang w:val="en-US" w:eastAsia="zh-CN"/>
                    </w:rPr>
                  </w:pPr>
                  <w:r>
                    <w:rPr>
                      <w:rFonts w:hint="eastAsia"/>
                      <w:kern w:val="0"/>
                      <w:szCs w:val="21"/>
                      <w:lang w:val="en-US" w:eastAsia="zh-CN"/>
                    </w:rPr>
                    <w:t>0.5</w:t>
                  </w:r>
                </w:p>
              </w:tc>
              <w:tc>
                <w:tcPr>
                  <w:tcW w:w="488" w:type="pct"/>
                  <w:vAlign w:val="center"/>
                </w:tcPr>
                <w:p w14:paraId="46A6AFA6">
                  <w:pPr>
                    <w:jc w:val="center"/>
                    <w:rPr>
                      <w:kern w:val="0"/>
                      <w:szCs w:val="21"/>
                    </w:rPr>
                  </w:pPr>
                  <w:r>
                    <w:rPr>
                      <w:bCs/>
                      <w:kern w:val="0"/>
                      <w:szCs w:val="21"/>
                    </w:rPr>
                    <w:t>设备运行</w:t>
                  </w:r>
                </w:p>
              </w:tc>
              <w:tc>
                <w:tcPr>
                  <w:tcW w:w="259" w:type="pct"/>
                  <w:vAlign w:val="center"/>
                </w:tcPr>
                <w:p w14:paraId="65024B36">
                  <w:pPr>
                    <w:adjustRightInd w:val="0"/>
                    <w:snapToGrid w:val="0"/>
                    <w:jc w:val="center"/>
                    <w:rPr>
                      <w:kern w:val="0"/>
                      <w:szCs w:val="21"/>
                    </w:rPr>
                  </w:pPr>
                  <w:r>
                    <w:rPr>
                      <w:kern w:val="0"/>
                      <w:szCs w:val="21"/>
                    </w:rPr>
                    <w:t>液态</w:t>
                  </w:r>
                </w:p>
              </w:tc>
              <w:tc>
                <w:tcPr>
                  <w:tcW w:w="452" w:type="pct"/>
                  <w:vAlign w:val="center"/>
                </w:tcPr>
                <w:p w14:paraId="37B282AC">
                  <w:pPr>
                    <w:adjustRightInd w:val="0"/>
                    <w:snapToGrid w:val="0"/>
                    <w:jc w:val="center"/>
                    <w:rPr>
                      <w:bCs/>
                      <w:kern w:val="0"/>
                      <w:szCs w:val="21"/>
                    </w:rPr>
                  </w:pPr>
                  <w:r>
                    <w:rPr>
                      <w:bCs/>
                      <w:kern w:val="0"/>
                      <w:szCs w:val="21"/>
                    </w:rPr>
                    <w:t>矿物油</w:t>
                  </w:r>
                </w:p>
              </w:tc>
              <w:tc>
                <w:tcPr>
                  <w:tcW w:w="393" w:type="pct"/>
                  <w:vAlign w:val="center"/>
                </w:tcPr>
                <w:p w14:paraId="5A303B13">
                  <w:pPr>
                    <w:adjustRightInd w:val="0"/>
                    <w:snapToGrid w:val="0"/>
                    <w:jc w:val="center"/>
                    <w:rPr>
                      <w:kern w:val="0"/>
                      <w:szCs w:val="21"/>
                    </w:rPr>
                  </w:pPr>
                  <w:r>
                    <w:rPr>
                      <w:szCs w:val="21"/>
                    </w:rPr>
                    <w:t>3个月</w:t>
                  </w:r>
                </w:p>
              </w:tc>
              <w:tc>
                <w:tcPr>
                  <w:tcW w:w="427" w:type="pct"/>
                  <w:vAlign w:val="center"/>
                </w:tcPr>
                <w:p w14:paraId="3409034D">
                  <w:pPr>
                    <w:adjustRightInd w:val="0"/>
                    <w:snapToGrid w:val="0"/>
                    <w:jc w:val="center"/>
                    <w:rPr>
                      <w:kern w:val="0"/>
                      <w:szCs w:val="21"/>
                    </w:rPr>
                  </w:pPr>
                  <w:r>
                    <w:rPr>
                      <w:kern w:val="0"/>
                      <w:szCs w:val="21"/>
                    </w:rPr>
                    <w:t>T，I</w:t>
                  </w:r>
                </w:p>
              </w:tc>
              <w:tc>
                <w:tcPr>
                  <w:tcW w:w="507" w:type="pct"/>
                  <w:vAlign w:val="center"/>
                </w:tcPr>
                <w:p w14:paraId="14F25CAA">
                  <w:pPr>
                    <w:adjustRightInd w:val="0"/>
                    <w:snapToGrid w:val="0"/>
                    <w:jc w:val="center"/>
                    <w:rPr>
                      <w:kern w:val="0"/>
                      <w:szCs w:val="21"/>
                    </w:rPr>
                  </w:pPr>
                  <w:r>
                    <w:rPr>
                      <w:kern w:val="0"/>
                      <w:szCs w:val="21"/>
                    </w:rPr>
                    <w:t>委托有资质单位处理</w:t>
                  </w:r>
                </w:p>
              </w:tc>
            </w:tr>
          </w:tbl>
          <w:p w14:paraId="606AE1C0">
            <w:pPr>
              <w:adjustRightInd w:val="0"/>
              <w:snapToGrid w:val="0"/>
              <w:spacing w:before="120" w:beforeLines="50" w:line="360" w:lineRule="auto"/>
              <w:ind w:firstLine="482" w:firstLineChars="200"/>
              <w:rPr>
                <w:b/>
                <w:bCs/>
                <w:kern w:val="0"/>
                <w:sz w:val="24"/>
              </w:rPr>
            </w:pPr>
            <w:r>
              <w:rPr>
                <w:rFonts w:hint="eastAsia"/>
                <w:b/>
                <w:bCs/>
                <w:kern w:val="0"/>
                <w:sz w:val="24"/>
              </w:rPr>
              <w:t>环境管理要求：</w:t>
            </w:r>
          </w:p>
          <w:p w14:paraId="486509AD">
            <w:pPr>
              <w:adjustRightInd w:val="0"/>
              <w:snapToGrid w:val="0"/>
              <w:spacing w:line="360" w:lineRule="auto"/>
              <w:ind w:firstLine="480" w:firstLineChars="200"/>
              <w:rPr>
                <w:kern w:val="0"/>
                <w:sz w:val="24"/>
              </w:rPr>
            </w:pPr>
            <w:r>
              <w:rPr>
                <w:kern w:val="0"/>
                <w:sz w:val="24"/>
              </w:rPr>
              <w:t>本项目产生的</w:t>
            </w:r>
            <w:r>
              <w:rPr>
                <w:rFonts w:hint="eastAsia"/>
                <w:kern w:val="0"/>
                <w:sz w:val="24"/>
                <w:lang w:eastAsia="zh-CN"/>
              </w:rPr>
              <w:t>除尘器收集粉尘</w:t>
            </w:r>
            <w:r>
              <w:rPr>
                <w:rFonts w:hint="eastAsia"/>
                <w:kern w:val="0"/>
                <w:sz w:val="24"/>
              </w:rPr>
              <w:t>回用于生产，</w:t>
            </w:r>
            <w:r>
              <w:rPr>
                <w:kern w:val="0"/>
                <w:sz w:val="24"/>
              </w:rPr>
              <w:t>废包装袋经</w:t>
            </w:r>
            <w:r>
              <w:rPr>
                <w:rFonts w:hint="eastAsia"/>
                <w:kern w:val="0"/>
                <w:sz w:val="24"/>
              </w:rPr>
              <w:t>厂</w:t>
            </w:r>
            <w:r>
              <w:rPr>
                <w:kern w:val="0"/>
                <w:sz w:val="24"/>
              </w:rPr>
              <w:t>内集中收集后</w:t>
            </w:r>
            <w:r>
              <w:rPr>
                <w:rFonts w:hint="eastAsia"/>
                <w:kern w:val="0"/>
                <w:sz w:val="24"/>
              </w:rPr>
              <w:t>交由物资回收部门回收利用，废机油经</w:t>
            </w:r>
            <w:r>
              <w:rPr>
                <w:kern w:val="0"/>
                <w:sz w:val="24"/>
              </w:rPr>
              <w:t>于厂内危废暂存间暂存后委托有资质单位妥善处置。</w:t>
            </w:r>
            <w:r>
              <w:rPr>
                <w:rFonts w:hint="eastAsia"/>
                <w:sz w:val="24"/>
              </w:rPr>
              <w:t>生活垃圾</w:t>
            </w:r>
            <w:r>
              <w:rPr>
                <w:sz w:val="24"/>
              </w:rPr>
              <w:t>集中收集后交由环卫部门清运处理</w:t>
            </w:r>
            <w:r>
              <w:rPr>
                <w:rFonts w:hint="eastAsia"/>
                <w:sz w:val="24"/>
              </w:rPr>
              <w:t>。</w:t>
            </w:r>
          </w:p>
          <w:p w14:paraId="6FD3C8CE">
            <w:pPr>
              <w:adjustRightInd w:val="0"/>
              <w:snapToGrid w:val="0"/>
              <w:spacing w:line="360" w:lineRule="auto"/>
              <w:ind w:firstLine="480" w:firstLineChars="200"/>
              <w:rPr>
                <w:color w:val="auto"/>
                <w:kern w:val="0"/>
                <w:sz w:val="24"/>
              </w:rPr>
            </w:pPr>
            <w:r>
              <w:rPr>
                <w:color w:val="auto"/>
                <w:sz w:val="24"/>
              </w:rPr>
              <w:t>本次环评要求建设单位在厂区内设置一般工业固体废物暂存间</w:t>
            </w:r>
            <w:r>
              <w:rPr>
                <w:rFonts w:hint="eastAsia"/>
                <w:color w:val="auto"/>
                <w:sz w:val="24"/>
              </w:rPr>
              <w:t>，</w:t>
            </w:r>
            <w:r>
              <w:rPr>
                <w:color w:val="auto"/>
                <w:sz w:val="24"/>
              </w:rPr>
              <w:t>位于</w:t>
            </w:r>
            <w:r>
              <w:rPr>
                <w:rFonts w:hint="eastAsia"/>
                <w:color w:val="auto"/>
                <w:sz w:val="24"/>
                <w:lang w:eastAsia="zh-CN"/>
              </w:rPr>
              <w:t>厂区西北侧</w:t>
            </w:r>
            <w:r>
              <w:rPr>
                <w:color w:val="auto"/>
                <w:sz w:val="24"/>
              </w:rPr>
              <w:t>，占地</w:t>
            </w:r>
            <w:r>
              <w:rPr>
                <w:rFonts w:hint="eastAsia"/>
                <w:color w:val="auto"/>
                <w:sz w:val="24"/>
              </w:rPr>
              <w:t>面积</w:t>
            </w:r>
            <w:r>
              <w:rPr>
                <w:rFonts w:hint="eastAsia"/>
                <w:color w:val="auto"/>
                <w:sz w:val="24"/>
                <w:lang w:val="en-US" w:eastAsia="zh-CN"/>
              </w:rPr>
              <w:t>2</w:t>
            </w:r>
            <w:r>
              <w:rPr>
                <w:rFonts w:hint="eastAsia"/>
                <w:color w:val="auto"/>
                <w:sz w:val="24"/>
              </w:rPr>
              <w:t>0</w:t>
            </w:r>
            <w:r>
              <w:rPr>
                <w:color w:val="auto"/>
                <w:sz w:val="24"/>
              </w:rPr>
              <w:t>m</w:t>
            </w:r>
            <w:r>
              <w:rPr>
                <w:color w:val="auto"/>
                <w:sz w:val="24"/>
                <w:vertAlign w:val="superscript"/>
              </w:rPr>
              <w:t>2</w:t>
            </w:r>
            <w:r>
              <w:rPr>
                <w:rFonts w:hint="eastAsia"/>
                <w:color w:val="auto"/>
                <w:sz w:val="24"/>
              </w:rPr>
              <w:t>，</w:t>
            </w:r>
            <w:r>
              <w:rPr>
                <w:color w:val="auto"/>
                <w:sz w:val="24"/>
              </w:rPr>
              <w:t>应按照《一般工业固体废物贮存</w:t>
            </w:r>
            <w:r>
              <w:rPr>
                <w:rFonts w:hint="eastAsia"/>
                <w:color w:val="auto"/>
                <w:sz w:val="24"/>
              </w:rPr>
              <w:t>和填埋污染控制标准</w:t>
            </w:r>
            <w:r>
              <w:rPr>
                <w:color w:val="auto"/>
                <w:sz w:val="24"/>
              </w:rPr>
              <w:t>》（GB18599-20</w:t>
            </w:r>
            <w:r>
              <w:rPr>
                <w:rFonts w:hint="eastAsia"/>
                <w:color w:val="auto"/>
                <w:sz w:val="24"/>
              </w:rPr>
              <w:t>20</w:t>
            </w:r>
            <w:r>
              <w:rPr>
                <w:color w:val="auto"/>
                <w:sz w:val="24"/>
              </w:rPr>
              <w:t>）进行管理。</w:t>
            </w:r>
          </w:p>
          <w:p w14:paraId="32EABB9E">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本项目危险废物暂存于项目区内危废暂存</w:t>
            </w:r>
            <w:r>
              <w:rPr>
                <w:rFonts w:hint="eastAsia"/>
                <w:color w:val="000000" w:themeColor="text1"/>
                <w:kern w:val="0"/>
                <w:sz w:val="24"/>
                <w14:textFill>
                  <w14:solidFill>
                    <w14:schemeClr w14:val="tx1"/>
                  </w14:solidFill>
                </w14:textFill>
              </w:rPr>
              <w:t>间</w:t>
            </w:r>
            <w:r>
              <w:rPr>
                <w:color w:val="000000" w:themeColor="text1"/>
                <w:kern w:val="0"/>
                <w:sz w:val="24"/>
                <w14:textFill>
                  <w14:solidFill>
                    <w14:schemeClr w14:val="tx1"/>
                  </w14:solidFill>
                </w14:textFill>
              </w:rPr>
              <w:t>中，占地</w:t>
            </w:r>
            <w:r>
              <w:rPr>
                <w:rFonts w:hint="eastAsia"/>
                <w:color w:val="000000" w:themeColor="text1"/>
                <w:kern w:val="0"/>
                <w:sz w:val="24"/>
                <w14:textFill>
                  <w14:solidFill>
                    <w14:schemeClr w14:val="tx1"/>
                  </w14:solidFill>
                </w14:textFill>
              </w:rPr>
              <w:t>面积10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一般固废不得与危险废物混合，需分开存放并及时处置，危险固废定期委托有资质单位处置。根据《危险废物贮存污染控制标准》（GB18597-20</w:t>
            </w:r>
            <w:r>
              <w:rPr>
                <w:rFonts w:hint="eastAsia"/>
                <w:color w:val="000000" w:themeColor="text1"/>
                <w:kern w:val="0"/>
                <w:sz w:val="24"/>
                <w14:textFill>
                  <w14:solidFill>
                    <w14:schemeClr w14:val="tx1"/>
                  </w14:solidFill>
                </w14:textFill>
              </w:rPr>
              <w:t>23</w:t>
            </w:r>
            <w:r>
              <w:rPr>
                <w:color w:val="000000" w:themeColor="text1"/>
                <w:kern w:val="0"/>
                <w:sz w:val="24"/>
                <w14:textFill>
                  <w14:solidFill>
                    <w14:schemeClr w14:val="tx1"/>
                  </w14:solidFill>
                </w14:textFill>
              </w:rPr>
              <w:t>）有关规定，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合，需分开存放并及时处置，危险固废定期委托有资质单位处置。</w:t>
            </w:r>
          </w:p>
          <w:p w14:paraId="3F87FBDA">
            <w:pPr>
              <w:adjustRightInd w:val="0"/>
              <w:snapToGrid w:val="0"/>
              <w:spacing w:line="360" w:lineRule="auto"/>
              <w:ind w:firstLine="480" w:firstLineChars="200"/>
              <w:jc w:val="left"/>
              <w:rPr>
                <w:kern w:val="0"/>
                <w:sz w:val="24"/>
              </w:rPr>
            </w:pPr>
            <w:r>
              <w:rPr>
                <w:kern w:val="0"/>
                <w:sz w:val="24"/>
              </w:rPr>
              <w:t>①危废暂存</w:t>
            </w:r>
            <w:r>
              <w:rPr>
                <w:rFonts w:hint="eastAsia"/>
                <w:kern w:val="0"/>
                <w:sz w:val="24"/>
              </w:rPr>
              <w:t>间</w:t>
            </w:r>
            <w:r>
              <w:rPr>
                <w:kern w:val="0"/>
                <w:sz w:val="24"/>
              </w:rPr>
              <w:t>设计时遵循以下原则：</w:t>
            </w:r>
          </w:p>
          <w:p w14:paraId="2EAD024D">
            <w:pPr>
              <w:adjustRightInd w:val="0"/>
              <w:snapToGrid w:val="0"/>
              <w:spacing w:line="360" w:lineRule="auto"/>
              <w:ind w:firstLine="480" w:firstLineChars="200"/>
              <w:jc w:val="left"/>
              <w:rPr>
                <w:kern w:val="0"/>
                <w:sz w:val="24"/>
              </w:rPr>
            </w:pPr>
            <w:r>
              <w:rPr>
                <w:kern w:val="0"/>
                <w:sz w:val="24"/>
              </w:rPr>
              <w:t>1）危废暂存</w:t>
            </w:r>
            <w:r>
              <w:rPr>
                <w:rFonts w:hint="eastAsia"/>
                <w:kern w:val="0"/>
                <w:sz w:val="24"/>
              </w:rPr>
              <w:t>间内不同贮存分区之间应采取隔离措施。隔离措施可根据危险废物特性采用过道、隔板或隔墙等方式。</w:t>
            </w:r>
          </w:p>
          <w:p w14:paraId="77D51FC1">
            <w:pPr>
              <w:adjustRightInd w:val="0"/>
              <w:snapToGrid w:val="0"/>
              <w:spacing w:line="360" w:lineRule="auto"/>
              <w:ind w:firstLine="480" w:firstLineChars="200"/>
              <w:jc w:val="left"/>
              <w:rPr>
                <w:kern w:val="0"/>
                <w:sz w:val="24"/>
              </w:rPr>
            </w:pPr>
            <w:r>
              <w:rPr>
                <w:kern w:val="0"/>
                <w:sz w:val="24"/>
              </w:rPr>
              <w:t>2）</w:t>
            </w:r>
            <w:r>
              <w:rPr>
                <w:rFonts w:hint="eastAsia"/>
                <w:kern w:val="0"/>
                <w:sz w:val="24"/>
              </w:rPr>
              <w:t>在</w:t>
            </w:r>
            <w:r>
              <w:rPr>
                <w:kern w:val="0"/>
                <w:sz w:val="24"/>
              </w:rPr>
              <w:t>危废暂存</w:t>
            </w:r>
            <w:r>
              <w:rPr>
                <w:rFonts w:hint="eastAsia"/>
                <w:kern w:val="0"/>
                <w:sz w:val="24"/>
              </w:rPr>
              <w:t>间内或通过贮存分区方式贮存液态危险废物的，应具有液体泄漏堵截设施，堵截设施最小容积不应低于对应贮存区域最大液态废物容器容积或液态废物总储量 1/10（二者取较大者）；用于贮存可能产生渗滤液的危险废物的</w:t>
            </w:r>
            <w:r>
              <w:rPr>
                <w:kern w:val="0"/>
                <w:sz w:val="24"/>
              </w:rPr>
              <w:t>危废暂存</w:t>
            </w:r>
            <w:r>
              <w:rPr>
                <w:rFonts w:hint="eastAsia"/>
                <w:kern w:val="0"/>
                <w:sz w:val="24"/>
              </w:rPr>
              <w:t>间或贮存分区应设计渗滤液收集设施，收集设施容积应满足渗滤液的收集要求。</w:t>
            </w:r>
          </w:p>
          <w:p w14:paraId="0FCEC85E">
            <w:pPr>
              <w:adjustRightInd w:val="0"/>
              <w:snapToGrid w:val="0"/>
              <w:spacing w:line="360" w:lineRule="auto"/>
              <w:ind w:firstLine="480" w:firstLineChars="200"/>
              <w:jc w:val="left"/>
              <w:rPr>
                <w:kern w:val="0"/>
                <w:sz w:val="24"/>
              </w:rPr>
            </w:pPr>
            <w:r>
              <w:rPr>
                <w:kern w:val="0"/>
                <w:sz w:val="24"/>
              </w:rPr>
              <w:t>3）</w:t>
            </w:r>
            <w:r>
              <w:rPr>
                <w:rFonts w:hint="eastAsia"/>
                <w:kern w:val="0"/>
                <w:sz w:val="24"/>
              </w:rPr>
              <w:t>贮存易产生</w:t>
            </w:r>
            <w:r>
              <w:rPr>
                <w:rFonts w:hint="eastAsia"/>
                <w:kern w:val="0"/>
                <w:sz w:val="24"/>
                <w:lang w:eastAsia="zh-CN"/>
              </w:rPr>
              <w:t>颗粒物</w:t>
            </w:r>
            <w:r>
              <w:rPr>
                <w:rFonts w:hint="eastAsia"/>
                <w:kern w:val="0"/>
                <w:sz w:val="24"/>
              </w:rPr>
              <w:t>、有毒有害大气污染物和刺激性气味气体的危险废物贮存库，应设置气体收集装置和气体净化设施；气体净化设施的排气筒高度应符合 GB 16297 要求</w:t>
            </w:r>
            <w:r>
              <w:rPr>
                <w:kern w:val="0"/>
                <w:sz w:val="24"/>
              </w:rPr>
              <w:t>。</w:t>
            </w:r>
          </w:p>
          <w:p w14:paraId="0826F636">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w:t>
            </w:r>
            <w:r>
              <w:rPr>
                <w:rFonts w:hint="eastAsia"/>
                <w:color w:val="000000" w:themeColor="text1"/>
                <w:kern w:val="0"/>
                <w:sz w:val="24"/>
                <w14:textFill>
                  <w14:solidFill>
                    <w14:schemeClr w14:val="tx1"/>
                  </w14:solidFill>
                </w14:textFill>
              </w:rPr>
              <w:t xml:space="preserve"> </w:t>
            </w:r>
            <w:r>
              <w:rPr>
                <w:color w:val="000000" w:themeColor="text1"/>
                <w:kern w:val="0"/>
                <w:sz w:val="24"/>
                <w14:textFill>
                  <w14:solidFill>
                    <w14:schemeClr w14:val="tx1"/>
                  </w14:solidFill>
                </w14:textFill>
              </w:rPr>
              <w:t>同时应对危险废物存放设施实施严格的管理：</w:t>
            </w:r>
          </w:p>
          <w:p w14:paraId="677E360B">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危险废物存入贮存设施前应对危险废物类别和特性与危险废物标签等危险废物识别标志的一致性进行核验，不一致的或类别、特性不明的不应存入。</w:t>
            </w:r>
          </w:p>
          <w:p w14:paraId="393CC4E6">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p w14:paraId="0B14106C">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w:t>
            </w:r>
            <w:r>
              <w:rPr>
                <w:rFonts w:hint="eastAsia"/>
                <w:color w:val="000000" w:themeColor="text1"/>
                <w:kern w:val="0"/>
                <w:sz w:val="24"/>
                <w14:textFill>
                  <w14:solidFill>
                    <w14:schemeClr w14:val="tx1"/>
                  </w14:solidFill>
                </w14:textFill>
              </w:rPr>
              <w:t>作业设备及车辆等结束作业离开贮存设施时，应对其残留的危险废物进行清理，清理的废物或清洗废水应收集处理。</w:t>
            </w:r>
          </w:p>
          <w:p w14:paraId="0881CC31">
            <w:p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w:t>
            </w:r>
            <w:r>
              <w:rPr>
                <w:rFonts w:hint="eastAsia"/>
                <w:color w:val="000000" w:themeColor="text1"/>
                <w:kern w:val="0"/>
                <w:sz w:val="24"/>
                <w14:textFill>
                  <w14:solidFill>
                    <w14:schemeClr w14:val="tx1"/>
                  </w14:solidFill>
                </w14:textFill>
              </w:rPr>
              <w:t>贮存设施运行期间，应按国家有关标准和规定建立危险废物管理台账并保存。</w:t>
            </w:r>
          </w:p>
          <w:p w14:paraId="7FE3F6D1">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w:t>
            </w:r>
            <w:r>
              <w:rPr>
                <w:rFonts w:hint="eastAsia"/>
                <w:color w:val="000000" w:themeColor="text1"/>
                <w:kern w:val="0"/>
                <w:sz w:val="24"/>
                <w14:textFill>
                  <w14:solidFill>
                    <w14:schemeClr w14:val="tx1"/>
                  </w14:solidFill>
                </w14:textFill>
              </w:rPr>
              <w:t>贮存设施所有者或运营者应建立贮存设施环境管理制度、管理人员岗位职责制度、设施运行操作制度、人员岗位培训制度等。</w:t>
            </w:r>
          </w:p>
          <w:p w14:paraId="73D38E41">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6）贮存设施所有者或运营者应依据国家土壤和地下水污染防治的有关规定，结合贮存设施特点建立土壤和地下水污染隐患排查制度，并定期开展隐患排查；发现隐患应及时采取措施消除隐患，并建立档案。</w:t>
            </w:r>
          </w:p>
          <w:p w14:paraId="3E65B4FF">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7）贮存设施所有者或运营者应建立贮存设施全部档案，包括设计、施工、验收、运行、监测和环境应急等，应按国家有关档案管理的法律法规进行整理和归档。</w:t>
            </w:r>
          </w:p>
          <w:p w14:paraId="22FDB7AA">
            <w:pPr>
              <w:widowControl/>
              <w:adjustRightInd w:val="0"/>
              <w:snapToGrid w:val="0"/>
              <w:spacing w:line="360" w:lineRule="auto"/>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5、地下水、土壤环境</w:t>
            </w:r>
          </w:p>
          <w:p w14:paraId="61240084">
            <w:pPr>
              <w:pStyle w:val="2"/>
              <w:ind w:left="0" w:leftChars="0" w:firstLine="480" w:firstLineChars="200"/>
              <w:rPr>
                <w:color w:val="000000" w:themeColor="text1"/>
                <w14:textFill>
                  <w14:solidFill>
                    <w14:schemeClr w14:val="tx1"/>
                  </w14:solidFill>
                </w14:textFill>
              </w:rPr>
            </w:pPr>
            <w:r>
              <w:rPr>
                <w:color w:val="000000" w:themeColor="text1"/>
                <w:szCs w:val="24"/>
                <w14:textFill>
                  <w14:solidFill>
                    <w14:schemeClr w14:val="tx1"/>
                  </w14:solidFill>
                </w14:textFill>
              </w:rPr>
              <w:t>（1）地下水环境</w:t>
            </w:r>
          </w:p>
          <w:p w14:paraId="5EED28FB">
            <w:pPr>
              <w:widowControl/>
              <w:adjustRightInd w:val="0"/>
              <w:snapToGrid w:val="0"/>
              <w:spacing w:line="360" w:lineRule="auto"/>
              <w:ind w:firstLine="482" w:firstLineChars="200"/>
              <w:jc w:val="left"/>
              <w:rPr>
                <w:b/>
                <w:bCs/>
                <w:color w:val="auto"/>
                <w:kern w:val="0"/>
                <w:sz w:val="24"/>
              </w:rPr>
            </w:pPr>
            <w:r>
              <w:rPr>
                <w:b/>
                <w:bCs/>
                <w:color w:val="auto"/>
                <w:kern w:val="0"/>
                <w:sz w:val="24"/>
              </w:rPr>
              <w:t>地下水污染途径</w:t>
            </w:r>
            <w:r>
              <w:rPr>
                <w:rFonts w:hint="eastAsia"/>
                <w:b/>
                <w:bCs/>
                <w:color w:val="auto"/>
                <w:kern w:val="0"/>
                <w:sz w:val="24"/>
              </w:rPr>
              <w:t>：</w:t>
            </w:r>
          </w:p>
          <w:p w14:paraId="3D78A7DE">
            <w:pPr>
              <w:widowControl/>
              <w:adjustRightInd w:val="0"/>
              <w:snapToGrid w:val="0"/>
              <w:spacing w:line="360" w:lineRule="auto"/>
              <w:ind w:firstLine="480" w:firstLineChars="200"/>
              <w:jc w:val="left"/>
              <w:rPr>
                <w:color w:val="auto"/>
                <w:kern w:val="0"/>
                <w:sz w:val="24"/>
              </w:rPr>
            </w:pPr>
            <w:r>
              <w:rPr>
                <w:color w:val="auto"/>
                <w:kern w:val="0"/>
                <w:sz w:val="24"/>
              </w:rPr>
              <w:t>①危险废物暂存</w:t>
            </w:r>
            <w:r>
              <w:rPr>
                <w:rFonts w:hint="eastAsia"/>
                <w:color w:val="auto"/>
                <w:kern w:val="0"/>
                <w:sz w:val="24"/>
              </w:rPr>
              <w:t>间</w:t>
            </w:r>
            <w:r>
              <w:rPr>
                <w:rFonts w:hint="eastAsia"/>
                <w:color w:val="auto"/>
                <w:kern w:val="0"/>
                <w:sz w:val="24"/>
                <w:lang w:eastAsia="zh-CN"/>
              </w:rPr>
              <w:t>、污泥储存区、沉淀池</w:t>
            </w:r>
            <w:r>
              <w:rPr>
                <w:rFonts w:hint="eastAsia"/>
                <w:color w:val="auto"/>
                <w:kern w:val="0"/>
                <w:sz w:val="24"/>
              </w:rPr>
              <w:t>未进行防腐、防渗处理，以跑、冒、滴、漏方式渗入地下水中。</w:t>
            </w:r>
          </w:p>
          <w:p w14:paraId="4BB8688B">
            <w:pPr>
              <w:widowControl/>
              <w:adjustRightInd w:val="0"/>
              <w:snapToGrid w:val="0"/>
              <w:spacing w:line="360" w:lineRule="auto"/>
              <w:ind w:firstLine="480" w:firstLineChars="200"/>
              <w:jc w:val="left"/>
              <w:rPr>
                <w:b/>
                <w:bCs/>
                <w:color w:val="auto"/>
                <w:kern w:val="0"/>
                <w:sz w:val="24"/>
              </w:rPr>
            </w:pPr>
            <w:r>
              <w:rPr>
                <w:color w:val="auto"/>
                <w:kern w:val="0"/>
                <w:sz w:val="24"/>
              </w:rPr>
              <w:t>②危险废物暂存</w:t>
            </w:r>
            <w:r>
              <w:rPr>
                <w:rFonts w:hint="eastAsia"/>
                <w:color w:val="auto"/>
                <w:kern w:val="0"/>
                <w:sz w:val="24"/>
              </w:rPr>
              <w:t>间</w:t>
            </w:r>
            <w:r>
              <w:rPr>
                <w:rFonts w:hint="eastAsia"/>
                <w:color w:val="auto"/>
                <w:kern w:val="0"/>
                <w:sz w:val="24"/>
                <w:lang w:eastAsia="zh-CN"/>
              </w:rPr>
              <w:t>、污泥储存区、沉淀池</w:t>
            </w:r>
            <w:r>
              <w:rPr>
                <w:rFonts w:hint="eastAsia"/>
                <w:color w:val="auto"/>
                <w:kern w:val="0"/>
                <w:sz w:val="24"/>
              </w:rPr>
              <w:t>长期使用或工程质量不符合要求出现破损、断裂情况造成废水下渗。</w:t>
            </w:r>
          </w:p>
          <w:p w14:paraId="0AAA5D15">
            <w:pPr>
              <w:widowControl/>
              <w:adjustRightInd w:val="0"/>
              <w:snapToGrid w:val="0"/>
              <w:spacing w:line="360" w:lineRule="auto"/>
              <w:ind w:firstLine="482" w:firstLineChars="200"/>
              <w:jc w:val="left"/>
              <w:rPr>
                <w:b/>
                <w:bCs/>
                <w:color w:val="auto"/>
                <w:kern w:val="0"/>
                <w:sz w:val="24"/>
              </w:rPr>
            </w:pPr>
            <w:r>
              <w:rPr>
                <w:rFonts w:hint="eastAsia"/>
                <w:b/>
                <w:bCs/>
                <w:color w:val="auto"/>
                <w:kern w:val="0"/>
                <w:sz w:val="24"/>
              </w:rPr>
              <w:t>地下水污染防治措施：</w:t>
            </w:r>
          </w:p>
          <w:p w14:paraId="5738C7E2">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auto"/>
                <w:kern w:val="0"/>
                <w:sz w:val="24"/>
              </w:rPr>
              <w:t>根据厂区各生产功能单元是否可能对地下水造成污染及其风险程度，将厂区划分为重点防渗区、一般防渗区和简单防渗区。重点防渗区是可能会对地下水造成污染，风险程度较高，需要重点防治的区域，主要为</w:t>
            </w:r>
            <w:r>
              <w:rPr>
                <w:color w:val="auto"/>
                <w:kern w:val="0"/>
                <w:sz w:val="24"/>
              </w:rPr>
              <w:t>危险废物暂存</w:t>
            </w:r>
            <w:r>
              <w:rPr>
                <w:rFonts w:hint="eastAsia"/>
                <w:color w:val="auto"/>
                <w:kern w:val="0"/>
                <w:sz w:val="24"/>
              </w:rPr>
              <w:t>间等区域。一般防渗区是可能会对地下水造成污染，但危害性或风险程度相对较低的区域，包括具有可能污染地下水污染源的生</w:t>
            </w:r>
            <w:r>
              <w:rPr>
                <w:rFonts w:hint="eastAsia"/>
                <w:color w:val="000000" w:themeColor="text1"/>
                <w:kern w:val="0"/>
                <w:sz w:val="24"/>
                <w14:textFill>
                  <w14:solidFill>
                    <w14:schemeClr w14:val="tx1"/>
                  </w14:solidFill>
                </w14:textFill>
              </w:rPr>
              <w:t>产车间区域，主要包括生产车间、原料仓库、成品堆放区等区域。简单防渗区为不会对地下水造成污染的区域，主要包括厂区道路等区域。</w:t>
            </w:r>
          </w:p>
          <w:p w14:paraId="5F8A5FE9">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针对本项目，为避免废水的非正常排放对地下水造成影响，应采取以下防渗措施：</w:t>
            </w:r>
          </w:p>
          <w:p w14:paraId="1B22A56A">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1）重点防渗区防渗措施</w:t>
            </w:r>
          </w:p>
          <w:p w14:paraId="5BF27481">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重点防渗区：</w:t>
            </w:r>
            <w:r>
              <w:rPr>
                <w:color w:val="auto"/>
                <w:kern w:val="0"/>
                <w:sz w:val="24"/>
              </w:rPr>
              <w:t>危险废物暂存</w:t>
            </w:r>
            <w:r>
              <w:rPr>
                <w:rFonts w:hint="eastAsia"/>
                <w:color w:val="auto"/>
                <w:kern w:val="0"/>
                <w:sz w:val="24"/>
              </w:rPr>
              <w:t>间</w:t>
            </w:r>
            <w:r>
              <w:rPr>
                <w:rFonts w:hint="eastAsia"/>
                <w:color w:val="auto"/>
                <w:kern w:val="0"/>
                <w:sz w:val="24"/>
                <w:lang w:eastAsia="zh-CN"/>
              </w:rPr>
              <w:t>、污泥储存区、沉淀池</w:t>
            </w:r>
            <w:r>
              <w:rPr>
                <w:rFonts w:hint="eastAsia"/>
                <w:color w:val="auto"/>
                <w:kern w:val="0"/>
                <w:sz w:val="24"/>
              </w:rPr>
              <w:t>等区域。</w:t>
            </w:r>
            <w:r>
              <w:rPr>
                <w:rFonts w:hint="eastAsia"/>
                <w:color w:val="000000" w:themeColor="text1"/>
                <w:kern w:val="0"/>
                <w:sz w:val="24"/>
                <w14:textFill>
                  <w14:solidFill>
                    <w14:schemeClr w14:val="tx1"/>
                  </w14:solidFill>
                </w14:textFill>
              </w:rPr>
              <w:t>针对本项目，区域采取全面防腐、防渗处理。针对重点防渗区，可通过下述措施使重点污染区各单元防渗层渗透系数</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10</w:t>
            </w:r>
            <w:r>
              <w:rPr>
                <w:rFonts w:hint="eastAsia"/>
                <w:color w:val="000000" w:themeColor="text1"/>
                <w:kern w:val="0"/>
                <w:sz w:val="24"/>
                <w:vertAlign w:val="superscript"/>
                <w14:textFill>
                  <w14:solidFill>
                    <w14:schemeClr w14:val="tx1"/>
                  </w14:solidFill>
                </w14:textFill>
              </w:rPr>
              <w:t>-10</w:t>
            </w:r>
            <w:r>
              <w:rPr>
                <w:rFonts w:hint="eastAsia"/>
                <w:color w:val="000000" w:themeColor="text1"/>
                <w:kern w:val="0"/>
                <w:sz w:val="24"/>
                <w14:textFill>
                  <w14:solidFill>
                    <w14:schemeClr w14:val="tx1"/>
                  </w14:solidFill>
                </w14:textFill>
              </w:rPr>
              <w:t>cm/s，主要采取措施（自上而下）：</w:t>
            </w:r>
          </w:p>
          <w:p w14:paraId="4BC03B94">
            <w:pPr>
              <w:widowControl/>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A、地面的表面铺1.5mm环氧树脂漆，或至少2mm厚其它人工材料，凡墙与地面相交的墙立面铺装180mm高的踢脚线；</w:t>
            </w:r>
          </w:p>
          <w:p w14:paraId="139E5CEE">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B、防渗层下铺200mm防渗混凝土，其下铺碎石稳定。</w:t>
            </w:r>
          </w:p>
          <w:p w14:paraId="0D146080">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2）一般防渗区防渗措施</w:t>
            </w:r>
          </w:p>
          <w:p w14:paraId="17ACAD72">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一般防渗区：本项目的一般防渗区主要包括生产车间、原料仓库、成品堆放区等区域。一般防渗区地面采取粘土铺底，再在上层铺10～15cm的防渗水泥进行硬化，通过上述措施可使一般污染区各单元防渗层渗透系数</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1.0×10</w:t>
            </w:r>
            <w:r>
              <w:rPr>
                <w:rFonts w:hint="eastAsia"/>
                <w:color w:val="000000" w:themeColor="text1"/>
                <w:kern w:val="0"/>
                <w:sz w:val="24"/>
                <w:vertAlign w:val="superscript"/>
                <w14:textFill>
                  <w14:solidFill>
                    <w14:schemeClr w14:val="tx1"/>
                  </w14:solidFill>
                </w14:textFill>
              </w:rPr>
              <w:t>-7</w:t>
            </w:r>
            <w:r>
              <w:rPr>
                <w:rFonts w:hint="eastAsia"/>
                <w:color w:val="000000" w:themeColor="text1"/>
                <w:kern w:val="0"/>
                <w:sz w:val="24"/>
                <w14:textFill>
                  <w14:solidFill>
                    <w14:schemeClr w14:val="tx1"/>
                  </w14:solidFill>
                </w14:textFill>
              </w:rPr>
              <w:t>cm/s。</w:t>
            </w:r>
          </w:p>
          <w:p w14:paraId="157A2FF7">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3）简单防渗区防渗措施</w:t>
            </w:r>
          </w:p>
          <w:p w14:paraId="0771B8F3">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简单防渗区：本项目区内除了重点防渗区和一般防渗区之外的项目区域，主要为项目区厂区内的绿化区和厂区道路等。针对简单防渗区，主要采取的防渗措施如下：</w:t>
            </w:r>
          </w:p>
          <w:p w14:paraId="3D823A13">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A、对于项目的地面进行防渗处理，采用混凝土浇铸，然后铺设防滑磁砖方式防渗，其厚度≮25cm。</w:t>
            </w:r>
          </w:p>
          <w:p w14:paraId="5C711B1C">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B、项目区内外的生活污水管道均采用耐腐蚀管材，并注意日常的检查和维护，确保管道的正常使用。</w:t>
            </w:r>
          </w:p>
          <w:p w14:paraId="7AC8366D">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C、项目区其它区域（除绿化用地、建筑占地之外，包括道路等）全部进行混凝土硬化处理，实现场地不见泥土。</w:t>
            </w:r>
          </w:p>
          <w:p w14:paraId="5EF6819B">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由污染途径及对应措施分析可知，项目对可能产生地下水影响的各项途径均进行有效预防；在确保各项防渗措施得以落实，并加强维护和厂区环境管理的前提下，可有效控制厂区内的废水污染物下渗现象，避免污染地下水。</w:t>
            </w:r>
          </w:p>
          <w:p w14:paraId="46DEDB41">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因此，采取以上措施后正常状态下，厂区的地表与地下的水力联系基本被切断，污染物不会规模性渗入地下水，本项目不会对区域地下水环境产生明显影响。</w:t>
            </w:r>
          </w:p>
          <w:p w14:paraId="275E6A8E">
            <w:pPr>
              <w:pStyle w:val="14"/>
              <w:adjustRightInd w:val="0"/>
              <w:spacing w:before="0" w:after="0" w:line="360" w:lineRule="auto"/>
              <w:ind w:right="0"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跟踪监测要求</w:t>
            </w:r>
            <w:r>
              <w:rPr>
                <w:rFonts w:hint="eastAsia"/>
                <w:b/>
                <w:bCs/>
                <w:color w:val="000000" w:themeColor="text1"/>
                <w:sz w:val="24"/>
                <w:szCs w:val="24"/>
                <w14:textFill>
                  <w14:solidFill>
                    <w14:schemeClr w14:val="tx1"/>
                  </w14:solidFill>
                </w14:textFill>
              </w:rPr>
              <w:t>：</w:t>
            </w:r>
          </w:p>
          <w:p w14:paraId="02EFC757">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本项目不对地下水环境进行跟踪监测。</w:t>
            </w:r>
          </w:p>
          <w:p w14:paraId="0578B192">
            <w:pPr>
              <w:widowControl/>
              <w:numPr>
                <w:ilvl w:val="0"/>
                <w:numId w:val="3"/>
              </w:numPr>
              <w:adjustRightInd w:val="0"/>
              <w:snapToGrid w:val="0"/>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土壤环境</w:t>
            </w:r>
          </w:p>
          <w:p w14:paraId="559F4A53">
            <w:pPr>
              <w:widowControl/>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土壤污染途径：</w:t>
            </w:r>
          </w:p>
          <w:p w14:paraId="1C8B2F8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color w:val="auto"/>
                <w:spacing w:val="0"/>
                <w:kern w:val="0"/>
                <w:position w:val="0"/>
                <w:sz w:val="24"/>
                <w:szCs w:val="24"/>
                <w:lang w:val="en-US" w:eastAsia="zh-CN"/>
              </w:rPr>
            </w:pPr>
            <w:r>
              <w:rPr>
                <w:rFonts w:hint="eastAsia"/>
                <w:b w:val="0"/>
                <w:bCs w:val="0"/>
                <w:snapToGrid/>
                <w:color w:val="000000" w:themeColor="text1"/>
                <w:spacing w:val="0"/>
                <w:kern w:val="0"/>
                <w:position w:val="0"/>
                <w:sz w:val="24"/>
                <w:szCs w:val="24"/>
                <w:lang w:val="en-US" w:eastAsia="zh-CN"/>
                <w14:textFill>
                  <w14:solidFill>
                    <w14:schemeClr w14:val="tx1"/>
                  </w14:solidFill>
                </w14:textFill>
              </w:rPr>
              <w:t>根据厂区各生产功能单元是否可能对地下水造成污染及其风险程度，将厂区划分为重点防渗区、一般防渗区和简单防渗区。重点防渗区是可能会对地下水造成污染，风险程度较高，需要重点防治的区域，主要为</w:t>
            </w:r>
            <w:r>
              <w:rPr>
                <w:snapToGrid/>
                <w:color w:val="000000" w:themeColor="text1"/>
                <w:spacing w:val="0"/>
                <w:kern w:val="0"/>
                <w:position w:val="0"/>
                <w:sz w:val="24"/>
                <w:szCs w:val="24"/>
                <w14:textFill>
                  <w14:solidFill>
                    <w14:schemeClr w14:val="tx1"/>
                  </w14:solidFill>
                </w14:textFill>
              </w:rPr>
              <w:t>危险废物暂存</w:t>
            </w:r>
            <w:r>
              <w:rPr>
                <w:rFonts w:hint="eastAsia"/>
                <w:snapToGrid/>
                <w:color w:val="000000" w:themeColor="text1"/>
                <w:spacing w:val="0"/>
                <w:kern w:val="0"/>
                <w:position w:val="0"/>
                <w:sz w:val="24"/>
                <w:szCs w:val="24"/>
                <w:lang w:eastAsia="zh-CN"/>
                <w14:textFill>
                  <w14:solidFill>
                    <w14:schemeClr w14:val="tx1"/>
                  </w14:solidFill>
                </w14:textFill>
              </w:rPr>
              <w:t>间</w:t>
            </w:r>
            <w:r>
              <w:rPr>
                <w:rFonts w:hint="eastAsia" w:ascii="Times New Roman" w:hAnsi="Times New Roman" w:eastAsia="宋体" w:cs="Times New Roman"/>
                <w:b w:val="0"/>
                <w:bCs w:val="0"/>
                <w:snapToGrid/>
                <w:color w:val="000000" w:themeColor="text1"/>
                <w:spacing w:val="0"/>
                <w:kern w:val="0"/>
                <w:position w:val="0"/>
                <w:sz w:val="24"/>
                <w:szCs w:val="24"/>
                <w:lang w:val="en-US" w:eastAsia="zh-CN"/>
                <w14:textFill>
                  <w14:solidFill>
                    <w14:schemeClr w14:val="tx1"/>
                  </w14:solidFill>
                </w14:textFill>
              </w:rPr>
              <w:t>等区域。一般防渗区是可能会对地下水造成污染，但危害性或风险程度相对较低的区域，包括具有可能污染地下水污染源的</w:t>
            </w:r>
            <w:r>
              <w:rPr>
                <w:rFonts w:hint="eastAsia" w:ascii="Times New Roman" w:hAnsi="Times New Roman" w:eastAsia="宋体" w:cs="Times New Roman"/>
                <w:b w:val="0"/>
                <w:bCs w:val="0"/>
                <w:snapToGrid/>
                <w:color w:val="auto"/>
                <w:spacing w:val="0"/>
                <w:kern w:val="0"/>
                <w:position w:val="0"/>
                <w:sz w:val="24"/>
                <w:szCs w:val="24"/>
                <w:lang w:val="en-US" w:eastAsia="zh-CN"/>
              </w:rPr>
              <w:t>生产区域，主要包括生产</w:t>
            </w:r>
            <w:r>
              <w:rPr>
                <w:rFonts w:hint="eastAsia" w:cs="Times New Roman"/>
                <w:b w:val="0"/>
                <w:bCs w:val="0"/>
                <w:snapToGrid/>
                <w:color w:val="auto"/>
                <w:spacing w:val="0"/>
                <w:kern w:val="0"/>
                <w:position w:val="0"/>
                <w:sz w:val="24"/>
                <w:szCs w:val="24"/>
                <w:lang w:val="en-US" w:eastAsia="zh-CN"/>
              </w:rPr>
              <w:t>区</w:t>
            </w:r>
            <w:r>
              <w:rPr>
                <w:rFonts w:hint="eastAsia" w:ascii="Times New Roman" w:hAnsi="Times New Roman" w:eastAsia="宋体" w:cs="Times New Roman"/>
                <w:b w:val="0"/>
                <w:bCs w:val="0"/>
                <w:snapToGrid/>
                <w:color w:val="auto"/>
                <w:spacing w:val="0"/>
                <w:kern w:val="0"/>
                <w:position w:val="0"/>
                <w:sz w:val="24"/>
                <w:szCs w:val="24"/>
                <w:lang w:val="en-US" w:eastAsia="zh-CN"/>
              </w:rPr>
              <w:t>、原料</w:t>
            </w:r>
            <w:r>
              <w:rPr>
                <w:rFonts w:hint="eastAsia" w:cs="Times New Roman"/>
                <w:b w:val="0"/>
                <w:bCs w:val="0"/>
                <w:snapToGrid/>
                <w:color w:val="auto"/>
                <w:spacing w:val="0"/>
                <w:kern w:val="0"/>
                <w:position w:val="0"/>
                <w:sz w:val="24"/>
                <w:szCs w:val="24"/>
                <w:lang w:val="en-US" w:eastAsia="zh-CN"/>
              </w:rPr>
              <w:t>区</w:t>
            </w:r>
            <w:r>
              <w:rPr>
                <w:rFonts w:hint="eastAsia" w:ascii="Times New Roman" w:hAnsi="Times New Roman" w:eastAsia="宋体" w:cs="Times New Roman"/>
                <w:b w:val="0"/>
                <w:bCs w:val="0"/>
                <w:snapToGrid/>
                <w:color w:val="auto"/>
                <w:spacing w:val="0"/>
                <w:kern w:val="0"/>
                <w:position w:val="0"/>
                <w:sz w:val="24"/>
                <w:szCs w:val="24"/>
                <w:lang w:val="en-US" w:eastAsia="zh-CN"/>
              </w:rPr>
              <w:t>、成品堆放区等区域。简单防渗区为不会对地下水造成污染的区域，主要包括厂区道路等区域。</w:t>
            </w:r>
          </w:p>
          <w:p w14:paraId="39AA9C6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snapToGrid/>
                <w:color w:val="auto"/>
                <w:spacing w:val="0"/>
                <w:kern w:val="0"/>
                <w:position w:val="0"/>
                <w:sz w:val="24"/>
                <w:szCs w:val="24"/>
                <w:lang w:val="en-US" w:eastAsia="zh-CN"/>
              </w:rPr>
            </w:pPr>
            <w:r>
              <w:rPr>
                <w:rFonts w:hint="eastAsia" w:ascii="Times New Roman" w:hAnsi="Times New Roman" w:eastAsia="宋体" w:cs="Times New Roman"/>
                <w:b w:val="0"/>
                <w:bCs w:val="0"/>
                <w:snapToGrid/>
                <w:color w:val="auto"/>
                <w:spacing w:val="0"/>
                <w:kern w:val="0"/>
                <w:position w:val="0"/>
                <w:sz w:val="24"/>
                <w:szCs w:val="24"/>
                <w:lang w:val="en-US" w:eastAsia="zh-CN"/>
              </w:rPr>
              <w:t>针对本项目，为避免废水的非正常排放对地下水造成影响，应采取以下防渗措施：</w:t>
            </w:r>
          </w:p>
          <w:p w14:paraId="0AF7B3B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napToGrid/>
                <w:color w:val="auto"/>
                <w:spacing w:val="0"/>
                <w:kern w:val="0"/>
                <w:position w:val="0"/>
                <w:sz w:val="24"/>
                <w:szCs w:val="24"/>
                <w:lang w:val="en-US" w:eastAsia="zh-CN"/>
              </w:rPr>
            </w:pPr>
            <w:r>
              <w:rPr>
                <w:rFonts w:hint="eastAsia" w:cs="Times New Roman"/>
                <w:b/>
                <w:bCs/>
                <w:snapToGrid/>
                <w:color w:val="auto"/>
                <w:spacing w:val="0"/>
                <w:kern w:val="0"/>
                <w:position w:val="0"/>
                <w:sz w:val="24"/>
                <w:szCs w:val="24"/>
                <w:lang w:val="en-US" w:eastAsia="zh-CN"/>
              </w:rPr>
              <w:t>表4-12  项目地下水污染防治措施一览表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515"/>
              <w:gridCol w:w="3180"/>
              <w:gridCol w:w="2881"/>
            </w:tblGrid>
            <w:tr w14:paraId="171C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7977085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序号</w:t>
                  </w:r>
                </w:p>
              </w:tc>
              <w:tc>
                <w:tcPr>
                  <w:tcW w:w="4695" w:type="dxa"/>
                  <w:gridSpan w:val="2"/>
                  <w:vAlign w:val="center"/>
                </w:tcPr>
                <w:p w14:paraId="3541096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区域</w:t>
                  </w:r>
                </w:p>
              </w:tc>
              <w:tc>
                <w:tcPr>
                  <w:tcW w:w="2881" w:type="dxa"/>
                  <w:vAlign w:val="center"/>
                </w:tcPr>
                <w:p w14:paraId="6882ABA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保护措施</w:t>
                  </w:r>
                </w:p>
              </w:tc>
            </w:tr>
            <w:tr w14:paraId="46D4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201206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1</w:t>
                  </w:r>
                </w:p>
              </w:tc>
              <w:tc>
                <w:tcPr>
                  <w:tcW w:w="1515" w:type="dxa"/>
                  <w:vAlign w:val="center"/>
                </w:tcPr>
                <w:p w14:paraId="3DE4E45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重点防渗区</w:t>
                  </w:r>
                </w:p>
              </w:tc>
              <w:tc>
                <w:tcPr>
                  <w:tcW w:w="3180" w:type="dxa"/>
                  <w:vAlign w:val="center"/>
                </w:tcPr>
                <w:p w14:paraId="0E4F6C1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snapToGrid/>
                      <w:color w:val="auto"/>
                      <w:spacing w:val="0"/>
                      <w:kern w:val="0"/>
                      <w:position w:val="0"/>
                      <w:sz w:val="21"/>
                      <w:szCs w:val="21"/>
                    </w:rPr>
                    <w:t>危险废物暂存</w:t>
                  </w:r>
                  <w:r>
                    <w:rPr>
                      <w:rFonts w:hint="eastAsia"/>
                      <w:snapToGrid/>
                      <w:color w:val="auto"/>
                      <w:spacing w:val="0"/>
                      <w:kern w:val="0"/>
                      <w:position w:val="0"/>
                      <w:sz w:val="21"/>
                      <w:szCs w:val="21"/>
                      <w:lang w:eastAsia="zh-CN"/>
                    </w:rPr>
                    <w:t>间、污泥储存区、沉淀池</w:t>
                  </w:r>
                </w:p>
              </w:tc>
              <w:tc>
                <w:tcPr>
                  <w:tcW w:w="2881" w:type="dxa"/>
                  <w:vAlign w:val="center"/>
                </w:tcPr>
                <w:p w14:paraId="5D7908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采取</w:t>
                  </w:r>
                  <w:r>
                    <w:rPr>
                      <w:rFonts w:hint="default" w:ascii="Times New Roman" w:hAnsi="Times New Roman" w:eastAsia="宋体" w:cs="Times New Roman"/>
                      <w:b w:val="0"/>
                      <w:bCs w:val="0"/>
                      <w:color w:val="auto"/>
                      <w:sz w:val="21"/>
                      <w:szCs w:val="21"/>
                      <w:lang w:val="en-US" w:eastAsia="zh-CN"/>
                    </w:rPr>
                    <w:t>200mm防渗混凝土</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1.5mm环氧树脂漆</w:t>
                  </w:r>
                  <w:r>
                    <w:rPr>
                      <w:rFonts w:hint="eastAsia" w:ascii="Times New Roman" w:hAnsi="Times New Roman" w:eastAsia="宋体" w:cs="Times New Roman"/>
                      <w:b w:val="0"/>
                      <w:bCs w:val="0"/>
                      <w:color w:val="auto"/>
                      <w:sz w:val="21"/>
                      <w:szCs w:val="21"/>
                      <w:lang w:val="en-US" w:eastAsia="zh-CN"/>
                    </w:rPr>
                    <w:t>，</w:t>
                  </w:r>
                  <w:r>
                    <w:rPr>
                      <w:rFonts w:hint="eastAsia" w:ascii="Times New Roman" w:hAnsi="Times New Roman" w:eastAsia="宋体" w:cs="Times New Roman"/>
                      <w:b w:val="0"/>
                      <w:bCs w:val="0"/>
                      <w:snapToGrid/>
                      <w:color w:val="auto"/>
                      <w:spacing w:val="0"/>
                      <w:kern w:val="0"/>
                      <w:position w:val="0"/>
                      <w:sz w:val="21"/>
                      <w:szCs w:val="21"/>
                      <w:lang w:val="en-US" w:eastAsia="zh-CN"/>
                    </w:rPr>
                    <w:t>防渗层渗透系数达到1.0</w:t>
                  </w:r>
                  <w:r>
                    <w:rPr>
                      <w:rFonts w:hint="default" w:ascii="Arial" w:hAnsi="Arial" w:eastAsia="宋体" w:cs="Arial"/>
                      <w:b w:val="0"/>
                      <w:bCs w:val="0"/>
                      <w:snapToGrid/>
                      <w:color w:val="auto"/>
                      <w:spacing w:val="0"/>
                      <w:kern w:val="0"/>
                      <w:position w:val="0"/>
                      <w:sz w:val="21"/>
                      <w:szCs w:val="21"/>
                      <w:lang w:val="en-US" w:eastAsia="zh-CN"/>
                    </w:rPr>
                    <w:t>×</w:t>
                  </w:r>
                  <w:r>
                    <w:rPr>
                      <w:rFonts w:hint="eastAsia" w:ascii="Times New Roman" w:hAnsi="Times New Roman" w:eastAsia="宋体" w:cs="Times New Roman"/>
                      <w:b w:val="0"/>
                      <w:bCs w:val="0"/>
                      <w:snapToGrid/>
                      <w:color w:val="auto"/>
                      <w:spacing w:val="0"/>
                      <w:kern w:val="0"/>
                      <w:position w:val="0"/>
                      <w:sz w:val="21"/>
                      <w:szCs w:val="21"/>
                      <w:lang w:val="en-US" w:eastAsia="zh-CN"/>
                    </w:rPr>
                    <w:t>10</w:t>
                  </w:r>
                  <w:r>
                    <w:rPr>
                      <w:rFonts w:hint="eastAsia" w:ascii="Times New Roman" w:hAnsi="Times New Roman" w:eastAsia="宋体" w:cs="Times New Roman"/>
                      <w:b w:val="0"/>
                      <w:bCs w:val="0"/>
                      <w:snapToGrid/>
                      <w:color w:val="auto"/>
                      <w:spacing w:val="0"/>
                      <w:kern w:val="0"/>
                      <w:position w:val="0"/>
                      <w:sz w:val="21"/>
                      <w:szCs w:val="21"/>
                      <w:vertAlign w:val="superscript"/>
                      <w:lang w:val="en-US" w:eastAsia="zh-CN"/>
                    </w:rPr>
                    <w:t>-</w:t>
                  </w:r>
                  <w:r>
                    <w:rPr>
                      <w:rFonts w:hint="eastAsia" w:cs="Times New Roman"/>
                      <w:b w:val="0"/>
                      <w:bCs w:val="0"/>
                      <w:snapToGrid/>
                      <w:color w:val="auto"/>
                      <w:spacing w:val="0"/>
                      <w:kern w:val="0"/>
                      <w:position w:val="0"/>
                      <w:sz w:val="21"/>
                      <w:szCs w:val="21"/>
                      <w:vertAlign w:val="superscript"/>
                      <w:lang w:val="en-US" w:eastAsia="zh-CN"/>
                    </w:rPr>
                    <w:t>10</w:t>
                  </w:r>
                  <w:r>
                    <w:rPr>
                      <w:rFonts w:hint="eastAsia" w:ascii="Times New Roman" w:hAnsi="Times New Roman" w:eastAsia="宋体" w:cs="Times New Roman"/>
                      <w:b w:val="0"/>
                      <w:bCs w:val="0"/>
                      <w:snapToGrid/>
                      <w:color w:val="auto"/>
                      <w:spacing w:val="0"/>
                      <w:kern w:val="0"/>
                      <w:position w:val="0"/>
                      <w:sz w:val="21"/>
                      <w:szCs w:val="21"/>
                      <w:lang w:val="en-US" w:eastAsia="zh-CN"/>
                    </w:rPr>
                    <w:t>cm/s</w:t>
                  </w:r>
                </w:p>
              </w:tc>
            </w:tr>
            <w:tr w14:paraId="152B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72B0E4B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2</w:t>
                  </w:r>
                </w:p>
              </w:tc>
              <w:tc>
                <w:tcPr>
                  <w:tcW w:w="1515" w:type="dxa"/>
                  <w:vAlign w:val="center"/>
                </w:tcPr>
                <w:p w14:paraId="345B91D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一般防渗区</w:t>
                  </w:r>
                </w:p>
              </w:tc>
              <w:tc>
                <w:tcPr>
                  <w:tcW w:w="3180" w:type="dxa"/>
                  <w:vAlign w:val="center"/>
                </w:tcPr>
                <w:p w14:paraId="5EDECF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生产</w:t>
                  </w:r>
                  <w:r>
                    <w:rPr>
                      <w:rFonts w:hint="eastAsia" w:cs="Times New Roman"/>
                      <w:b w:val="0"/>
                      <w:bCs w:val="0"/>
                      <w:snapToGrid/>
                      <w:color w:val="auto"/>
                      <w:spacing w:val="0"/>
                      <w:kern w:val="0"/>
                      <w:position w:val="0"/>
                      <w:sz w:val="21"/>
                      <w:szCs w:val="21"/>
                      <w:lang w:val="en-US" w:eastAsia="zh-CN"/>
                    </w:rPr>
                    <w:t>区</w:t>
                  </w:r>
                  <w:r>
                    <w:rPr>
                      <w:rFonts w:hint="eastAsia" w:ascii="Times New Roman" w:hAnsi="Times New Roman" w:eastAsia="宋体" w:cs="Times New Roman"/>
                      <w:b w:val="0"/>
                      <w:bCs w:val="0"/>
                      <w:snapToGrid/>
                      <w:color w:val="auto"/>
                      <w:spacing w:val="0"/>
                      <w:kern w:val="0"/>
                      <w:position w:val="0"/>
                      <w:sz w:val="21"/>
                      <w:szCs w:val="21"/>
                      <w:lang w:val="en-US" w:eastAsia="zh-CN"/>
                    </w:rPr>
                    <w:t>、</w:t>
                  </w:r>
                  <w:r>
                    <w:rPr>
                      <w:rFonts w:hint="eastAsia" w:cs="Times New Roman"/>
                      <w:b w:val="0"/>
                      <w:bCs w:val="0"/>
                      <w:snapToGrid/>
                      <w:color w:val="auto"/>
                      <w:spacing w:val="0"/>
                      <w:kern w:val="0"/>
                      <w:position w:val="0"/>
                      <w:sz w:val="21"/>
                      <w:szCs w:val="21"/>
                      <w:lang w:val="en-US" w:eastAsia="zh-CN"/>
                    </w:rPr>
                    <w:t>原料区</w:t>
                  </w:r>
                  <w:r>
                    <w:rPr>
                      <w:rFonts w:hint="eastAsia" w:ascii="Times New Roman" w:hAnsi="Times New Roman" w:eastAsia="宋体" w:cs="Times New Roman"/>
                      <w:b w:val="0"/>
                      <w:bCs w:val="0"/>
                      <w:snapToGrid/>
                      <w:color w:val="auto"/>
                      <w:spacing w:val="0"/>
                      <w:kern w:val="0"/>
                      <w:position w:val="0"/>
                      <w:sz w:val="21"/>
                      <w:szCs w:val="21"/>
                      <w:lang w:val="en-US" w:eastAsia="zh-CN"/>
                    </w:rPr>
                    <w:t>、成品区等区域</w:t>
                  </w:r>
                </w:p>
              </w:tc>
              <w:tc>
                <w:tcPr>
                  <w:tcW w:w="2881" w:type="dxa"/>
                  <w:vAlign w:val="center"/>
                </w:tcPr>
                <w:p w14:paraId="3CAF61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采取粘土铺底+10～15cm的防渗水泥进行硬化，防渗层渗透系数达到1.0×10</w:t>
                  </w:r>
                  <w:r>
                    <w:rPr>
                      <w:rFonts w:hint="eastAsia" w:ascii="Times New Roman" w:hAnsi="Times New Roman" w:eastAsia="宋体" w:cs="Times New Roman"/>
                      <w:b w:val="0"/>
                      <w:bCs w:val="0"/>
                      <w:snapToGrid/>
                      <w:color w:val="auto"/>
                      <w:spacing w:val="0"/>
                      <w:kern w:val="0"/>
                      <w:position w:val="0"/>
                      <w:sz w:val="21"/>
                      <w:szCs w:val="21"/>
                      <w:vertAlign w:val="superscript"/>
                      <w:lang w:val="en-US" w:eastAsia="zh-CN"/>
                    </w:rPr>
                    <w:t>-7</w:t>
                  </w:r>
                  <w:r>
                    <w:rPr>
                      <w:rFonts w:hint="eastAsia" w:ascii="Times New Roman" w:hAnsi="Times New Roman" w:eastAsia="宋体" w:cs="Times New Roman"/>
                      <w:b w:val="0"/>
                      <w:bCs w:val="0"/>
                      <w:snapToGrid/>
                      <w:color w:val="auto"/>
                      <w:spacing w:val="0"/>
                      <w:kern w:val="0"/>
                      <w:position w:val="0"/>
                      <w:sz w:val="21"/>
                      <w:szCs w:val="21"/>
                      <w:lang w:val="en-US" w:eastAsia="zh-CN"/>
                    </w:rPr>
                    <w:t>cm/s。</w:t>
                  </w:r>
                </w:p>
              </w:tc>
            </w:tr>
            <w:tr w14:paraId="2CC2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6" w:type="dxa"/>
                  <w:vAlign w:val="center"/>
                </w:tcPr>
                <w:p w14:paraId="672824A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cs="Times New Roman"/>
                      <w:b w:val="0"/>
                      <w:bCs w:val="0"/>
                      <w:snapToGrid/>
                      <w:color w:val="auto"/>
                      <w:spacing w:val="0"/>
                      <w:kern w:val="0"/>
                      <w:position w:val="0"/>
                      <w:sz w:val="21"/>
                      <w:szCs w:val="21"/>
                      <w:vertAlign w:val="baseline"/>
                      <w:lang w:val="en-US" w:eastAsia="zh-CN"/>
                    </w:rPr>
                    <w:t>3</w:t>
                  </w:r>
                </w:p>
              </w:tc>
              <w:tc>
                <w:tcPr>
                  <w:tcW w:w="1515" w:type="dxa"/>
                  <w:vAlign w:val="center"/>
                </w:tcPr>
                <w:p w14:paraId="1C3353B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简单防渗区</w:t>
                  </w:r>
                </w:p>
              </w:tc>
              <w:tc>
                <w:tcPr>
                  <w:tcW w:w="3180" w:type="dxa"/>
                  <w:vAlign w:val="center"/>
                </w:tcPr>
                <w:p w14:paraId="04D404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lang w:val="en-US" w:eastAsia="zh-CN"/>
                    </w:rPr>
                    <w:t>项目区厂区内的绿化区和厂区道路等</w:t>
                  </w:r>
                </w:p>
              </w:tc>
              <w:tc>
                <w:tcPr>
                  <w:tcW w:w="2881" w:type="dxa"/>
                  <w:vAlign w:val="center"/>
                </w:tcPr>
                <w:p w14:paraId="16D9CD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pPr>
                  <w:r>
                    <w:rPr>
                      <w:rFonts w:hint="eastAsia" w:ascii="Times New Roman" w:hAnsi="Times New Roman" w:eastAsia="宋体" w:cs="Times New Roman"/>
                      <w:b w:val="0"/>
                      <w:bCs w:val="0"/>
                      <w:snapToGrid/>
                      <w:color w:val="auto"/>
                      <w:spacing w:val="0"/>
                      <w:kern w:val="0"/>
                      <w:position w:val="0"/>
                      <w:sz w:val="21"/>
                      <w:szCs w:val="21"/>
                      <w:vertAlign w:val="baseline"/>
                      <w:lang w:val="en-US" w:eastAsia="zh-CN"/>
                    </w:rPr>
                    <w:t>混凝土硬化处理</w:t>
                  </w:r>
                </w:p>
              </w:tc>
            </w:tr>
          </w:tbl>
          <w:p w14:paraId="1DF1E48F">
            <w:pPr>
              <w:pStyle w:val="14"/>
              <w:adjustRightInd w:val="0"/>
              <w:spacing w:before="0" w:after="0" w:line="360" w:lineRule="auto"/>
              <w:ind w:right="0"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跟踪监测要求</w:t>
            </w:r>
            <w:r>
              <w:rPr>
                <w:rFonts w:hint="eastAsia"/>
                <w:b/>
                <w:bCs/>
                <w:color w:val="000000" w:themeColor="text1"/>
                <w:sz w:val="24"/>
                <w:szCs w:val="24"/>
                <w14:textFill>
                  <w14:solidFill>
                    <w14:schemeClr w14:val="tx1"/>
                  </w14:solidFill>
                </w14:textFill>
              </w:rPr>
              <w:t>：</w:t>
            </w:r>
          </w:p>
          <w:p w14:paraId="60F6AC51">
            <w:pPr>
              <w:widowControl/>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本项目不对土壤环境进行跟踪监测。</w:t>
            </w:r>
          </w:p>
          <w:p w14:paraId="4D950A9D">
            <w:pPr>
              <w:adjustRightInd w:val="0"/>
              <w:snapToGrid w:val="0"/>
              <w:spacing w:line="360" w:lineRule="auto"/>
              <w:rPr>
                <w:b/>
                <w:bCs/>
                <w:kern w:val="0"/>
                <w:sz w:val="24"/>
              </w:rPr>
            </w:pPr>
            <w:r>
              <w:rPr>
                <w:rFonts w:hint="eastAsia"/>
                <w:b/>
                <w:bCs/>
                <w:kern w:val="0"/>
                <w:sz w:val="24"/>
              </w:rPr>
              <w:t>6、</w:t>
            </w:r>
            <w:r>
              <w:rPr>
                <w:b/>
                <w:bCs/>
                <w:kern w:val="0"/>
                <w:sz w:val="24"/>
              </w:rPr>
              <w:t>环境风险</w:t>
            </w:r>
          </w:p>
          <w:p w14:paraId="13DE0706">
            <w:pPr>
              <w:adjustRightInd w:val="0"/>
              <w:snapToGrid w:val="0"/>
              <w:spacing w:line="360" w:lineRule="auto"/>
              <w:ind w:firstLine="480" w:firstLineChars="200"/>
              <w:rPr>
                <w:kern w:val="0"/>
                <w:sz w:val="24"/>
              </w:rPr>
            </w:pPr>
            <w:r>
              <w:rPr>
                <w:kern w:val="0"/>
                <w:sz w:val="24"/>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 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14:paraId="0C858050">
            <w:pPr>
              <w:adjustRightInd w:val="0"/>
              <w:snapToGrid w:val="0"/>
              <w:spacing w:line="360" w:lineRule="auto"/>
              <w:ind w:firstLine="480" w:firstLineChars="200"/>
              <w:rPr>
                <w:kern w:val="0"/>
                <w:sz w:val="24"/>
              </w:rPr>
            </w:pPr>
            <w:r>
              <w:rPr>
                <w:kern w:val="0"/>
                <w:sz w:val="24"/>
              </w:rPr>
              <w:t>本次环境风险评价重点主要对项目运营期间可能存在的危险、有害因素进行分析，并对可能发生的突发性事件及事故所造成的人身安全与环境影响、损害程度，提出合理可行的防范、应急与减缓措施。</w:t>
            </w:r>
          </w:p>
          <w:p w14:paraId="550A7AC2">
            <w:pPr>
              <w:pStyle w:val="33"/>
              <w:snapToGrid w:val="0"/>
              <w:spacing w:line="360" w:lineRule="auto"/>
              <w:ind w:firstLine="482" w:firstLineChars="200"/>
              <w:rPr>
                <w:b/>
                <w:bCs/>
                <w:color w:val="auto"/>
                <w:kern w:val="0"/>
              </w:rPr>
            </w:pPr>
            <w:r>
              <w:rPr>
                <w:b/>
                <w:bCs/>
                <w:color w:val="auto"/>
                <w:kern w:val="0"/>
              </w:rPr>
              <w:t>评价依据</w:t>
            </w:r>
            <w:r>
              <w:rPr>
                <w:rFonts w:hint="eastAsia"/>
                <w:b/>
                <w:bCs/>
                <w:color w:val="auto"/>
                <w:kern w:val="0"/>
              </w:rPr>
              <w:t>：</w:t>
            </w:r>
          </w:p>
          <w:p w14:paraId="45E88C84">
            <w:pPr>
              <w:adjustRightInd w:val="0"/>
              <w:snapToGrid w:val="0"/>
              <w:spacing w:line="360" w:lineRule="auto"/>
              <w:ind w:firstLine="480" w:firstLineChars="200"/>
              <w:rPr>
                <w:kern w:val="0"/>
                <w:sz w:val="24"/>
              </w:rPr>
            </w:pPr>
            <w:r>
              <w:rPr>
                <w:rFonts w:hint="eastAsia"/>
                <w:kern w:val="0"/>
                <w:sz w:val="24"/>
              </w:rPr>
              <w:t>（1）</w:t>
            </w:r>
            <w:r>
              <w:rPr>
                <w:kern w:val="0"/>
                <w:sz w:val="24"/>
              </w:rPr>
              <w:t>风险调查</w:t>
            </w:r>
            <w:r>
              <w:rPr>
                <w:rFonts w:hint="eastAsia"/>
                <w:kern w:val="0"/>
                <w:sz w:val="24"/>
              </w:rPr>
              <w:t xml:space="preserve"> </w:t>
            </w:r>
          </w:p>
          <w:p w14:paraId="269A0220">
            <w:pPr>
              <w:adjustRightInd w:val="0"/>
              <w:snapToGrid w:val="0"/>
              <w:spacing w:line="360" w:lineRule="auto"/>
              <w:ind w:firstLine="480" w:firstLineChars="200"/>
              <w:rPr>
                <w:kern w:val="0"/>
                <w:sz w:val="24"/>
              </w:rPr>
            </w:pPr>
            <w:r>
              <w:rPr>
                <w:kern w:val="0"/>
                <w:sz w:val="24"/>
              </w:rPr>
              <w:t>1）物质风险性调查</w:t>
            </w:r>
          </w:p>
          <w:p w14:paraId="40DAEE73">
            <w:pPr>
              <w:adjustRightInd w:val="0"/>
              <w:snapToGrid w:val="0"/>
              <w:spacing w:line="360" w:lineRule="auto"/>
              <w:ind w:firstLine="480" w:firstLineChars="200"/>
              <w:rPr>
                <w:sz w:val="24"/>
              </w:rPr>
            </w:pPr>
            <w:r>
              <w:rPr>
                <w:rFonts w:hint="eastAsia"/>
                <w:kern w:val="0"/>
                <w:sz w:val="24"/>
              </w:rPr>
              <w:t>本项目的原辅材料主要是</w:t>
            </w:r>
            <w:r>
              <w:rPr>
                <w:rFonts w:hint="eastAsia"/>
                <w:kern w:val="0"/>
                <w:sz w:val="24"/>
                <w:lang w:eastAsia="zh-CN"/>
              </w:rPr>
              <w:t>炉渣、污泥、脱硫石膏</w:t>
            </w:r>
            <w:r>
              <w:rPr>
                <w:rFonts w:hint="eastAsia"/>
                <w:kern w:val="0"/>
                <w:sz w:val="24"/>
              </w:rPr>
              <w:t>等，外购进入厂区后，直接进入原料仓库存放。</w:t>
            </w:r>
            <w:r>
              <w:rPr>
                <w:kern w:val="0"/>
                <w:sz w:val="24"/>
              </w:rPr>
              <w:t>与《建设项目环境风险评价技术导则》（HJ169-2018）附录</w:t>
            </w:r>
            <w:r>
              <w:rPr>
                <w:rFonts w:hint="eastAsia"/>
                <w:kern w:val="0"/>
                <w:sz w:val="24"/>
              </w:rPr>
              <w:t>B中表</w:t>
            </w:r>
            <w:r>
              <w:rPr>
                <w:kern w:val="0"/>
                <w:sz w:val="24"/>
              </w:rPr>
              <w:t>B</w:t>
            </w:r>
            <w:r>
              <w:rPr>
                <w:rFonts w:hint="eastAsia"/>
                <w:kern w:val="0"/>
                <w:sz w:val="24"/>
              </w:rPr>
              <w:t>.1及表B.2</w:t>
            </w:r>
            <w:r>
              <w:rPr>
                <w:kern w:val="0"/>
                <w:sz w:val="24"/>
              </w:rPr>
              <w:t>中重点关注的危险物质进行对比，</w:t>
            </w:r>
            <w:r>
              <w:rPr>
                <w:sz w:val="24"/>
              </w:rPr>
              <w:t>确定本项目的危险物质为</w:t>
            </w:r>
            <w:r>
              <w:rPr>
                <w:rFonts w:hint="eastAsia"/>
                <w:sz w:val="24"/>
                <w:lang w:eastAsia="zh-CN"/>
              </w:rPr>
              <w:t>废机油</w:t>
            </w:r>
            <w:r>
              <w:rPr>
                <w:sz w:val="24"/>
              </w:rPr>
              <w:t>。</w:t>
            </w:r>
          </w:p>
          <w:p w14:paraId="4637994B">
            <w:pPr>
              <w:adjustRightInd w:val="0"/>
              <w:snapToGrid w:val="0"/>
              <w:spacing w:line="360" w:lineRule="auto"/>
              <w:ind w:firstLine="480" w:firstLineChars="200"/>
              <w:rPr>
                <w:kern w:val="0"/>
                <w:sz w:val="24"/>
              </w:rPr>
            </w:pPr>
            <w:r>
              <w:rPr>
                <w:kern w:val="0"/>
                <w:sz w:val="24"/>
              </w:rPr>
              <w:t>2）生产工艺危险性调查</w:t>
            </w:r>
          </w:p>
          <w:p w14:paraId="728A2D10">
            <w:pPr>
              <w:adjustRightInd w:val="0"/>
              <w:snapToGrid w:val="0"/>
              <w:spacing w:line="360" w:lineRule="auto"/>
              <w:ind w:firstLine="480" w:firstLineChars="200"/>
              <w:rPr>
                <w:kern w:val="0"/>
                <w:sz w:val="24"/>
              </w:rPr>
            </w:pPr>
            <w:r>
              <w:rPr>
                <w:kern w:val="0"/>
                <w:sz w:val="24"/>
              </w:rPr>
              <w:t>本项目主要生产工艺为</w:t>
            </w:r>
            <w:r>
              <w:rPr>
                <w:rFonts w:hint="eastAsia"/>
                <w:kern w:val="0"/>
                <w:sz w:val="24"/>
                <w:lang w:eastAsia="zh-CN"/>
              </w:rPr>
              <w:t>投料、破碎松散、搅拌、下料</w:t>
            </w:r>
            <w:r>
              <w:rPr>
                <w:rFonts w:hint="eastAsia"/>
                <w:kern w:val="0"/>
                <w:sz w:val="24"/>
              </w:rPr>
              <w:t>等</w:t>
            </w:r>
            <w:r>
              <w:rPr>
                <w:kern w:val="0"/>
                <w:sz w:val="24"/>
              </w:rPr>
              <w:t>，不涉及高温、高压等工艺过程，且不涉及危险物质的使用及贮存，无《建设项目环境风险评价技术导则》（HJ/T169-2018）附录C，表C.1中列明的工艺过程。</w:t>
            </w:r>
          </w:p>
          <w:p w14:paraId="09843AE1">
            <w:pPr>
              <w:adjustRightInd w:val="0"/>
              <w:snapToGrid w:val="0"/>
              <w:spacing w:line="360" w:lineRule="auto"/>
              <w:ind w:firstLine="480" w:firstLineChars="200"/>
              <w:rPr>
                <w:kern w:val="0"/>
                <w:sz w:val="24"/>
              </w:rPr>
            </w:pPr>
            <w:r>
              <w:rPr>
                <w:kern w:val="0"/>
                <w:sz w:val="24"/>
              </w:rPr>
              <w:t>故本项目生产工艺不存在重大危险性。</w:t>
            </w:r>
          </w:p>
          <w:p w14:paraId="43AD532A">
            <w:pPr>
              <w:adjustRightInd w:val="0"/>
              <w:snapToGrid w:val="0"/>
              <w:spacing w:line="360" w:lineRule="auto"/>
              <w:ind w:firstLine="480" w:firstLineChars="200"/>
              <w:rPr>
                <w:kern w:val="0"/>
                <w:sz w:val="24"/>
              </w:rPr>
            </w:pPr>
            <w:r>
              <w:rPr>
                <w:rFonts w:hint="eastAsia"/>
                <w:kern w:val="0"/>
                <w:sz w:val="24"/>
              </w:rPr>
              <w:t>（2）</w:t>
            </w:r>
            <w:r>
              <w:rPr>
                <w:kern w:val="0"/>
                <w:sz w:val="24"/>
              </w:rPr>
              <w:t>风险潜势初判</w:t>
            </w:r>
          </w:p>
          <w:p w14:paraId="06A1DC6B">
            <w:pPr>
              <w:adjustRightInd w:val="0"/>
              <w:snapToGrid w:val="0"/>
              <w:spacing w:line="360" w:lineRule="auto"/>
              <w:ind w:firstLine="480" w:firstLineChars="200"/>
              <w:rPr>
                <w:kern w:val="0"/>
                <w:sz w:val="24"/>
              </w:rPr>
            </w:pPr>
            <w:r>
              <w:rPr>
                <w:kern w:val="0"/>
                <w:sz w:val="24"/>
              </w:rPr>
              <w:t>计算所涉及的每种危险物质在厂界内的最大存在总量与其在《建设项目环境风险评价技术导则》（HJ169-2018）附录B中对应临界量的比值Q。在不同厂区的同一种物质，按其在厂界内的最大存在总量计算。</w:t>
            </w:r>
          </w:p>
          <w:p w14:paraId="6B24A413">
            <w:pPr>
              <w:adjustRightInd w:val="0"/>
              <w:snapToGrid w:val="0"/>
              <w:spacing w:line="360" w:lineRule="auto"/>
              <w:ind w:firstLine="480" w:firstLineChars="200"/>
              <w:rPr>
                <w:kern w:val="0"/>
                <w:sz w:val="24"/>
              </w:rPr>
            </w:pPr>
            <w:r>
              <w:rPr>
                <w:kern w:val="0"/>
                <w:sz w:val="24"/>
              </w:rPr>
              <w:t>当只涉及一种危险物质时，计算该物质的总量与其临界量比值，即为Q；</w:t>
            </w:r>
          </w:p>
          <w:p w14:paraId="3EE10EA5">
            <w:pPr>
              <w:adjustRightInd w:val="0"/>
              <w:snapToGrid w:val="0"/>
              <w:spacing w:line="360" w:lineRule="auto"/>
              <w:ind w:firstLine="480" w:firstLineChars="200"/>
              <w:rPr>
                <w:kern w:val="0"/>
                <w:sz w:val="24"/>
              </w:rPr>
            </w:pPr>
            <w:r>
              <w:rPr>
                <w:kern w:val="0"/>
                <w:sz w:val="24"/>
              </w:rPr>
              <w:t>当存在多种危险物质时，则按下式计算物质总量与其临界量比值Q；</w:t>
            </w:r>
          </w:p>
          <w:p w14:paraId="0970E79D">
            <w:pPr>
              <w:adjustRightInd w:val="0"/>
              <w:snapToGrid w:val="0"/>
              <w:spacing w:line="360" w:lineRule="auto"/>
              <w:jc w:val="center"/>
              <w:rPr>
                <w:kern w:val="0"/>
                <w:sz w:val="24"/>
              </w:rPr>
            </w:pPr>
            <w:r>
              <w:rPr>
                <w:kern w:val="0"/>
                <w:sz w:val="24"/>
              </w:rPr>
              <w:object>
                <v:shape id="_x0000_i1032" o:spt="75" type="#_x0000_t75" style="height:34pt;width:100pt;" o:ole="t" filled="f" o:preferrelative="t" stroked="f" coordsize="21600,21600">
                  <v:path/>
                  <v:fill on="f" focussize="0,0"/>
                  <v:stroke on="f" joinstyle="miter"/>
                  <v:imagedata r:id="rId31" o:title=""/>
                  <o:lock v:ext="edit" aspectratio="t"/>
                  <w10:wrap type="none"/>
                  <w10:anchorlock/>
                </v:shape>
                <o:OLEObject Type="Embed" ProgID="Equation.KSEE3" ShapeID="_x0000_i1032" DrawAspect="Content" ObjectID="_1468075732" r:id="rId30">
                  <o:LockedField>false</o:LockedField>
                </o:OLEObject>
              </w:object>
            </w:r>
          </w:p>
          <w:p w14:paraId="3EB9495C">
            <w:pPr>
              <w:adjustRightInd w:val="0"/>
              <w:snapToGrid w:val="0"/>
              <w:spacing w:line="360" w:lineRule="auto"/>
              <w:ind w:firstLine="480" w:firstLineChars="200"/>
              <w:rPr>
                <w:kern w:val="0"/>
                <w:sz w:val="24"/>
              </w:rPr>
            </w:pPr>
            <w:r>
              <w:rPr>
                <w:kern w:val="0"/>
                <w:sz w:val="24"/>
              </w:rPr>
              <w:t>式中：q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 xml:space="preserve">  ——每种危险废物实际存在量，t。</w:t>
            </w:r>
          </w:p>
          <w:p w14:paraId="1B81ED96">
            <w:pPr>
              <w:adjustRightInd w:val="0"/>
              <w:snapToGrid w:val="0"/>
              <w:spacing w:line="360" w:lineRule="auto"/>
              <w:ind w:firstLine="1200" w:firstLineChars="500"/>
              <w:rPr>
                <w:kern w:val="0"/>
                <w:sz w:val="24"/>
              </w:rPr>
            </w:pPr>
            <w:r>
              <w:rPr>
                <w:kern w:val="0"/>
                <w:sz w:val="24"/>
              </w:rPr>
              <w:t>Q</w:t>
            </w:r>
            <w:r>
              <w:rPr>
                <w:kern w:val="0"/>
                <w:sz w:val="24"/>
                <w:vertAlign w:val="subscript"/>
              </w:rPr>
              <w:t>1</w:t>
            </w:r>
            <w:r>
              <w:rPr>
                <w:kern w:val="0"/>
                <w:sz w:val="24"/>
              </w:rPr>
              <w:t>、Q</w:t>
            </w:r>
            <w:r>
              <w:rPr>
                <w:kern w:val="0"/>
                <w:sz w:val="24"/>
                <w:vertAlign w:val="subscript"/>
              </w:rPr>
              <w:t>2</w:t>
            </w:r>
            <w:r>
              <w:rPr>
                <w:kern w:val="0"/>
                <w:sz w:val="24"/>
              </w:rPr>
              <w:t>…Q</w:t>
            </w:r>
            <w:r>
              <w:rPr>
                <w:kern w:val="0"/>
                <w:sz w:val="24"/>
                <w:vertAlign w:val="subscript"/>
              </w:rPr>
              <w:t>n</w:t>
            </w:r>
            <w:r>
              <w:rPr>
                <w:kern w:val="0"/>
                <w:sz w:val="24"/>
              </w:rPr>
              <w:t xml:space="preserve"> ——与各危险物质相对应的生产场所或贮存区的临界量，t。</w:t>
            </w:r>
          </w:p>
          <w:p w14:paraId="586B987F">
            <w:pPr>
              <w:pStyle w:val="33"/>
              <w:spacing w:line="360" w:lineRule="auto"/>
              <w:ind w:firstLine="480" w:firstLineChars="200"/>
              <w:rPr>
                <w:color w:val="auto"/>
                <w:kern w:val="0"/>
              </w:rPr>
            </w:pPr>
            <w:r>
              <w:rPr>
                <w:color w:val="auto"/>
                <w:kern w:val="0"/>
              </w:rPr>
              <w:t>当Q&lt;1时，该项目风险潜势为Ⅰ。</w:t>
            </w:r>
          </w:p>
          <w:p w14:paraId="5440B45A">
            <w:pPr>
              <w:adjustRightInd w:val="0"/>
              <w:snapToGrid w:val="0"/>
              <w:spacing w:line="360" w:lineRule="auto"/>
              <w:ind w:firstLine="480" w:firstLineChars="200"/>
              <w:rPr>
                <w:kern w:val="0"/>
                <w:sz w:val="24"/>
              </w:rPr>
            </w:pPr>
            <w:r>
              <w:rPr>
                <w:kern w:val="0"/>
                <w:sz w:val="24"/>
              </w:rPr>
              <w:t>当Q≥1时，将Q值划分为：（1）1≤Q&lt;10；（2）10≤Q&lt;100；（3）Q≥100。</w:t>
            </w:r>
          </w:p>
          <w:p w14:paraId="77C83698">
            <w:pPr>
              <w:adjustRightInd w:val="0"/>
              <w:snapToGrid w:val="0"/>
              <w:spacing w:line="360" w:lineRule="auto"/>
              <w:ind w:firstLine="480" w:firstLineChars="200"/>
              <w:rPr>
                <w:b/>
                <w:bCs/>
                <w:sz w:val="24"/>
                <w:szCs w:val="28"/>
              </w:rPr>
            </w:pPr>
            <w:r>
              <w:rPr>
                <w:sz w:val="24"/>
              </w:rPr>
              <w:t>《建设项目环境风险评价技术导则》（HJ</w:t>
            </w:r>
            <w:r>
              <w:rPr>
                <w:rFonts w:hint="eastAsia"/>
                <w:sz w:val="24"/>
              </w:rPr>
              <w:t xml:space="preserve"> </w:t>
            </w:r>
            <w:r>
              <w:rPr>
                <w:sz w:val="24"/>
              </w:rPr>
              <w:t>169-2018）中附录B表B.1、B.2</w:t>
            </w:r>
            <w:r>
              <w:rPr>
                <w:sz w:val="24"/>
                <w:szCs w:val="28"/>
              </w:rPr>
              <w:t>，</w:t>
            </w:r>
            <w:r>
              <w:rPr>
                <w:sz w:val="24"/>
              </w:rPr>
              <w:t>确定本项目的危险物质为</w:t>
            </w:r>
            <w:r>
              <w:rPr>
                <w:rFonts w:hint="eastAsia"/>
                <w:sz w:val="24"/>
                <w:lang w:eastAsia="zh-CN"/>
              </w:rPr>
              <w:t>废</w:t>
            </w:r>
            <w:r>
              <w:rPr>
                <w:sz w:val="24"/>
              </w:rPr>
              <w:t>机油</w:t>
            </w:r>
            <w:r>
              <w:rPr>
                <w:rFonts w:hint="eastAsia"/>
                <w:sz w:val="24"/>
              </w:rPr>
              <w:t>，</w:t>
            </w:r>
            <w:r>
              <w:rPr>
                <w:sz w:val="24"/>
                <w:szCs w:val="28"/>
              </w:rPr>
              <w:t>其贮存量与对应的临界量的对比情况见</w:t>
            </w:r>
            <w:r>
              <w:rPr>
                <w:rFonts w:hint="eastAsia"/>
                <w:sz w:val="24"/>
                <w:szCs w:val="28"/>
              </w:rPr>
              <w:t>下表：</w:t>
            </w:r>
          </w:p>
          <w:p w14:paraId="10232F88">
            <w:pPr>
              <w:pStyle w:val="33"/>
              <w:snapToGrid w:val="0"/>
              <w:spacing w:line="360" w:lineRule="auto"/>
              <w:jc w:val="center"/>
              <w:rPr>
                <w:b/>
                <w:bCs/>
                <w:color w:val="auto"/>
                <w:szCs w:val="28"/>
              </w:rPr>
            </w:pPr>
            <w:r>
              <w:rPr>
                <w:rFonts w:hint="eastAsia"/>
                <w:b/>
                <w:bCs/>
                <w:color w:val="auto"/>
                <w:szCs w:val="28"/>
              </w:rPr>
              <w:t>表4</w:t>
            </w:r>
            <w:r>
              <w:rPr>
                <w:rFonts w:hint="eastAsia"/>
                <w:b/>
                <w:bCs/>
                <w:color w:val="auto"/>
                <w:szCs w:val="28"/>
                <w:lang w:val="en-US" w:eastAsia="zh-CN"/>
              </w:rPr>
              <w:t>-</w:t>
            </w:r>
            <w:r>
              <w:rPr>
                <w:rFonts w:hint="eastAsia"/>
                <w:b/>
                <w:bCs/>
                <w:color w:val="auto"/>
                <w:szCs w:val="28"/>
              </w:rPr>
              <w:t>1</w:t>
            </w:r>
            <w:r>
              <w:rPr>
                <w:rFonts w:hint="eastAsia"/>
                <w:b/>
                <w:bCs/>
                <w:color w:val="auto"/>
                <w:szCs w:val="28"/>
                <w:lang w:val="en-US" w:eastAsia="zh-CN"/>
              </w:rPr>
              <w:t>3</w:t>
            </w:r>
            <w:r>
              <w:rPr>
                <w:rFonts w:hint="eastAsia"/>
                <w:b/>
                <w:bCs/>
                <w:color w:val="auto"/>
                <w:szCs w:val="28"/>
              </w:rPr>
              <w:t xml:space="preserve">  危险物质</w:t>
            </w:r>
            <w:r>
              <w:rPr>
                <w:b/>
                <w:bCs/>
                <w:color w:val="auto"/>
                <w:szCs w:val="28"/>
              </w:rPr>
              <w:t>临界量</w:t>
            </w:r>
            <w:r>
              <w:rPr>
                <w:rFonts w:hint="eastAsia"/>
                <w:b/>
                <w:bCs/>
                <w:color w:val="auto"/>
                <w:szCs w:val="28"/>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1249"/>
              <w:gridCol w:w="2127"/>
              <w:gridCol w:w="1427"/>
              <w:gridCol w:w="1217"/>
            </w:tblGrid>
            <w:tr w14:paraId="036E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90" w:type="dxa"/>
                  <w:tcBorders>
                    <w:tl2br w:val="nil"/>
                    <w:tr2bl w:val="nil"/>
                  </w:tcBorders>
                  <w:vAlign w:val="center"/>
                </w:tcPr>
                <w:p w14:paraId="312598C8">
                  <w:pPr>
                    <w:pStyle w:val="33"/>
                    <w:snapToGrid w:val="0"/>
                    <w:spacing w:before="48" w:beforeLines="2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物质名称</w:t>
                  </w:r>
                </w:p>
              </w:tc>
              <w:tc>
                <w:tcPr>
                  <w:tcW w:w="1248" w:type="dxa"/>
                  <w:tcBorders>
                    <w:tl2br w:val="nil"/>
                    <w:tr2bl w:val="nil"/>
                  </w:tcBorders>
                  <w:vAlign w:val="center"/>
                </w:tcPr>
                <w:p w14:paraId="241B24D1">
                  <w:pPr>
                    <w:autoSpaceDE w:val="0"/>
                    <w:autoSpaceDN w:val="0"/>
                    <w:adjustRightInd w:val="0"/>
                    <w:snapToGrid w:val="0"/>
                    <w:spacing w:before="48" w:beforeLines="20"/>
                    <w:jc w:val="center"/>
                    <w:rPr>
                      <w:bCs/>
                      <w:color w:val="000000" w:themeColor="text1"/>
                      <w:szCs w:val="21"/>
                      <w14:textFill>
                        <w14:solidFill>
                          <w14:schemeClr w14:val="tx1"/>
                        </w14:solidFill>
                      </w14:textFill>
                    </w:rPr>
                  </w:pPr>
                  <w:r>
                    <w:rPr>
                      <w:bCs/>
                      <w:color w:val="000000" w:themeColor="text1"/>
                      <w:szCs w:val="21"/>
                      <w:lang w:val="zh-CN"/>
                      <w14:textFill>
                        <w14:solidFill>
                          <w14:schemeClr w14:val="tx1"/>
                        </w14:solidFill>
                      </w14:textFill>
                    </w:rPr>
                    <w:t>CAS号</w:t>
                  </w:r>
                </w:p>
              </w:tc>
              <w:tc>
                <w:tcPr>
                  <w:tcW w:w="2125" w:type="dxa"/>
                  <w:tcBorders>
                    <w:tl2br w:val="nil"/>
                    <w:tr2bl w:val="nil"/>
                  </w:tcBorders>
                  <w:vAlign w:val="center"/>
                </w:tcPr>
                <w:p w14:paraId="3B47EE03">
                  <w:pPr>
                    <w:pStyle w:val="33"/>
                    <w:snapToGrid w:val="0"/>
                    <w:spacing w:before="48" w:beforeLines="2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本项目最大储存量，t</w:t>
                  </w:r>
                </w:p>
              </w:tc>
              <w:tc>
                <w:tcPr>
                  <w:tcW w:w="1426" w:type="dxa"/>
                  <w:tcBorders>
                    <w:tl2br w:val="nil"/>
                    <w:tr2bl w:val="nil"/>
                  </w:tcBorders>
                  <w:vAlign w:val="center"/>
                </w:tcPr>
                <w:p w14:paraId="6004DCBB">
                  <w:pPr>
                    <w:pStyle w:val="33"/>
                    <w:snapToGrid w:val="0"/>
                    <w:spacing w:before="48" w:beforeLines="2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临界量，t</w:t>
                  </w:r>
                </w:p>
              </w:tc>
              <w:tc>
                <w:tcPr>
                  <w:tcW w:w="1216" w:type="dxa"/>
                  <w:tcBorders>
                    <w:tl2br w:val="nil"/>
                    <w:tr2bl w:val="nil"/>
                  </w:tcBorders>
                  <w:vAlign w:val="center"/>
                </w:tcPr>
                <w:p w14:paraId="0F697884">
                  <w:pPr>
                    <w:pStyle w:val="33"/>
                    <w:snapToGrid w:val="0"/>
                    <w:spacing w:before="48" w:beforeLines="20"/>
                    <w:jc w:val="center"/>
                    <w:rPr>
                      <w:color w:val="000000" w:themeColor="text1"/>
                      <w:sz w:val="21"/>
                      <w:szCs w:val="21"/>
                      <w14:textFill>
                        <w14:solidFill>
                          <w14:schemeClr w14:val="tx1"/>
                        </w14:solidFill>
                      </w14:textFill>
                    </w:rPr>
                  </w:pPr>
                  <w:r>
                    <w:rPr>
                      <w:rFonts w:eastAsia="Times New Roman"/>
                      <w:color w:val="000000" w:themeColor="text1"/>
                      <w:sz w:val="21"/>
                      <w:szCs w:val="21"/>
                      <w14:textFill>
                        <w14:solidFill>
                          <w14:schemeClr w14:val="tx1"/>
                        </w14:solidFill>
                      </w14:textFill>
                    </w:rPr>
                    <w:t>q/Q</w:t>
                  </w:r>
                </w:p>
              </w:tc>
            </w:tr>
            <w:tr w14:paraId="270B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90" w:type="dxa"/>
                  <w:tcBorders>
                    <w:tl2br w:val="nil"/>
                    <w:tr2bl w:val="nil"/>
                  </w:tcBorders>
                  <w:vAlign w:val="center"/>
                </w:tcPr>
                <w:p w14:paraId="7DB19373">
                  <w:pPr>
                    <w:autoSpaceDE w:val="0"/>
                    <w:autoSpaceDN w:val="0"/>
                    <w:adjustRightInd w:val="0"/>
                    <w:snapToGrid w:val="0"/>
                    <w:spacing w:before="48" w:beforeLines="2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油类物质（矿物油类，如石油、汽油、柴油等；生物柴油等）</w:t>
                  </w:r>
                </w:p>
              </w:tc>
              <w:tc>
                <w:tcPr>
                  <w:tcW w:w="1248" w:type="dxa"/>
                  <w:tcBorders>
                    <w:tl2br w:val="nil"/>
                    <w:tr2bl w:val="nil"/>
                  </w:tcBorders>
                  <w:vAlign w:val="center"/>
                </w:tcPr>
                <w:p w14:paraId="7AB2BA23">
                  <w:pPr>
                    <w:adjustRightInd w:val="0"/>
                    <w:snapToGrid w:val="0"/>
                    <w:spacing w:before="48" w:beforeLines="2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2125" w:type="dxa"/>
                  <w:tcBorders>
                    <w:tl2br w:val="nil"/>
                    <w:tr2bl w:val="nil"/>
                  </w:tcBorders>
                  <w:vAlign w:val="center"/>
                </w:tcPr>
                <w:p w14:paraId="5EF3499B">
                  <w:pPr>
                    <w:pStyle w:val="33"/>
                    <w:snapToGrid w:val="0"/>
                    <w:spacing w:before="48" w:beforeLines="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w:t>
                  </w:r>
                </w:p>
              </w:tc>
              <w:tc>
                <w:tcPr>
                  <w:tcW w:w="1426" w:type="dxa"/>
                  <w:tcBorders>
                    <w:tl2br w:val="nil"/>
                    <w:tr2bl w:val="nil"/>
                  </w:tcBorders>
                  <w:vAlign w:val="center"/>
                </w:tcPr>
                <w:p w14:paraId="5037C202">
                  <w:pPr>
                    <w:pStyle w:val="33"/>
                    <w:snapToGrid w:val="0"/>
                    <w:spacing w:before="48" w:beforeLines="2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2500</w:t>
                  </w:r>
                </w:p>
              </w:tc>
              <w:tc>
                <w:tcPr>
                  <w:tcW w:w="1216" w:type="dxa"/>
                  <w:tcBorders>
                    <w:tl2br w:val="nil"/>
                    <w:tr2bl w:val="nil"/>
                  </w:tcBorders>
                  <w:vAlign w:val="center"/>
                </w:tcPr>
                <w:p w14:paraId="6A3CD2EA">
                  <w:pPr>
                    <w:pStyle w:val="33"/>
                    <w:snapToGrid w:val="0"/>
                    <w:spacing w:before="48" w:beforeLines="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0.000</w:t>
                  </w:r>
                  <w:r>
                    <w:rPr>
                      <w:rFonts w:hint="eastAsia"/>
                      <w:color w:val="000000" w:themeColor="text1"/>
                      <w:sz w:val="21"/>
                      <w:szCs w:val="21"/>
                      <w:lang w:val="en-US" w:eastAsia="zh-CN"/>
                      <w14:textFill>
                        <w14:solidFill>
                          <w14:schemeClr w14:val="tx1"/>
                        </w14:solidFill>
                      </w14:textFill>
                    </w:rPr>
                    <w:t>2</w:t>
                  </w:r>
                </w:p>
              </w:tc>
            </w:tr>
          </w:tbl>
          <w:p w14:paraId="6CC1EA81">
            <w:pPr>
              <w:adjustRightInd w:val="0"/>
              <w:snapToGrid w:val="0"/>
              <w:spacing w:before="120" w:beforeLines="50" w:line="360" w:lineRule="auto"/>
              <w:ind w:firstLine="480" w:firstLineChars="200"/>
              <w:rPr>
                <w:kern w:val="0"/>
                <w:sz w:val="24"/>
              </w:rPr>
            </w:pPr>
            <w:r>
              <w:rPr>
                <w:rFonts w:hint="eastAsia"/>
                <w:color w:val="000000" w:themeColor="text1"/>
                <w:sz w:val="24"/>
                <w14:textFill>
                  <w14:solidFill>
                    <w14:schemeClr w14:val="tx1"/>
                  </w14:solidFill>
                </w14:textFill>
              </w:rPr>
              <w:t>由表4</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知，</w:t>
            </w:r>
            <w:r>
              <w:rPr>
                <w:color w:val="000000" w:themeColor="text1"/>
                <w:sz w:val="24"/>
                <w14:textFill>
                  <w14:solidFill>
                    <w14:schemeClr w14:val="tx1"/>
                  </w14:solidFill>
                </w14:textFill>
              </w:rPr>
              <w:t>本项目物质总量与其临界量比值Q</w:t>
            </w:r>
            <w:r>
              <w:rPr>
                <w:rFonts w:hint="eastAsia"/>
                <w:color w:val="000000" w:themeColor="text1"/>
                <w:sz w:val="24"/>
                <w14:textFill>
                  <w14:solidFill>
                    <w14:schemeClr w14:val="tx1"/>
                  </w14:solidFill>
                </w14:textFill>
              </w:rPr>
              <w:t>=0.000</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＜1，本项目风险潜势为Ⅰ</w:t>
            </w:r>
            <w:r>
              <w:rPr>
                <w:rFonts w:hint="eastAsia"/>
                <w:sz w:val="24"/>
              </w:rPr>
              <w:t>。</w:t>
            </w:r>
          </w:p>
          <w:p w14:paraId="0D0D9764">
            <w:pPr>
              <w:pStyle w:val="33"/>
              <w:snapToGrid w:val="0"/>
              <w:spacing w:line="360" w:lineRule="auto"/>
              <w:ind w:firstLine="482" w:firstLineChars="200"/>
              <w:rPr>
                <w:b/>
                <w:bCs/>
                <w:color w:val="auto"/>
                <w:kern w:val="0"/>
              </w:rPr>
            </w:pPr>
            <w:r>
              <w:rPr>
                <w:b/>
                <w:bCs/>
                <w:color w:val="auto"/>
                <w:kern w:val="0"/>
              </w:rPr>
              <w:t>环境风险</w:t>
            </w:r>
            <w:r>
              <w:rPr>
                <w:rFonts w:hint="eastAsia"/>
                <w:b/>
                <w:bCs/>
                <w:color w:val="auto"/>
                <w:kern w:val="0"/>
              </w:rPr>
              <w:t>识别：</w:t>
            </w:r>
          </w:p>
          <w:p w14:paraId="6DEE0665">
            <w:pPr>
              <w:adjustRightInd w:val="0"/>
              <w:snapToGrid w:val="0"/>
              <w:spacing w:line="360" w:lineRule="auto"/>
              <w:ind w:firstLine="480" w:firstLineChars="200"/>
              <w:rPr>
                <w:kern w:val="0"/>
                <w:sz w:val="24"/>
              </w:rPr>
            </w:pPr>
            <w:r>
              <w:rPr>
                <w:rFonts w:hint="eastAsia"/>
                <w:kern w:val="0"/>
                <w:sz w:val="24"/>
              </w:rPr>
              <w:t>（1）</w:t>
            </w:r>
            <w:r>
              <w:rPr>
                <w:kern w:val="0"/>
                <w:sz w:val="24"/>
              </w:rPr>
              <w:t>风险识别范围和风险类型</w:t>
            </w:r>
          </w:p>
          <w:p w14:paraId="7F141C65">
            <w:pPr>
              <w:adjustRightInd w:val="0"/>
              <w:snapToGrid w:val="0"/>
              <w:spacing w:line="360" w:lineRule="auto"/>
              <w:ind w:firstLine="480" w:firstLineChars="200"/>
              <w:rPr>
                <w:kern w:val="0"/>
                <w:sz w:val="24"/>
              </w:rPr>
            </w:pPr>
            <w:r>
              <w:rPr>
                <w:kern w:val="0"/>
                <w:sz w:val="24"/>
              </w:rPr>
              <w:t>按照《建设项目环境风险评价技术导则》（HJ</w:t>
            </w:r>
            <w:r>
              <w:rPr>
                <w:rFonts w:hint="eastAsia"/>
                <w:kern w:val="0"/>
                <w:sz w:val="24"/>
              </w:rPr>
              <w:t>/</w:t>
            </w:r>
            <w:r>
              <w:rPr>
                <w:kern w:val="0"/>
                <w:sz w:val="24"/>
              </w:rPr>
              <w:t>169-2018）的要求，项目风险识别范围主要包括物质风险性识别、生产系统危险性识别、危险物质向环境转移的途径识别。</w:t>
            </w:r>
          </w:p>
          <w:p w14:paraId="2D222878">
            <w:pPr>
              <w:adjustRightInd w:val="0"/>
              <w:snapToGrid w:val="0"/>
              <w:spacing w:line="360" w:lineRule="auto"/>
              <w:ind w:firstLine="480" w:firstLineChars="200"/>
              <w:rPr>
                <w:kern w:val="0"/>
                <w:sz w:val="24"/>
              </w:rPr>
            </w:pPr>
            <w:r>
              <w:rPr>
                <w:kern w:val="0"/>
                <w:sz w:val="24"/>
              </w:rPr>
              <w:t>物质危险性识别，包括主要原辅材料、燃料、中间产品、副产品、最终产品、污染物、火灾和爆炸伴生/次生物等。</w:t>
            </w:r>
          </w:p>
          <w:p w14:paraId="1F3F0218">
            <w:pPr>
              <w:adjustRightInd w:val="0"/>
              <w:snapToGrid w:val="0"/>
              <w:spacing w:line="360" w:lineRule="auto"/>
              <w:ind w:firstLine="480" w:firstLineChars="200"/>
              <w:rPr>
                <w:kern w:val="0"/>
                <w:sz w:val="24"/>
              </w:rPr>
            </w:pPr>
            <w:r>
              <w:rPr>
                <w:kern w:val="0"/>
                <w:sz w:val="24"/>
              </w:rPr>
              <w:t>生产系统危险性识别，包括主要生产装置、储运设施、公用工程和辅助生产设施，以及环境保护设施等。</w:t>
            </w:r>
          </w:p>
          <w:p w14:paraId="23E5E678">
            <w:pPr>
              <w:adjustRightInd w:val="0"/>
              <w:snapToGrid w:val="0"/>
              <w:spacing w:line="360" w:lineRule="auto"/>
              <w:ind w:firstLine="480" w:firstLineChars="200"/>
              <w:rPr>
                <w:kern w:val="0"/>
                <w:sz w:val="24"/>
              </w:rPr>
            </w:pPr>
            <w:r>
              <w:rPr>
                <w:kern w:val="0"/>
                <w:sz w:val="24"/>
              </w:rPr>
              <w:t>危险物质向环境转移的途径识别，包括分析危险物质特性及可能的环境风险类型，识别危险物质影响环境的途径，分析可能影响的环境敏感目标。</w:t>
            </w:r>
          </w:p>
          <w:p w14:paraId="4AFD137D">
            <w:pPr>
              <w:adjustRightInd w:val="0"/>
              <w:snapToGrid w:val="0"/>
              <w:spacing w:line="360" w:lineRule="auto"/>
              <w:ind w:firstLine="480" w:firstLineChars="200"/>
              <w:rPr>
                <w:kern w:val="0"/>
                <w:sz w:val="24"/>
              </w:rPr>
            </w:pPr>
            <w:r>
              <w:rPr>
                <w:rFonts w:hint="eastAsia"/>
                <w:kern w:val="0"/>
                <w:sz w:val="24"/>
              </w:rPr>
              <w:t>（2）</w:t>
            </w:r>
            <w:r>
              <w:rPr>
                <w:kern w:val="0"/>
                <w:sz w:val="24"/>
              </w:rPr>
              <w:t>风险物质识别</w:t>
            </w:r>
          </w:p>
          <w:p w14:paraId="1D61CD9A">
            <w:pPr>
              <w:adjustRightInd w:val="0"/>
              <w:snapToGrid w:val="0"/>
              <w:spacing w:line="360" w:lineRule="auto"/>
              <w:ind w:firstLine="480" w:firstLineChars="200"/>
              <w:rPr>
                <w:sz w:val="24"/>
              </w:rPr>
            </w:pPr>
            <w:r>
              <w:rPr>
                <w:kern w:val="0"/>
                <w:sz w:val="24"/>
              </w:rPr>
              <w:t>根据本项目所用物料与《建设项目环境风险评价技术导则》（HJ169-2018）附录 B 中重点关注的危险物质进行对比，</w:t>
            </w:r>
            <w:r>
              <w:rPr>
                <w:sz w:val="24"/>
              </w:rPr>
              <w:t>本项目涉及危险化学品主要</w:t>
            </w:r>
            <w:r>
              <w:rPr>
                <w:rFonts w:hint="eastAsia"/>
                <w:sz w:val="24"/>
              </w:rPr>
              <w:t>为</w:t>
            </w:r>
            <w:r>
              <w:rPr>
                <w:sz w:val="24"/>
              </w:rPr>
              <w:t>机油</w:t>
            </w:r>
            <w:r>
              <w:rPr>
                <w:rFonts w:hint="eastAsia"/>
                <w:sz w:val="24"/>
              </w:rPr>
              <w:t>、润滑油</w:t>
            </w:r>
            <w:r>
              <w:rPr>
                <w:sz w:val="24"/>
              </w:rPr>
              <w:t>。</w:t>
            </w:r>
          </w:p>
          <w:p w14:paraId="2361440D">
            <w:pPr>
              <w:adjustRightInd w:val="0"/>
              <w:snapToGrid w:val="0"/>
              <w:spacing w:line="360" w:lineRule="auto"/>
              <w:ind w:firstLine="480" w:firstLineChars="200"/>
              <w:rPr>
                <w:kern w:val="0"/>
                <w:sz w:val="24"/>
              </w:rPr>
            </w:pPr>
            <w:r>
              <w:rPr>
                <w:rFonts w:hint="eastAsia"/>
                <w:kern w:val="0"/>
                <w:sz w:val="24"/>
              </w:rPr>
              <w:t>（3）</w:t>
            </w:r>
            <w:r>
              <w:rPr>
                <w:kern w:val="0"/>
                <w:sz w:val="24"/>
              </w:rPr>
              <w:t>生产过程潜在危险性识别</w:t>
            </w:r>
          </w:p>
          <w:p w14:paraId="2EEB5512">
            <w:pPr>
              <w:adjustRightInd w:val="0"/>
              <w:snapToGrid w:val="0"/>
              <w:spacing w:line="360" w:lineRule="auto"/>
              <w:ind w:firstLine="480" w:firstLineChars="200"/>
              <w:rPr>
                <w:kern w:val="0"/>
                <w:sz w:val="24"/>
              </w:rPr>
            </w:pPr>
            <w:r>
              <w:rPr>
                <w:kern w:val="0"/>
                <w:sz w:val="24"/>
              </w:rPr>
              <w:t>根据生产企业的一般工艺特点，生产设施可划分为七大单元，具体见下表：</w:t>
            </w:r>
          </w:p>
          <w:p w14:paraId="7CC85AC4">
            <w:pPr>
              <w:pStyle w:val="41"/>
              <w:adjustRightInd w:val="0"/>
              <w:snapToGrid w:val="0"/>
              <w:spacing w:line="360" w:lineRule="auto"/>
              <w:rPr>
                <w:kern w:val="0"/>
                <w:sz w:val="24"/>
              </w:rPr>
            </w:pPr>
            <w:r>
              <w:rPr>
                <w:kern w:val="0"/>
                <w:sz w:val="24"/>
              </w:rPr>
              <w:t>表</w:t>
            </w:r>
            <w:r>
              <w:rPr>
                <w:rFonts w:hint="eastAsia"/>
                <w:kern w:val="0"/>
                <w:sz w:val="24"/>
              </w:rPr>
              <w:t>4</w:t>
            </w:r>
            <w:r>
              <w:rPr>
                <w:rFonts w:hint="eastAsia"/>
                <w:kern w:val="0"/>
                <w:sz w:val="24"/>
                <w:lang w:val="en-US" w:eastAsia="zh-CN"/>
              </w:rPr>
              <w:t>-</w:t>
            </w:r>
            <w:r>
              <w:rPr>
                <w:rFonts w:hint="eastAsia"/>
                <w:kern w:val="0"/>
                <w:sz w:val="24"/>
              </w:rPr>
              <w:t>1</w:t>
            </w:r>
            <w:r>
              <w:rPr>
                <w:rFonts w:hint="eastAsia"/>
                <w:kern w:val="0"/>
                <w:sz w:val="24"/>
                <w:lang w:val="en-US" w:eastAsia="zh-CN"/>
              </w:rPr>
              <w:t>4</w:t>
            </w:r>
            <w:r>
              <w:rPr>
                <w:rFonts w:hint="eastAsia"/>
                <w:kern w:val="0"/>
                <w:sz w:val="24"/>
              </w:rPr>
              <w:t xml:space="preserve"> </w:t>
            </w:r>
            <w:r>
              <w:rPr>
                <w:kern w:val="0"/>
                <w:sz w:val="24"/>
              </w:rPr>
              <w:t xml:space="preserve"> 生产设施划分表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307"/>
              <w:gridCol w:w="5306"/>
              <w:gridCol w:w="751"/>
            </w:tblGrid>
            <w:tr w14:paraId="4A4E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8" w:type="dxa"/>
                  <w:tcBorders>
                    <w:tl2br w:val="nil"/>
                    <w:tr2bl w:val="nil"/>
                  </w:tcBorders>
                  <w:vAlign w:val="center"/>
                </w:tcPr>
                <w:p w14:paraId="0DF1AD11">
                  <w:pPr>
                    <w:pStyle w:val="41"/>
                    <w:adjustRightInd w:val="0"/>
                    <w:snapToGrid w:val="0"/>
                    <w:spacing w:before="48" w:beforeLines="20"/>
                    <w:rPr>
                      <w:b w:val="0"/>
                      <w:bCs/>
                      <w:kern w:val="0"/>
                      <w:szCs w:val="21"/>
                    </w:rPr>
                  </w:pPr>
                  <w:r>
                    <w:rPr>
                      <w:b w:val="0"/>
                      <w:bCs/>
                      <w:kern w:val="0"/>
                      <w:szCs w:val="21"/>
                    </w:rPr>
                    <w:t>序号</w:t>
                  </w:r>
                </w:p>
              </w:tc>
              <w:tc>
                <w:tcPr>
                  <w:tcW w:w="1307" w:type="dxa"/>
                  <w:tcBorders>
                    <w:tl2br w:val="nil"/>
                    <w:tr2bl w:val="nil"/>
                  </w:tcBorders>
                  <w:vAlign w:val="center"/>
                </w:tcPr>
                <w:p w14:paraId="089B942D">
                  <w:pPr>
                    <w:pStyle w:val="41"/>
                    <w:adjustRightInd w:val="0"/>
                    <w:snapToGrid w:val="0"/>
                    <w:spacing w:before="48" w:beforeLines="20"/>
                    <w:rPr>
                      <w:b w:val="0"/>
                      <w:bCs/>
                      <w:kern w:val="0"/>
                      <w:szCs w:val="21"/>
                    </w:rPr>
                  </w:pPr>
                  <w:r>
                    <w:rPr>
                      <w:b w:val="0"/>
                      <w:bCs/>
                      <w:kern w:val="0"/>
                      <w:szCs w:val="21"/>
                    </w:rPr>
                    <w:t>系统名称</w:t>
                  </w:r>
                </w:p>
              </w:tc>
              <w:tc>
                <w:tcPr>
                  <w:tcW w:w="5306" w:type="dxa"/>
                  <w:tcBorders>
                    <w:tl2br w:val="nil"/>
                    <w:tr2bl w:val="nil"/>
                  </w:tcBorders>
                  <w:vAlign w:val="center"/>
                </w:tcPr>
                <w:p w14:paraId="09B214E4">
                  <w:pPr>
                    <w:pStyle w:val="41"/>
                    <w:adjustRightInd w:val="0"/>
                    <w:snapToGrid w:val="0"/>
                    <w:spacing w:before="48" w:beforeLines="20"/>
                    <w:rPr>
                      <w:b w:val="0"/>
                      <w:bCs/>
                      <w:kern w:val="0"/>
                      <w:szCs w:val="21"/>
                    </w:rPr>
                  </w:pPr>
                  <w:r>
                    <w:rPr>
                      <w:b w:val="0"/>
                      <w:bCs/>
                      <w:kern w:val="0"/>
                      <w:szCs w:val="21"/>
                    </w:rPr>
                    <w:t>涉及功能单元</w:t>
                  </w:r>
                </w:p>
              </w:tc>
              <w:tc>
                <w:tcPr>
                  <w:tcW w:w="751" w:type="dxa"/>
                  <w:tcBorders>
                    <w:tl2br w:val="nil"/>
                    <w:tr2bl w:val="nil"/>
                  </w:tcBorders>
                  <w:vAlign w:val="center"/>
                </w:tcPr>
                <w:p w14:paraId="16522EE0">
                  <w:pPr>
                    <w:pStyle w:val="41"/>
                    <w:adjustRightInd w:val="0"/>
                    <w:snapToGrid w:val="0"/>
                    <w:spacing w:before="48" w:beforeLines="20"/>
                    <w:rPr>
                      <w:b w:val="0"/>
                      <w:bCs/>
                      <w:kern w:val="0"/>
                      <w:szCs w:val="21"/>
                    </w:rPr>
                  </w:pPr>
                  <w:r>
                    <w:rPr>
                      <w:b w:val="0"/>
                      <w:bCs/>
                      <w:kern w:val="0"/>
                      <w:szCs w:val="21"/>
                    </w:rPr>
                    <w:t>备注</w:t>
                  </w:r>
                </w:p>
              </w:tc>
            </w:tr>
            <w:tr w14:paraId="0195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8" w:type="dxa"/>
                  <w:tcBorders>
                    <w:tl2br w:val="nil"/>
                    <w:tr2bl w:val="nil"/>
                  </w:tcBorders>
                  <w:vAlign w:val="center"/>
                </w:tcPr>
                <w:p w14:paraId="76FE1ED0">
                  <w:pPr>
                    <w:pStyle w:val="41"/>
                    <w:adjustRightInd w:val="0"/>
                    <w:snapToGrid w:val="0"/>
                    <w:spacing w:before="48" w:beforeLines="20"/>
                    <w:rPr>
                      <w:b w:val="0"/>
                      <w:bCs/>
                      <w:kern w:val="0"/>
                      <w:szCs w:val="21"/>
                    </w:rPr>
                  </w:pPr>
                  <w:r>
                    <w:rPr>
                      <w:b w:val="0"/>
                      <w:bCs/>
                      <w:kern w:val="0"/>
                      <w:szCs w:val="21"/>
                    </w:rPr>
                    <w:t>1</w:t>
                  </w:r>
                </w:p>
              </w:tc>
              <w:tc>
                <w:tcPr>
                  <w:tcW w:w="1307" w:type="dxa"/>
                  <w:tcBorders>
                    <w:tl2br w:val="nil"/>
                    <w:tr2bl w:val="nil"/>
                  </w:tcBorders>
                  <w:vAlign w:val="center"/>
                </w:tcPr>
                <w:p w14:paraId="5F3CC412">
                  <w:pPr>
                    <w:pStyle w:val="41"/>
                    <w:adjustRightInd w:val="0"/>
                    <w:snapToGrid w:val="0"/>
                    <w:spacing w:before="48" w:beforeLines="20"/>
                    <w:rPr>
                      <w:b w:val="0"/>
                      <w:bCs/>
                      <w:kern w:val="0"/>
                      <w:szCs w:val="21"/>
                    </w:rPr>
                  </w:pPr>
                  <w:r>
                    <w:rPr>
                      <w:b w:val="0"/>
                      <w:bCs/>
                      <w:kern w:val="0"/>
                      <w:szCs w:val="21"/>
                    </w:rPr>
                    <w:t>生产装置</w:t>
                  </w:r>
                </w:p>
              </w:tc>
              <w:tc>
                <w:tcPr>
                  <w:tcW w:w="5306" w:type="dxa"/>
                  <w:tcBorders>
                    <w:tl2br w:val="nil"/>
                    <w:tr2bl w:val="nil"/>
                  </w:tcBorders>
                  <w:vAlign w:val="center"/>
                </w:tcPr>
                <w:p w14:paraId="5CCF707E">
                  <w:pPr>
                    <w:pStyle w:val="41"/>
                    <w:adjustRightInd w:val="0"/>
                    <w:snapToGrid w:val="0"/>
                    <w:spacing w:before="48" w:beforeLines="20"/>
                    <w:rPr>
                      <w:b w:val="0"/>
                      <w:bCs/>
                      <w:kern w:val="0"/>
                      <w:szCs w:val="21"/>
                    </w:rPr>
                  </w:pPr>
                  <w:r>
                    <w:rPr>
                      <w:b w:val="0"/>
                      <w:bCs/>
                      <w:kern w:val="0"/>
                      <w:szCs w:val="21"/>
                    </w:rPr>
                    <w:t>各生产工段的主要设备和原料输送管道</w:t>
                  </w:r>
                </w:p>
              </w:tc>
              <w:tc>
                <w:tcPr>
                  <w:tcW w:w="751" w:type="dxa"/>
                  <w:vMerge w:val="restart"/>
                  <w:tcBorders>
                    <w:tl2br w:val="nil"/>
                    <w:tr2bl w:val="nil"/>
                  </w:tcBorders>
                  <w:vAlign w:val="center"/>
                </w:tcPr>
                <w:p w14:paraId="673BEC64">
                  <w:pPr>
                    <w:pStyle w:val="41"/>
                    <w:adjustRightInd w:val="0"/>
                    <w:snapToGrid w:val="0"/>
                    <w:spacing w:before="48" w:beforeLines="20"/>
                    <w:rPr>
                      <w:b w:val="0"/>
                      <w:bCs/>
                      <w:kern w:val="0"/>
                      <w:szCs w:val="21"/>
                    </w:rPr>
                  </w:pPr>
                  <w:r>
                    <w:rPr>
                      <w:b w:val="0"/>
                      <w:bCs/>
                      <w:kern w:val="0"/>
                      <w:szCs w:val="21"/>
                    </w:rPr>
                    <w:t>功能系统</w:t>
                  </w:r>
                </w:p>
              </w:tc>
            </w:tr>
            <w:tr w14:paraId="02F0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tcBorders>
                    <w:tl2br w:val="nil"/>
                    <w:tr2bl w:val="nil"/>
                  </w:tcBorders>
                  <w:vAlign w:val="center"/>
                </w:tcPr>
                <w:p w14:paraId="1026194D">
                  <w:pPr>
                    <w:pStyle w:val="41"/>
                    <w:adjustRightInd w:val="0"/>
                    <w:snapToGrid w:val="0"/>
                    <w:spacing w:before="48" w:beforeLines="20"/>
                    <w:rPr>
                      <w:b w:val="0"/>
                      <w:bCs/>
                      <w:kern w:val="0"/>
                      <w:szCs w:val="21"/>
                    </w:rPr>
                  </w:pPr>
                  <w:r>
                    <w:rPr>
                      <w:b w:val="0"/>
                      <w:bCs/>
                      <w:kern w:val="0"/>
                      <w:szCs w:val="21"/>
                    </w:rPr>
                    <w:t>2</w:t>
                  </w:r>
                </w:p>
              </w:tc>
              <w:tc>
                <w:tcPr>
                  <w:tcW w:w="1307" w:type="dxa"/>
                  <w:tcBorders>
                    <w:tl2br w:val="nil"/>
                    <w:tr2bl w:val="nil"/>
                  </w:tcBorders>
                  <w:vAlign w:val="center"/>
                </w:tcPr>
                <w:p w14:paraId="556BF3A2">
                  <w:pPr>
                    <w:pStyle w:val="41"/>
                    <w:adjustRightInd w:val="0"/>
                    <w:snapToGrid w:val="0"/>
                    <w:spacing w:before="48" w:beforeLines="20"/>
                    <w:rPr>
                      <w:b w:val="0"/>
                      <w:bCs/>
                      <w:kern w:val="0"/>
                      <w:szCs w:val="21"/>
                    </w:rPr>
                  </w:pPr>
                  <w:r>
                    <w:rPr>
                      <w:b w:val="0"/>
                      <w:bCs/>
                      <w:kern w:val="0"/>
                      <w:szCs w:val="21"/>
                    </w:rPr>
                    <w:t>储运装置</w:t>
                  </w:r>
                </w:p>
              </w:tc>
              <w:tc>
                <w:tcPr>
                  <w:tcW w:w="5306" w:type="dxa"/>
                  <w:tcBorders>
                    <w:tl2br w:val="nil"/>
                    <w:tr2bl w:val="nil"/>
                  </w:tcBorders>
                  <w:vAlign w:val="center"/>
                </w:tcPr>
                <w:p w14:paraId="594B846C">
                  <w:pPr>
                    <w:pStyle w:val="41"/>
                    <w:adjustRightInd w:val="0"/>
                    <w:snapToGrid w:val="0"/>
                    <w:spacing w:before="48" w:beforeLines="20"/>
                    <w:rPr>
                      <w:b w:val="0"/>
                      <w:bCs/>
                      <w:kern w:val="0"/>
                      <w:szCs w:val="21"/>
                    </w:rPr>
                  </w:pPr>
                  <w:r>
                    <w:rPr>
                      <w:b w:val="0"/>
                      <w:bCs/>
                      <w:kern w:val="0"/>
                      <w:szCs w:val="21"/>
                    </w:rPr>
                    <w:t>原料、中间体、产品的运输及储存</w:t>
                  </w:r>
                </w:p>
              </w:tc>
              <w:tc>
                <w:tcPr>
                  <w:tcW w:w="751" w:type="dxa"/>
                  <w:vMerge w:val="continue"/>
                  <w:tcBorders>
                    <w:tl2br w:val="nil"/>
                    <w:tr2bl w:val="nil"/>
                  </w:tcBorders>
                  <w:vAlign w:val="center"/>
                </w:tcPr>
                <w:p w14:paraId="08B3282B">
                  <w:pPr>
                    <w:pStyle w:val="41"/>
                    <w:adjustRightInd w:val="0"/>
                    <w:snapToGrid w:val="0"/>
                    <w:spacing w:before="48" w:beforeLines="20"/>
                    <w:rPr>
                      <w:b w:val="0"/>
                      <w:bCs/>
                      <w:kern w:val="0"/>
                      <w:szCs w:val="21"/>
                    </w:rPr>
                  </w:pPr>
                </w:p>
              </w:tc>
            </w:tr>
            <w:tr w14:paraId="2E28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tcBorders>
                    <w:tl2br w:val="nil"/>
                    <w:tr2bl w:val="nil"/>
                  </w:tcBorders>
                  <w:vAlign w:val="center"/>
                </w:tcPr>
                <w:p w14:paraId="3B7ED386">
                  <w:pPr>
                    <w:pStyle w:val="41"/>
                    <w:adjustRightInd w:val="0"/>
                    <w:snapToGrid w:val="0"/>
                    <w:spacing w:before="48" w:beforeLines="20"/>
                    <w:rPr>
                      <w:b w:val="0"/>
                      <w:bCs/>
                      <w:kern w:val="0"/>
                      <w:szCs w:val="21"/>
                    </w:rPr>
                  </w:pPr>
                  <w:r>
                    <w:rPr>
                      <w:b w:val="0"/>
                      <w:bCs/>
                      <w:kern w:val="0"/>
                      <w:szCs w:val="21"/>
                    </w:rPr>
                    <w:t>3</w:t>
                  </w:r>
                </w:p>
              </w:tc>
              <w:tc>
                <w:tcPr>
                  <w:tcW w:w="1307" w:type="dxa"/>
                  <w:tcBorders>
                    <w:tl2br w:val="nil"/>
                    <w:tr2bl w:val="nil"/>
                  </w:tcBorders>
                  <w:vAlign w:val="center"/>
                </w:tcPr>
                <w:p w14:paraId="340510F4">
                  <w:pPr>
                    <w:pStyle w:val="41"/>
                    <w:adjustRightInd w:val="0"/>
                    <w:snapToGrid w:val="0"/>
                    <w:spacing w:before="48" w:beforeLines="20"/>
                    <w:rPr>
                      <w:b w:val="0"/>
                      <w:bCs/>
                      <w:kern w:val="0"/>
                      <w:szCs w:val="21"/>
                    </w:rPr>
                  </w:pPr>
                  <w:r>
                    <w:rPr>
                      <w:b w:val="0"/>
                      <w:bCs/>
                      <w:kern w:val="0"/>
                      <w:szCs w:val="21"/>
                    </w:rPr>
                    <w:t>公用工程</w:t>
                  </w:r>
                </w:p>
              </w:tc>
              <w:tc>
                <w:tcPr>
                  <w:tcW w:w="5306" w:type="dxa"/>
                  <w:tcBorders>
                    <w:tl2br w:val="nil"/>
                    <w:tr2bl w:val="nil"/>
                  </w:tcBorders>
                  <w:vAlign w:val="center"/>
                </w:tcPr>
                <w:p w14:paraId="557744A2">
                  <w:pPr>
                    <w:pStyle w:val="41"/>
                    <w:adjustRightInd w:val="0"/>
                    <w:snapToGrid w:val="0"/>
                    <w:spacing w:before="48" w:beforeLines="20"/>
                    <w:rPr>
                      <w:b w:val="0"/>
                      <w:bCs/>
                      <w:kern w:val="0"/>
                      <w:szCs w:val="21"/>
                    </w:rPr>
                  </w:pPr>
                  <w:r>
                    <w:rPr>
                      <w:b w:val="0"/>
                      <w:bCs/>
                      <w:kern w:val="0"/>
                      <w:szCs w:val="21"/>
                    </w:rPr>
                    <w:t>水、电等</w:t>
                  </w:r>
                </w:p>
              </w:tc>
              <w:tc>
                <w:tcPr>
                  <w:tcW w:w="751" w:type="dxa"/>
                  <w:vMerge w:val="continue"/>
                  <w:tcBorders>
                    <w:tl2br w:val="nil"/>
                    <w:tr2bl w:val="nil"/>
                  </w:tcBorders>
                  <w:vAlign w:val="center"/>
                </w:tcPr>
                <w:p w14:paraId="4F75B996">
                  <w:pPr>
                    <w:pStyle w:val="41"/>
                    <w:adjustRightInd w:val="0"/>
                    <w:snapToGrid w:val="0"/>
                    <w:spacing w:before="48" w:beforeLines="20"/>
                    <w:rPr>
                      <w:b w:val="0"/>
                      <w:bCs/>
                      <w:kern w:val="0"/>
                      <w:szCs w:val="21"/>
                    </w:rPr>
                  </w:pPr>
                </w:p>
              </w:tc>
            </w:tr>
            <w:tr w14:paraId="0AA6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tcBorders>
                    <w:tl2br w:val="nil"/>
                    <w:tr2bl w:val="nil"/>
                  </w:tcBorders>
                  <w:vAlign w:val="center"/>
                </w:tcPr>
                <w:p w14:paraId="2D97EC72">
                  <w:pPr>
                    <w:pStyle w:val="41"/>
                    <w:adjustRightInd w:val="0"/>
                    <w:snapToGrid w:val="0"/>
                    <w:spacing w:before="48" w:beforeLines="20"/>
                    <w:rPr>
                      <w:b w:val="0"/>
                      <w:bCs/>
                      <w:kern w:val="0"/>
                      <w:szCs w:val="21"/>
                    </w:rPr>
                  </w:pPr>
                  <w:r>
                    <w:rPr>
                      <w:b w:val="0"/>
                      <w:bCs/>
                      <w:kern w:val="0"/>
                      <w:szCs w:val="21"/>
                    </w:rPr>
                    <w:t>4</w:t>
                  </w:r>
                </w:p>
              </w:tc>
              <w:tc>
                <w:tcPr>
                  <w:tcW w:w="1307" w:type="dxa"/>
                  <w:tcBorders>
                    <w:tl2br w:val="nil"/>
                    <w:tr2bl w:val="nil"/>
                  </w:tcBorders>
                  <w:vAlign w:val="center"/>
                </w:tcPr>
                <w:p w14:paraId="114B50FC">
                  <w:pPr>
                    <w:pStyle w:val="41"/>
                    <w:adjustRightInd w:val="0"/>
                    <w:snapToGrid w:val="0"/>
                    <w:spacing w:before="48" w:beforeLines="20"/>
                    <w:rPr>
                      <w:b w:val="0"/>
                      <w:bCs/>
                      <w:kern w:val="0"/>
                      <w:szCs w:val="21"/>
                    </w:rPr>
                  </w:pPr>
                  <w:r>
                    <w:rPr>
                      <w:b w:val="0"/>
                      <w:bCs/>
                      <w:kern w:val="0"/>
                      <w:szCs w:val="21"/>
                    </w:rPr>
                    <w:t>生产辅助</w:t>
                  </w:r>
                </w:p>
              </w:tc>
              <w:tc>
                <w:tcPr>
                  <w:tcW w:w="5306" w:type="dxa"/>
                  <w:tcBorders>
                    <w:tl2br w:val="nil"/>
                    <w:tr2bl w:val="nil"/>
                  </w:tcBorders>
                  <w:vAlign w:val="center"/>
                </w:tcPr>
                <w:p w14:paraId="7CEBADB8">
                  <w:pPr>
                    <w:pStyle w:val="41"/>
                    <w:adjustRightInd w:val="0"/>
                    <w:snapToGrid w:val="0"/>
                    <w:spacing w:before="48" w:beforeLines="20"/>
                    <w:rPr>
                      <w:b w:val="0"/>
                      <w:bCs/>
                      <w:kern w:val="0"/>
                      <w:szCs w:val="21"/>
                    </w:rPr>
                  </w:pPr>
                  <w:r>
                    <w:rPr>
                      <w:b w:val="0"/>
                      <w:bCs/>
                      <w:kern w:val="0"/>
                      <w:szCs w:val="21"/>
                    </w:rPr>
                    <w:t>机械、设备、仪表维修等</w:t>
                  </w:r>
                </w:p>
              </w:tc>
              <w:tc>
                <w:tcPr>
                  <w:tcW w:w="751" w:type="dxa"/>
                  <w:vMerge w:val="continue"/>
                  <w:tcBorders>
                    <w:tl2br w:val="nil"/>
                    <w:tr2bl w:val="nil"/>
                  </w:tcBorders>
                  <w:vAlign w:val="center"/>
                </w:tcPr>
                <w:p w14:paraId="24590CF7">
                  <w:pPr>
                    <w:pStyle w:val="41"/>
                    <w:adjustRightInd w:val="0"/>
                    <w:snapToGrid w:val="0"/>
                    <w:spacing w:before="48" w:beforeLines="20"/>
                    <w:rPr>
                      <w:b w:val="0"/>
                      <w:bCs/>
                      <w:kern w:val="0"/>
                      <w:szCs w:val="21"/>
                    </w:rPr>
                  </w:pPr>
                </w:p>
              </w:tc>
            </w:tr>
            <w:tr w14:paraId="7A2F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tcBorders>
                    <w:tl2br w:val="nil"/>
                    <w:tr2bl w:val="nil"/>
                  </w:tcBorders>
                  <w:vAlign w:val="center"/>
                </w:tcPr>
                <w:p w14:paraId="1B4D7641">
                  <w:pPr>
                    <w:pStyle w:val="41"/>
                    <w:adjustRightInd w:val="0"/>
                    <w:snapToGrid w:val="0"/>
                    <w:spacing w:before="48" w:beforeLines="20"/>
                    <w:rPr>
                      <w:b w:val="0"/>
                      <w:bCs/>
                      <w:kern w:val="0"/>
                      <w:szCs w:val="21"/>
                    </w:rPr>
                  </w:pPr>
                  <w:r>
                    <w:rPr>
                      <w:b w:val="0"/>
                      <w:bCs/>
                      <w:kern w:val="0"/>
                      <w:szCs w:val="21"/>
                    </w:rPr>
                    <w:t>5</w:t>
                  </w:r>
                </w:p>
              </w:tc>
              <w:tc>
                <w:tcPr>
                  <w:tcW w:w="1307" w:type="dxa"/>
                  <w:tcBorders>
                    <w:tl2br w:val="nil"/>
                    <w:tr2bl w:val="nil"/>
                  </w:tcBorders>
                  <w:vAlign w:val="center"/>
                </w:tcPr>
                <w:p w14:paraId="03DBFB2D">
                  <w:pPr>
                    <w:pStyle w:val="41"/>
                    <w:adjustRightInd w:val="0"/>
                    <w:snapToGrid w:val="0"/>
                    <w:spacing w:before="48" w:beforeLines="20"/>
                    <w:rPr>
                      <w:b w:val="0"/>
                      <w:bCs/>
                      <w:kern w:val="0"/>
                      <w:szCs w:val="21"/>
                    </w:rPr>
                  </w:pPr>
                  <w:r>
                    <w:rPr>
                      <w:b w:val="0"/>
                      <w:bCs/>
                      <w:kern w:val="0"/>
                      <w:szCs w:val="21"/>
                    </w:rPr>
                    <w:t>环保工程</w:t>
                  </w:r>
                </w:p>
              </w:tc>
              <w:tc>
                <w:tcPr>
                  <w:tcW w:w="5306" w:type="dxa"/>
                  <w:tcBorders>
                    <w:tl2br w:val="nil"/>
                    <w:tr2bl w:val="nil"/>
                  </w:tcBorders>
                  <w:vAlign w:val="center"/>
                </w:tcPr>
                <w:p w14:paraId="538266D9">
                  <w:pPr>
                    <w:pStyle w:val="41"/>
                    <w:adjustRightInd w:val="0"/>
                    <w:snapToGrid w:val="0"/>
                    <w:spacing w:before="48" w:beforeLines="20"/>
                    <w:rPr>
                      <w:b w:val="0"/>
                      <w:bCs/>
                      <w:kern w:val="0"/>
                      <w:szCs w:val="21"/>
                    </w:rPr>
                  </w:pPr>
                  <w:r>
                    <w:rPr>
                      <w:b w:val="0"/>
                      <w:bCs/>
                      <w:kern w:val="0"/>
                      <w:szCs w:val="21"/>
                    </w:rPr>
                    <w:t>厂区布置和废气、废水、噪声、固体废物等处理处置装置等</w:t>
                  </w:r>
                </w:p>
              </w:tc>
              <w:tc>
                <w:tcPr>
                  <w:tcW w:w="751" w:type="dxa"/>
                  <w:vMerge w:val="continue"/>
                  <w:tcBorders>
                    <w:tl2br w:val="nil"/>
                    <w:tr2bl w:val="nil"/>
                  </w:tcBorders>
                  <w:vAlign w:val="center"/>
                </w:tcPr>
                <w:p w14:paraId="106233AE">
                  <w:pPr>
                    <w:pStyle w:val="41"/>
                    <w:adjustRightInd w:val="0"/>
                    <w:snapToGrid w:val="0"/>
                    <w:spacing w:before="48" w:beforeLines="20"/>
                    <w:rPr>
                      <w:b w:val="0"/>
                      <w:bCs/>
                      <w:kern w:val="0"/>
                      <w:szCs w:val="21"/>
                    </w:rPr>
                  </w:pPr>
                </w:p>
              </w:tc>
            </w:tr>
            <w:tr w14:paraId="48FE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tcBorders>
                    <w:tl2br w:val="nil"/>
                    <w:tr2bl w:val="nil"/>
                  </w:tcBorders>
                  <w:vAlign w:val="center"/>
                </w:tcPr>
                <w:p w14:paraId="2CA9CA77">
                  <w:pPr>
                    <w:pStyle w:val="41"/>
                    <w:adjustRightInd w:val="0"/>
                    <w:snapToGrid w:val="0"/>
                    <w:spacing w:before="48" w:beforeLines="20"/>
                    <w:rPr>
                      <w:b w:val="0"/>
                      <w:bCs/>
                      <w:kern w:val="0"/>
                      <w:szCs w:val="21"/>
                    </w:rPr>
                  </w:pPr>
                  <w:r>
                    <w:rPr>
                      <w:b w:val="0"/>
                      <w:bCs/>
                      <w:kern w:val="0"/>
                      <w:szCs w:val="21"/>
                    </w:rPr>
                    <w:t>6</w:t>
                  </w:r>
                </w:p>
              </w:tc>
              <w:tc>
                <w:tcPr>
                  <w:tcW w:w="1307" w:type="dxa"/>
                  <w:tcBorders>
                    <w:tl2br w:val="nil"/>
                    <w:tr2bl w:val="nil"/>
                  </w:tcBorders>
                  <w:vAlign w:val="center"/>
                </w:tcPr>
                <w:p w14:paraId="1BAEEB8F">
                  <w:pPr>
                    <w:pStyle w:val="41"/>
                    <w:adjustRightInd w:val="0"/>
                    <w:snapToGrid w:val="0"/>
                    <w:spacing w:before="48" w:beforeLines="20"/>
                    <w:rPr>
                      <w:b w:val="0"/>
                      <w:bCs/>
                      <w:kern w:val="0"/>
                      <w:szCs w:val="21"/>
                    </w:rPr>
                  </w:pPr>
                  <w:r>
                    <w:rPr>
                      <w:b w:val="0"/>
                      <w:bCs/>
                      <w:kern w:val="0"/>
                      <w:szCs w:val="21"/>
                    </w:rPr>
                    <w:t>安全消防</w:t>
                  </w:r>
                </w:p>
              </w:tc>
              <w:tc>
                <w:tcPr>
                  <w:tcW w:w="5306" w:type="dxa"/>
                  <w:tcBorders>
                    <w:tl2br w:val="nil"/>
                    <w:tr2bl w:val="nil"/>
                  </w:tcBorders>
                  <w:vAlign w:val="center"/>
                </w:tcPr>
                <w:p w14:paraId="6128D5BC">
                  <w:pPr>
                    <w:pStyle w:val="41"/>
                    <w:adjustRightInd w:val="0"/>
                    <w:snapToGrid w:val="0"/>
                    <w:spacing w:before="48" w:beforeLines="20"/>
                    <w:rPr>
                      <w:b w:val="0"/>
                      <w:bCs/>
                      <w:kern w:val="0"/>
                      <w:szCs w:val="21"/>
                    </w:rPr>
                  </w:pPr>
                  <w:r>
                    <w:rPr>
                      <w:b w:val="0"/>
                      <w:bCs/>
                      <w:kern w:val="0"/>
                      <w:szCs w:val="21"/>
                    </w:rPr>
                    <w:t>安全制度、安全教育、安全检查、消防器材、警报系统、消防管理等</w:t>
                  </w:r>
                </w:p>
              </w:tc>
              <w:tc>
                <w:tcPr>
                  <w:tcW w:w="751" w:type="dxa"/>
                  <w:vMerge w:val="continue"/>
                  <w:tcBorders>
                    <w:tl2br w:val="nil"/>
                    <w:tr2bl w:val="nil"/>
                  </w:tcBorders>
                  <w:vAlign w:val="center"/>
                </w:tcPr>
                <w:p w14:paraId="26DE7254">
                  <w:pPr>
                    <w:pStyle w:val="41"/>
                    <w:adjustRightInd w:val="0"/>
                    <w:snapToGrid w:val="0"/>
                    <w:spacing w:before="48" w:beforeLines="20"/>
                    <w:rPr>
                      <w:b w:val="0"/>
                      <w:bCs/>
                      <w:kern w:val="0"/>
                      <w:szCs w:val="21"/>
                    </w:rPr>
                  </w:pPr>
                </w:p>
              </w:tc>
            </w:tr>
            <w:tr w14:paraId="7033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tcBorders>
                    <w:tl2br w:val="nil"/>
                    <w:tr2bl w:val="nil"/>
                  </w:tcBorders>
                  <w:vAlign w:val="center"/>
                </w:tcPr>
                <w:p w14:paraId="5BD34F7C">
                  <w:pPr>
                    <w:pStyle w:val="41"/>
                    <w:adjustRightInd w:val="0"/>
                    <w:snapToGrid w:val="0"/>
                    <w:spacing w:before="48" w:beforeLines="20"/>
                    <w:rPr>
                      <w:b w:val="0"/>
                      <w:bCs/>
                      <w:kern w:val="0"/>
                      <w:szCs w:val="21"/>
                    </w:rPr>
                  </w:pPr>
                  <w:r>
                    <w:rPr>
                      <w:b w:val="0"/>
                      <w:bCs/>
                      <w:kern w:val="0"/>
                      <w:szCs w:val="21"/>
                    </w:rPr>
                    <w:t>7</w:t>
                  </w:r>
                </w:p>
              </w:tc>
              <w:tc>
                <w:tcPr>
                  <w:tcW w:w="1307" w:type="dxa"/>
                  <w:tcBorders>
                    <w:tl2br w:val="nil"/>
                    <w:tr2bl w:val="nil"/>
                  </w:tcBorders>
                  <w:vAlign w:val="center"/>
                </w:tcPr>
                <w:p w14:paraId="3533D0EA">
                  <w:pPr>
                    <w:pStyle w:val="41"/>
                    <w:adjustRightInd w:val="0"/>
                    <w:snapToGrid w:val="0"/>
                    <w:spacing w:before="48" w:beforeLines="20"/>
                    <w:rPr>
                      <w:b w:val="0"/>
                      <w:bCs/>
                      <w:kern w:val="0"/>
                      <w:szCs w:val="21"/>
                    </w:rPr>
                  </w:pPr>
                  <w:r>
                    <w:rPr>
                      <w:b w:val="0"/>
                      <w:bCs/>
                      <w:kern w:val="0"/>
                      <w:szCs w:val="21"/>
                    </w:rPr>
                    <w:t>工业卫生</w:t>
                  </w:r>
                </w:p>
              </w:tc>
              <w:tc>
                <w:tcPr>
                  <w:tcW w:w="5306" w:type="dxa"/>
                  <w:tcBorders>
                    <w:tl2br w:val="nil"/>
                    <w:tr2bl w:val="nil"/>
                  </w:tcBorders>
                  <w:vAlign w:val="center"/>
                </w:tcPr>
                <w:p w14:paraId="2B84EE0D">
                  <w:pPr>
                    <w:pStyle w:val="41"/>
                    <w:adjustRightInd w:val="0"/>
                    <w:snapToGrid w:val="0"/>
                    <w:spacing w:before="48" w:beforeLines="20"/>
                    <w:rPr>
                      <w:b w:val="0"/>
                      <w:bCs/>
                      <w:kern w:val="0"/>
                      <w:szCs w:val="21"/>
                    </w:rPr>
                  </w:pPr>
                  <w:r>
                    <w:rPr>
                      <w:b w:val="0"/>
                      <w:bCs/>
                      <w:kern w:val="0"/>
                      <w:szCs w:val="21"/>
                    </w:rPr>
                    <w:t>工业卫生管理、劳防用品等</w:t>
                  </w:r>
                </w:p>
              </w:tc>
              <w:tc>
                <w:tcPr>
                  <w:tcW w:w="751" w:type="dxa"/>
                  <w:vMerge w:val="continue"/>
                  <w:tcBorders>
                    <w:tl2br w:val="nil"/>
                    <w:tr2bl w:val="nil"/>
                  </w:tcBorders>
                  <w:vAlign w:val="center"/>
                </w:tcPr>
                <w:p w14:paraId="1D9BA682">
                  <w:pPr>
                    <w:pStyle w:val="41"/>
                    <w:adjustRightInd w:val="0"/>
                    <w:snapToGrid w:val="0"/>
                    <w:spacing w:before="48" w:beforeLines="20"/>
                    <w:rPr>
                      <w:b w:val="0"/>
                      <w:bCs/>
                      <w:kern w:val="0"/>
                      <w:szCs w:val="21"/>
                    </w:rPr>
                  </w:pPr>
                </w:p>
              </w:tc>
            </w:tr>
          </w:tbl>
          <w:p w14:paraId="2A794E48">
            <w:pPr>
              <w:adjustRightInd w:val="0"/>
              <w:snapToGrid w:val="0"/>
              <w:spacing w:before="120" w:beforeLines="50" w:line="360" w:lineRule="auto"/>
              <w:ind w:firstLine="480" w:firstLineChars="200"/>
              <w:rPr>
                <w:kern w:val="0"/>
                <w:sz w:val="24"/>
              </w:rPr>
            </w:pPr>
            <w:r>
              <w:rPr>
                <w:kern w:val="0"/>
                <w:sz w:val="24"/>
              </w:rPr>
              <w:t>本项目主要为</w:t>
            </w:r>
            <w:r>
              <w:rPr>
                <w:rFonts w:hint="eastAsia"/>
                <w:kern w:val="0"/>
                <w:sz w:val="24"/>
              </w:rPr>
              <w:t>日用塑料制品制造</w:t>
            </w:r>
            <w:r>
              <w:rPr>
                <w:kern w:val="0"/>
                <w:sz w:val="24"/>
              </w:rPr>
              <w:t>。根据分析，本项目在生产过程中发生的主要环境风险事故为：</w:t>
            </w:r>
            <w:r>
              <w:rPr>
                <w:rFonts w:hint="eastAsia" w:ascii="宋体" w:hAnsi="宋体" w:cs="宋体"/>
                <w:kern w:val="0"/>
                <w:sz w:val="24"/>
              </w:rPr>
              <w:t>①</w:t>
            </w:r>
            <w:r>
              <w:rPr>
                <w:rFonts w:hint="eastAsia"/>
                <w:kern w:val="0"/>
                <w:sz w:val="24"/>
              </w:rPr>
              <w:t xml:space="preserve"> 废气</w:t>
            </w:r>
            <w:r>
              <w:rPr>
                <w:kern w:val="0"/>
                <w:sz w:val="24"/>
              </w:rPr>
              <w:t>的事故性排放；</w:t>
            </w:r>
            <w:r>
              <w:rPr>
                <w:rFonts w:hint="eastAsia" w:ascii="宋体" w:hAnsi="宋体" w:cs="宋体"/>
                <w:kern w:val="0"/>
                <w:sz w:val="24"/>
              </w:rPr>
              <w:t>②</w:t>
            </w:r>
            <w:r>
              <w:rPr>
                <w:rFonts w:hint="eastAsia"/>
                <w:kern w:val="0"/>
                <w:sz w:val="24"/>
              </w:rPr>
              <w:t xml:space="preserve"> </w:t>
            </w:r>
            <w:r>
              <w:rPr>
                <w:kern w:val="0"/>
                <w:sz w:val="24"/>
              </w:rPr>
              <w:t>发生火灾等风险事故。</w:t>
            </w:r>
          </w:p>
          <w:p w14:paraId="6858C8C3">
            <w:pPr>
              <w:adjustRightInd w:val="0"/>
              <w:snapToGrid w:val="0"/>
              <w:spacing w:line="360" w:lineRule="auto"/>
              <w:ind w:firstLine="480" w:firstLineChars="200"/>
              <w:rPr>
                <w:kern w:val="0"/>
                <w:sz w:val="24"/>
              </w:rPr>
            </w:pPr>
            <w:r>
              <w:rPr>
                <w:rFonts w:hint="eastAsia"/>
                <w:kern w:val="0"/>
                <w:sz w:val="24"/>
              </w:rPr>
              <w:t>（4）</w:t>
            </w:r>
            <w:r>
              <w:rPr>
                <w:kern w:val="0"/>
                <w:sz w:val="24"/>
              </w:rPr>
              <w:t>向环境转移途径</w:t>
            </w:r>
          </w:p>
          <w:p w14:paraId="1E0F8C5E">
            <w:pPr>
              <w:adjustRightInd w:val="0"/>
              <w:snapToGrid w:val="0"/>
              <w:spacing w:line="360" w:lineRule="auto"/>
              <w:ind w:firstLine="480" w:firstLineChars="200"/>
              <w:rPr>
                <w:kern w:val="0"/>
                <w:sz w:val="24"/>
              </w:rPr>
            </w:pPr>
            <w:r>
              <w:rPr>
                <w:kern w:val="0"/>
                <w:sz w:val="24"/>
              </w:rPr>
              <w:t>空气、水体和土壤等环境要素是危险性物质向环境转移的最基本的途径，同时这三种要素之间又随时发生着物质和能量的传递，污染物进入环境后，随着空气和水体环境发生推流迁移、分散稀释和降解转化运动。本项目事故状态下气态污染物可进入大气环境，部分污染物随消防废水进入水体。</w:t>
            </w:r>
          </w:p>
          <w:p w14:paraId="73CD27A9">
            <w:pPr>
              <w:adjustRightInd w:val="0"/>
              <w:snapToGrid w:val="0"/>
              <w:spacing w:line="360" w:lineRule="auto"/>
              <w:ind w:firstLine="480" w:firstLineChars="200"/>
              <w:rPr>
                <w:kern w:val="0"/>
                <w:sz w:val="24"/>
              </w:rPr>
            </w:pPr>
            <w:r>
              <w:rPr>
                <w:rFonts w:hint="eastAsia"/>
                <w:kern w:val="0"/>
                <w:sz w:val="24"/>
              </w:rPr>
              <w:t>（5）</w:t>
            </w:r>
            <w:r>
              <w:rPr>
                <w:kern w:val="0"/>
                <w:sz w:val="24"/>
              </w:rPr>
              <w:t>次生/伴生污染</w:t>
            </w:r>
          </w:p>
          <w:p w14:paraId="27E8509F">
            <w:pPr>
              <w:pStyle w:val="33"/>
              <w:snapToGrid w:val="0"/>
              <w:spacing w:line="360" w:lineRule="auto"/>
              <w:ind w:firstLine="480" w:firstLineChars="200"/>
              <w:rPr>
                <w:color w:val="auto"/>
                <w:kern w:val="0"/>
              </w:rPr>
            </w:pPr>
            <w:r>
              <w:rPr>
                <w:color w:val="auto"/>
                <w:kern w:val="0"/>
              </w:rPr>
              <w:t>车间或仓库易燃物质发生火灾，其可能产生的次生污染为火灾消防废水及燃烧废气。</w:t>
            </w:r>
          </w:p>
          <w:p w14:paraId="05DB3D39">
            <w:pPr>
              <w:pStyle w:val="33"/>
              <w:snapToGrid w:val="0"/>
              <w:spacing w:line="360" w:lineRule="auto"/>
              <w:ind w:firstLine="482" w:firstLineChars="200"/>
              <w:rPr>
                <w:b/>
                <w:bCs/>
                <w:color w:val="auto"/>
                <w:kern w:val="0"/>
              </w:rPr>
            </w:pPr>
            <w:r>
              <w:rPr>
                <w:rFonts w:hint="eastAsia"/>
                <w:b/>
                <w:bCs/>
                <w:color w:val="auto"/>
                <w:kern w:val="0"/>
              </w:rPr>
              <w:t>环境风险分析：</w:t>
            </w:r>
          </w:p>
          <w:p w14:paraId="72FB732D">
            <w:pPr>
              <w:pStyle w:val="33"/>
              <w:snapToGrid w:val="0"/>
              <w:spacing w:line="360" w:lineRule="auto"/>
              <w:ind w:firstLine="480" w:firstLineChars="200"/>
              <w:rPr>
                <w:color w:val="auto"/>
                <w:kern w:val="0"/>
              </w:rPr>
            </w:pPr>
            <w:r>
              <w:rPr>
                <w:rFonts w:hint="eastAsia"/>
                <w:color w:val="auto"/>
                <w:kern w:val="0"/>
              </w:rPr>
              <w:t>（</w:t>
            </w:r>
            <w:r>
              <w:rPr>
                <w:color w:val="auto"/>
                <w:kern w:val="0"/>
              </w:rPr>
              <w:t>1</w:t>
            </w:r>
            <w:r>
              <w:rPr>
                <w:rFonts w:hint="eastAsia"/>
                <w:color w:val="auto"/>
                <w:kern w:val="0"/>
              </w:rPr>
              <w:t>）</w:t>
            </w:r>
            <w:r>
              <w:rPr>
                <w:color w:val="auto"/>
                <w:kern w:val="0"/>
              </w:rPr>
              <w:t>废气事故性排放对大气环境影响分析</w:t>
            </w:r>
          </w:p>
          <w:p w14:paraId="61A1519E">
            <w:pPr>
              <w:adjustRightInd w:val="0"/>
              <w:snapToGrid w:val="0"/>
              <w:spacing w:line="360" w:lineRule="auto"/>
              <w:ind w:firstLine="480" w:firstLineChars="200"/>
              <w:rPr>
                <w:kern w:val="0"/>
                <w:sz w:val="24"/>
              </w:rPr>
            </w:pPr>
            <w:r>
              <w:rPr>
                <w:kern w:val="0"/>
                <w:sz w:val="24"/>
              </w:rPr>
              <w:t>在废气治理设施故障，废气事故排放的情况下，各污染物浓度相对正常排放情况，浓度增值将增加。非正常排放情况下将对外界环境造成一定影响，对各关心点的影响也大大增加。因此，为了减轻本项目对周围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14:paraId="7E41657A">
            <w:pPr>
              <w:adjustRightInd w:val="0"/>
              <w:snapToGrid w:val="0"/>
              <w:spacing w:line="360" w:lineRule="auto"/>
              <w:ind w:firstLine="482" w:firstLineChars="200"/>
              <w:rPr>
                <w:b/>
                <w:bCs/>
                <w:kern w:val="0"/>
                <w:sz w:val="24"/>
              </w:rPr>
            </w:pPr>
            <w:r>
              <w:rPr>
                <w:b/>
                <w:bCs/>
                <w:kern w:val="0"/>
                <w:sz w:val="24"/>
              </w:rPr>
              <w:t>环境风险防范措施</w:t>
            </w:r>
            <w:r>
              <w:rPr>
                <w:rFonts w:hint="eastAsia"/>
                <w:b/>
                <w:bCs/>
                <w:kern w:val="0"/>
                <w:sz w:val="24"/>
              </w:rPr>
              <w:t>：</w:t>
            </w:r>
          </w:p>
          <w:p w14:paraId="02DC22DF">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为了减轻</w:t>
            </w:r>
            <w:r>
              <w:rPr>
                <w:rFonts w:hint="eastAsia"/>
                <w:color w:val="000000" w:themeColor="text1"/>
                <w:kern w:val="0"/>
                <w:sz w:val="24"/>
                <w14:textFill>
                  <w14:solidFill>
                    <w14:schemeClr w14:val="tx1"/>
                  </w14:solidFill>
                </w14:textFill>
              </w:rPr>
              <w:t>风险</w:t>
            </w:r>
            <w:r>
              <w:rPr>
                <w:color w:val="000000" w:themeColor="text1"/>
                <w:kern w:val="0"/>
                <w:sz w:val="24"/>
                <w14:textFill>
                  <w14:solidFill>
                    <w14:schemeClr w14:val="tx1"/>
                  </w14:solidFill>
                </w14:textFill>
              </w:rPr>
              <w:t>事故的危害后果、频率、影响程度和范围，达到同行业可接受水平，建设单位必须采取相应的风险防范措施，本评价提出以下建议：</w:t>
            </w:r>
          </w:p>
          <w:p w14:paraId="303AFCD8">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①总图布置和建筑安全方面</w:t>
            </w:r>
          </w:p>
          <w:p w14:paraId="747AA4B3">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在总平面布置中配套设置应急救援设施、救援通道、应急疏散避难所等防护措施。根据火灾危险性等级和防火、防爆要求，建筑物的防火等级均采用国家现行规范要求按一、二级耐火等级设计，满足建筑防火要求。凡禁火区均设置明显标识牌。各种易燃易爆物料储存于阴凉、通风处，远离火源。</w:t>
            </w:r>
          </w:p>
          <w:p w14:paraId="0B8BB94B">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生产装置的特点，在生产车间按物料性质和人身可能意外接触到有害物质而引起烧伤、刺激或伤害皮肤的区域内，均设置紧急淋雨和洗眼器，并加以明显标记。并在装置区设置救护箱，工作人员配备必要的个人防护用品。</w:t>
            </w:r>
          </w:p>
          <w:p w14:paraId="0E4E1A18">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②日常管理方面</w:t>
            </w:r>
          </w:p>
          <w:p w14:paraId="7D7091F1">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在日常生产过程中对</w:t>
            </w:r>
            <w:r>
              <w:rPr>
                <w:rFonts w:hint="eastAsia"/>
                <w:color w:val="000000" w:themeColor="text1"/>
                <w:kern w:val="0"/>
                <w:sz w:val="24"/>
                <w14:textFill>
                  <w14:solidFill>
                    <w14:schemeClr w14:val="tx1"/>
                  </w14:solidFill>
                </w14:textFill>
              </w:rPr>
              <w:t>物料</w:t>
            </w:r>
            <w:r>
              <w:rPr>
                <w:color w:val="000000" w:themeColor="text1"/>
                <w:kern w:val="0"/>
                <w:sz w:val="24"/>
                <w14:textFill>
                  <w14:solidFill>
                    <w14:schemeClr w14:val="tx1"/>
                  </w14:solidFill>
                </w14:textFill>
              </w:rPr>
              <w:t>的储存、使用等方面做好管理；操作人员必须经过专门培训，严格遵守操作规程。</w:t>
            </w:r>
          </w:p>
          <w:p w14:paraId="05159FF7">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③废气事故性排放对策</w:t>
            </w:r>
          </w:p>
          <w:p w14:paraId="0A4BD0E0">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为了减轻本项目对周围大气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14:paraId="00EA6B61">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hint="eastAsia"/>
                <w:color w:val="000000" w:themeColor="text1"/>
                <w:sz w:val="24"/>
                <w14:textFill>
                  <w14:solidFill>
                    <w14:schemeClr w14:val="tx1"/>
                  </w14:solidFill>
                </w14:textFill>
              </w:rPr>
              <w:t>火灾防范措施</w:t>
            </w:r>
          </w:p>
          <w:p w14:paraId="1E5CF6AD">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项目所用的</w:t>
            </w:r>
            <w:r>
              <w:rPr>
                <w:rFonts w:hint="eastAsia"/>
                <w:color w:val="000000" w:themeColor="text1"/>
                <w:sz w:val="24"/>
                <w:lang w:eastAsia="zh-CN"/>
                <w14:textFill>
                  <w14:solidFill>
                    <w14:schemeClr w14:val="tx1"/>
                  </w14:solidFill>
                </w14:textFill>
              </w:rPr>
              <w:t>机油</w:t>
            </w:r>
            <w:r>
              <w:rPr>
                <w:rFonts w:hint="eastAsia"/>
                <w:color w:val="000000" w:themeColor="text1"/>
                <w:sz w:val="24"/>
                <w14:textFill>
                  <w14:solidFill>
                    <w14:schemeClr w14:val="tx1"/>
                  </w14:solidFill>
                </w14:textFill>
              </w:rPr>
              <w:t>易燃，要求厂区配备消防栓及适当的消防器材，并配备防火警报器。</w:t>
            </w:r>
          </w:p>
          <w:p w14:paraId="5194B634">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kern w:val="0"/>
                <w:sz w:val="24"/>
                <w14:textFill>
                  <w14:solidFill>
                    <w14:schemeClr w14:val="tx1"/>
                  </w14:solidFill>
                </w14:textFill>
              </w:rPr>
              <w:t>制定严格的事故应急预案并经常演练使之启动运转及时，是减轻风险事故环境影响的有效措施。</w:t>
            </w:r>
          </w:p>
          <w:p w14:paraId="2B246B58">
            <w:pPr>
              <w:adjustRightInd w:val="0"/>
              <w:snapToGrid w:val="0"/>
              <w:spacing w:line="360" w:lineRule="auto"/>
              <w:ind w:firstLine="480" w:firstLineChars="200"/>
              <w:rPr>
                <w:color w:val="auto"/>
                <w:kern w:val="0"/>
                <w:sz w:val="24"/>
              </w:rPr>
            </w:pPr>
            <w:r>
              <w:rPr>
                <w:color w:val="000000" w:themeColor="text1"/>
                <w:kern w:val="0"/>
                <w:sz w:val="24"/>
                <w14:textFill>
                  <w14:solidFill>
                    <w14:schemeClr w14:val="tx1"/>
                  </w14:solidFill>
                </w14:textFill>
              </w:rPr>
              <w:t>为保证公司员工和周围居民的生命财产安全，防止重、特大事故的发生，并能在事故发生后迅速有效的控制处理，防止事故扩大，根据公司实际情况，本着</w:t>
            </w:r>
            <w:r>
              <w:rPr>
                <w:rFonts w:hint="eastAsia" w:ascii="宋体" w:hAnsi="宋体" w:cs="宋体"/>
                <w:color w:val="000000" w:themeColor="text1"/>
                <w:kern w:val="0"/>
                <w:sz w:val="24"/>
                <w14:textFill>
                  <w14:solidFill>
                    <w14:schemeClr w14:val="tx1"/>
                  </w14:solidFill>
                </w14:textFill>
              </w:rPr>
              <w:t>“安全第一，预防为主；统一指挥，分工负责”的</w:t>
            </w:r>
            <w:r>
              <w:rPr>
                <w:color w:val="000000" w:themeColor="text1"/>
                <w:kern w:val="0"/>
                <w:sz w:val="24"/>
                <w14:textFill>
                  <w14:solidFill>
                    <w14:schemeClr w14:val="tx1"/>
                  </w14:solidFill>
                </w14:textFill>
              </w:rPr>
              <w:t>原则，需要制定</w:t>
            </w:r>
            <w:r>
              <w:rPr>
                <w:color w:val="auto"/>
                <w:kern w:val="0"/>
                <w:sz w:val="24"/>
              </w:rPr>
              <w:t>《</w:t>
            </w:r>
            <w:r>
              <w:rPr>
                <w:rFonts w:hint="eastAsia"/>
                <w:color w:val="auto"/>
                <w:kern w:val="0"/>
                <w:sz w:val="24"/>
              </w:rPr>
              <w:t>安徽红跃环保科技有限公司宿州分公司</w:t>
            </w:r>
            <w:r>
              <w:rPr>
                <w:color w:val="auto"/>
                <w:kern w:val="0"/>
                <w:sz w:val="24"/>
              </w:rPr>
              <w:t>突发环境事件应急预案》。</w:t>
            </w:r>
          </w:p>
          <w:p w14:paraId="04B475EF">
            <w:pPr>
              <w:snapToGrid w:val="0"/>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本项目通过采取相应的风险防范措施，可以将项目的环境风险水平降到较低的水平，因此本项目的风险水平在可接受的范围。</w:t>
            </w:r>
          </w:p>
          <w:p w14:paraId="1E23583D">
            <w:pPr>
              <w:snapToGrid w:val="0"/>
              <w:spacing w:line="360" w:lineRule="auto"/>
              <w:rPr>
                <w:b/>
                <w:bCs/>
                <w:kern w:val="0"/>
                <w:sz w:val="24"/>
              </w:rPr>
            </w:pPr>
            <w:r>
              <w:rPr>
                <w:rFonts w:hint="eastAsia"/>
                <w:b/>
                <w:bCs/>
                <w:kern w:val="0"/>
                <w:sz w:val="24"/>
              </w:rPr>
              <w:t>7、</w:t>
            </w:r>
            <w:r>
              <w:rPr>
                <w:b/>
                <w:bCs/>
                <w:kern w:val="0"/>
                <w:sz w:val="24"/>
              </w:rPr>
              <w:t>环保投资估算</w:t>
            </w:r>
          </w:p>
          <w:p w14:paraId="595DE7DC">
            <w:pPr>
              <w:snapToGrid w:val="0"/>
              <w:spacing w:line="360" w:lineRule="auto"/>
              <w:ind w:firstLine="480" w:firstLineChars="200"/>
              <w:rPr>
                <w:b/>
                <w:kern w:val="0"/>
                <w:sz w:val="24"/>
                <w:lang w:val="zh-CN"/>
              </w:rPr>
            </w:pPr>
            <w:r>
              <w:rPr>
                <w:bCs/>
                <w:kern w:val="0"/>
                <w:sz w:val="24"/>
              </w:rPr>
              <w:t>项目总投资</w:t>
            </w:r>
            <w:r>
              <w:rPr>
                <w:rFonts w:hint="eastAsia"/>
                <w:bCs/>
                <w:kern w:val="0"/>
                <w:sz w:val="24"/>
                <w:lang w:val="en-US" w:eastAsia="zh-CN"/>
              </w:rPr>
              <w:t>700</w:t>
            </w:r>
            <w:r>
              <w:rPr>
                <w:bCs/>
                <w:kern w:val="0"/>
                <w:sz w:val="24"/>
              </w:rPr>
              <w:t>万元，其中环保投资</w:t>
            </w:r>
            <w:r>
              <w:rPr>
                <w:rFonts w:hint="eastAsia"/>
                <w:bCs/>
                <w:kern w:val="0"/>
                <w:sz w:val="24"/>
                <w:lang w:val="en-US" w:eastAsia="zh-CN"/>
              </w:rPr>
              <w:t>26</w:t>
            </w:r>
            <w:r>
              <w:rPr>
                <w:bCs/>
                <w:kern w:val="0"/>
                <w:sz w:val="24"/>
              </w:rPr>
              <w:t>万元，约占总投资</w:t>
            </w:r>
            <w:r>
              <w:rPr>
                <w:rFonts w:hint="eastAsia"/>
                <w:bCs/>
                <w:kern w:val="0"/>
                <w:sz w:val="24"/>
                <w:lang w:val="en-US" w:eastAsia="zh-CN"/>
              </w:rPr>
              <w:t>3.7</w:t>
            </w:r>
            <w:r>
              <w:rPr>
                <w:bCs/>
                <w:kern w:val="0"/>
                <w:sz w:val="24"/>
              </w:rPr>
              <w:t>%，主要用于废水、废气、固体废物和噪声污染的治理。</w:t>
            </w:r>
          </w:p>
          <w:p w14:paraId="52783D4E">
            <w:pPr>
              <w:autoSpaceDE w:val="0"/>
              <w:autoSpaceDN w:val="0"/>
              <w:adjustRightInd w:val="0"/>
              <w:snapToGrid w:val="0"/>
              <w:spacing w:line="360" w:lineRule="auto"/>
              <w:jc w:val="center"/>
              <w:rPr>
                <w:b/>
                <w:kern w:val="0"/>
                <w:sz w:val="24"/>
                <w:lang w:val="zh-CN"/>
              </w:rPr>
            </w:pPr>
            <w:r>
              <w:rPr>
                <w:b/>
                <w:kern w:val="0"/>
                <w:sz w:val="24"/>
                <w:lang w:val="zh-CN"/>
              </w:rPr>
              <w:t>表</w:t>
            </w:r>
            <w:r>
              <w:rPr>
                <w:rFonts w:hint="eastAsia"/>
                <w:b/>
                <w:kern w:val="0"/>
                <w:sz w:val="24"/>
              </w:rPr>
              <w:t>4</w:t>
            </w:r>
            <w:r>
              <w:rPr>
                <w:rFonts w:hint="eastAsia"/>
                <w:b/>
                <w:kern w:val="0"/>
                <w:sz w:val="24"/>
                <w:lang w:val="en-US" w:eastAsia="zh-CN"/>
              </w:rPr>
              <w:t>-15</w:t>
            </w:r>
            <w:r>
              <w:rPr>
                <w:b/>
                <w:kern w:val="0"/>
                <w:sz w:val="24"/>
              </w:rPr>
              <w:t xml:space="preserve">  </w:t>
            </w:r>
            <w:r>
              <w:rPr>
                <w:b/>
                <w:kern w:val="0"/>
                <w:sz w:val="24"/>
                <w:lang w:val="zh-CN"/>
              </w:rPr>
              <w:t>项目环保防治措施及投资估算表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2202"/>
              <w:gridCol w:w="3401"/>
              <w:gridCol w:w="1602"/>
            </w:tblGrid>
            <w:tr w14:paraId="238F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Align w:val="center"/>
                </w:tcPr>
                <w:p w14:paraId="38E8426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污染类别</w:t>
                  </w:r>
                </w:p>
              </w:tc>
              <w:tc>
                <w:tcPr>
                  <w:tcW w:w="2202" w:type="dxa"/>
                  <w:vAlign w:val="center"/>
                </w:tcPr>
                <w:p w14:paraId="7655EAD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污染防治对象</w:t>
                  </w:r>
                </w:p>
              </w:tc>
              <w:tc>
                <w:tcPr>
                  <w:tcW w:w="3401" w:type="dxa"/>
                  <w:vAlign w:val="center"/>
                </w:tcPr>
                <w:p w14:paraId="705B3A0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治理措施</w:t>
                  </w:r>
                </w:p>
              </w:tc>
              <w:tc>
                <w:tcPr>
                  <w:tcW w:w="1602" w:type="dxa"/>
                  <w:vAlign w:val="center"/>
                </w:tcPr>
                <w:p w14:paraId="37FB074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投资估算（万元）</w:t>
                  </w:r>
                </w:p>
              </w:tc>
            </w:tr>
            <w:tr w14:paraId="7E66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Align w:val="center"/>
                </w:tcPr>
                <w:p w14:paraId="38D3262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w:t>
                  </w:r>
                </w:p>
              </w:tc>
              <w:tc>
                <w:tcPr>
                  <w:tcW w:w="2202" w:type="dxa"/>
                  <w:vAlign w:val="center"/>
                </w:tcPr>
                <w:p w14:paraId="70FDBBE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3401" w:type="dxa"/>
                  <w:vAlign w:val="center"/>
                </w:tcPr>
                <w:p w14:paraId="4045994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化粪池</w:t>
                  </w:r>
                </w:p>
              </w:tc>
              <w:tc>
                <w:tcPr>
                  <w:tcW w:w="1602" w:type="dxa"/>
                  <w:vAlign w:val="center"/>
                </w:tcPr>
                <w:p w14:paraId="0810F44D">
                  <w:pPr>
                    <w:adjustRightInd w:val="0"/>
                    <w:snapToGrid w:val="0"/>
                    <w:jc w:val="center"/>
                    <w:rPr>
                      <w:rFonts w:hint="eastAsia" w:eastAsia="宋体"/>
                      <w:kern w:val="0"/>
                      <w:szCs w:val="21"/>
                      <w:lang w:eastAsia="zh-CN"/>
                    </w:rPr>
                  </w:pPr>
                  <w:r>
                    <w:rPr>
                      <w:rFonts w:hint="eastAsia"/>
                      <w:kern w:val="0"/>
                      <w:szCs w:val="21"/>
                      <w:lang w:val="en-US" w:eastAsia="zh-CN"/>
                    </w:rPr>
                    <w:t>/（依托原有）</w:t>
                  </w:r>
                </w:p>
              </w:tc>
            </w:tr>
            <w:tr w14:paraId="6826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restart"/>
                  <w:vAlign w:val="center"/>
                </w:tcPr>
                <w:p w14:paraId="2A474C9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废气</w:t>
                  </w:r>
                </w:p>
              </w:tc>
              <w:tc>
                <w:tcPr>
                  <w:tcW w:w="2202" w:type="dxa"/>
                  <w:vAlign w:val="center"/>
                </w:tcPr>
                <w:p w14:paraId="1F11B060">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筒仓</w:t>
                  </w:r>
                  <w:r>
                    <w:rPr>
                      <w:rFonts w:hint="eastAsia"/>
                      <w:color w:val="auto"/>
                      <w:kern w:val="0"/>
                      <w:szCs w:val="21"/>
                      <w:lang w:eastAsia="zh-CN"/>
                    </w:rPr>
                    <w:t>呼吸废气</w:t>
                  </w:r>
                </w:p>
              </w:tc>
              <w:tc>
                <w:tcPr>
                  <w:tcW w:w="3401" w:type="dxa"/>
                  <w:vAlign w:val="center"/>
                </w:tcPr>
                <w:p w14:paraId="5407EA52">
                  <w:pPr>
                    <w:adjustRightInd w:val="0"/>
                    <w:snapToGrid w:val="0"/>
                    <w:jc w:val="center"/>
                    <w:rPr>
                      <w:color w:val="auto"/>
                      <w:kern w:val="0"/>
                      <w:szCs w:val="21"/>
                    </w:rPr>
                  </w:pPr>
                  <w:r>
                    <w:rPr>
                      <w:rFonts w:hint="eastAsia"/>
                      <w:color w:val="auto"/>
                      <w:kern w:val="0"/>
                      <w:szCs w:val="21"/>
                      <w:lang w:val="en-US" w:eastAsia="zh-CN"/>
                    </w:rPr>
                    <w:t>引风机</w:t>
                  </w:r>
                  <w:r>
                    <w:rPr>
                      <w:rFonts w:hint="eastAsia"/>
                      <w:color w:val="auto"/>
                      <w:kern w:val="0"/>
                      <w:szCs w:val="21"/>
                    </w:rPr>
                    <w:t>+</w:t>
                  </w:r>
                  <w:r>
                    <w:rPr>
                      <w:rFonts w:hint="eastAsia"/>
                      <w:color w:val="auto"/>
                      <w:kern w:val="0"/>
                      <w:szCs w:val="21"/>
                      <w:lang w:eastAsia="zh-CN"/>
                    </w:rPr>
                    <w:t>脉冲</w:t>
                  </w:r>
                  <w:r>
                    <w:rPr>
                      <w:rFonts w:hint="eastAsia"/>
                      <w:color w:val="auto"/>
                      <w:kern w:val="0"/>
                      <w:szCs w:val="21"/>
                    </w:rPr>
                    <w:t>除尘器</w:t>
                  </w:r>
                  <w:r>
                    <w:rPr>
                      <w:color w:val="auto"/>
                      <w:kern w:val="0"/>
                      <w:szCs w:val="21"/>
                    </w:rPr>
                    <w:t>+15m高排气筒（DA00</w:t>
                  </w:r>
                  <w:r>
                    <w:rPr>
                      <w:rFonts w:hint="eastAsia"/>
                      <w:color w:val="auto"/>
                      <w:kern w:val="0"/>
                      <w:szCs w:val="21"/>
                      <w:lang w:val="en-US" w:eastAsia="zh-CN"/>
                    </w:rPr>
                    <w:t>2</w:t>
                  </w:r>
                  <w:r>
                    <w:rPr>
                      <w:color w:val="auto"/>
                      <w:kern w:val="0"/>
                      <w:szCs w:val="21"/>
                    </w:rPr>
                    <w:t>）</w:t>
                  </w:r>
                </w:p>
              </w:tc>
              <w:tc>
                <w:tcPr>
                  <w:tcW w:w="1602" w:type="dxa"/>
                  <w:vAlign w:val="center"/>
                </w:tcPr>
                <w:p w14:paraId="5B309F7B">
                  <w:pPr>
                    <w:adjustRightInd w:val="0"/>
                    <w:snapToGrid w:val="0"/>
                    <w:jc w:val="center"/>
                    <w:rPr>
                      <w:rFonts w:hint="default" w:eastAsia="宋体"/>
                      <w:color w:val="auto"/>
                      <w:kern w:val="0"/>
                      <w:szCs w:val="21"/>
                      <w:lang w:val="en-US" w:eastAsia="zh-CN"/>
                    </w:rPr>
                  </w:pPr>
                  <w:r>
                    <w:rPr>
                      <w:rFonts w:hint="eastAsia"/>
                      <w:kern w:val="0"/>
                      <w:szCs w:val="21"/>
                      <w:lang w:val="en-US" w:eastAsia="zh-CN"/>
                    </w:rPr>
                    <w:t>/（依托原有）</w:t>
                  </w:r>
                </w:p>
              </w:tc>
            </w:tr>
            <w:tr w14:paraId="796F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16CA9E70">
                  <w:pPr>
                    <w:adjustRightInd w:val="0"/>
                    <w:snapToGrid w:val="0"/>
                    <w:jc w:val="center"/>
                    <w:rPr>
                      <w:color w:val="000000" w:themeColor="text1"/>
                      <w:kern w:val="0"/>
                      <w:szCs w:val="21"/>
                      <w14:textFill>
                        <w14:solidFill>
                          <w14:schemeClr w14:val="tx1"/>
                        </w14:solidFill>
                      </w14:textFill>
                    </w:rPr>
                  </w:pPr>
                </w:p>
              </w:tc>
              <w:tc>
                <w:tcPr>
                  <w:tcW w:w="2202" w:type="dxa"/>
                  <w:vAlign w:val="center"/>
                </w:tcPr>
                <w:p w14:paraId="7B56317C">
                  <w:pPr>
                    <w:adjustRightInd w:val="0"/>
                    <w:snapToGrid w:val="0"/>
                    <w:jc w:val="center"/>
                    <w:rPr>
                      <w:rFonts w:hint="eastAsia" w:eastAsia="宋体"/>
                      <w:color w:val="auto"/>
                      <w:kern w:val="0"/>
                      <w:szCs w:val="21"/>
                      <w:lang w:eastAsia="zh-CN"/>
                    </w:rPr>
                  </w:pPr>
                  <w:r>
                    <w:rPr>
                      <w:rFonts w:hint="eastAsia"/>
                      <w:color w:val="auto"/>
                      <w:szCs w:val="21"/>
                      <w:lang w:eastAsia="zh-CN"/>
                    </w:rPr>
                    <w:t>投料、</w:t>
                  </w:r>
                  <w:r>
                    <w:rPr>
                      <w:rFonts w:hint="eastAsia"/>
                      <w:color w:val="auto"/>
                      <w:szCs w:val="21"/>
                    </w:rPr>
                    <w:t>物料混合搅拌</w:t>
                  </w:r>
                  <w:r>
                    <w:rPr>
                      <w:rFonts w:hint="eastAsia"/>
                      <w:color w:val="auto"/>
                      <w:szCs w:val="21"/>
                      <w:lang w:eastAsia="zh-CN"/>
                    </w:rPr>
                    <w:t>、</w:t>
                  </w:r>
                  <w:r>
                    <w:rPr>
                      <w:rFonts w:hint="eastAsia"/>
                      <w:color w:val="auto"/>
                      <w:kern w:val="0"/>
                      <w:szCs w:val="21"/>
                    </w:rPr>
                    <w:t>不合格品破碎</w:t>
                  </w:r>
                  <w:r>
                    <w:rPr>
                      <w:rFonts w:hint="eastAsia"/>
                      <w:color w:val="auto"/>
                      <w:kern w:val="0"/>
                      <w:szCs w:val="21"/>
                      <w:lang w:eastAsia="zh-CN"/>
                    </w:rPr>
                    <w:t>废气</w:t>
                  </w:r>
                </w:p>
              </w:tc>
              <w:tc>
                <w:tcPr>
                  <w:tcW w:w="3401" w:type="dxa"/>
                  <w:vAlign w:val="center"/>
                </w:tcPr>
                <w:p w14:paraId="28521BC0">
                  <w:pPr>
                    <w:adjustRightInd w:val="0"/>
                    <w:snapToGrid w:val="0"/>
                    <w:jc w:val="center"/>
                    <w:rPr>
                      <w:color w:val="auto"/>
                      <w:szCs w:val="21"/>
                    </w:rPr>
                  </w:pPr>
                  <w:r>
                    <w:rPr>
                      <w:rFonts w:hint="eastAsia"/>
                      <w:color w:val="auto"/>
                      <w:kern w:val="0"/>
                      <w:szCs w:val="21"/>
                    </w:rPr>
                    <w:t>集气罩+</w:t>
                  </w:r>
                  <w:r>
                    <w:rPr>
                      <w:rFonts w:hint="eastAsia"/>
                      <w:color w:val="auto"/>
                      <w:kern w:val="0"/>
                      <w:szCs w:val="21"/>
                      <w:lang w:eastAsia="zh-CN"/>
                    </w:rPr>
                    <w:t>脉冲</w:t>
                  </w:r>
                  <w:r>
                    <w:rPr>
                      <w:rFonts w:hint="eastAsia"/>
                      <w:color w:val="auto"/>
                      <w:kern w:val="0"/>
                      <w:szCs w:val="21"/>
                    </w:rPr>
                    <w:t>除尘器</w:t>
                  </w:r>
                  <w:r>
                    <w:rPr>
                      <w:color w:val="auto"/>
                      <w:kern w:val="0"/>
                      <w:szCs w:val="21"/>
                    </w:rPr>
                    <w:t>+15m高排气筒（DA00</w:t>
                  </w:r>
                  <w:r>
                    <w:rPr>
                      <w:rFonts w:hint="eastAsia"/>
                      <w:color w:val="auto"/>
                      <w:kern w:val="0"/>
                      <w:szCs w:val="21"/>
                      <w:lang w:val="en-US" w:eastAsia="zh-CN"/>
                    </w:rPr>
                    <w:t>3</w:t>
                  </w:r>
                  <w:r>
                    <w:rPr>
                      <w:color w:val="auto"/>
                      <w:kern w:val="0"/>
                      <w:szCs w:val="21"/>
                    </w:rPr>
                    <w:t>）</w:t>
                  </w:r>
                </w:p>
              </w:tc>
              <w:tc>
                <w:tcPr>
                  <w:tcW w:w="1602" w:type="dxa"/>
                  <w:vAlign w:val="center"/>
                </w:tcPr>
                <w:p w14:paraId="240B8AD7">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10</w:t>
                  </w:r>
                </w:p>
              </w:tc>
            </w:tr>
            <w:tr w14:paraId="0FDC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0DB49164">
                  <w:pPr>
                    <w:adjustRightInd w:val="0"/>
                    <w:snapToGrid w:val="0"/>
                    <w:jc w:val="center"/>
                    <w:rPr>
                      <w:color w:val="000000" w:themeColor="text1"/>
                      <w:kern w:val="0"/>
                      <w:szCs w:val="21"/>
                      <w14:textFill>
                        <w14:solidFill>
                          <w14:schemeClr w14:val="tx1"/>
                        </w14:solidFill>
                      </w14:textFill>
                    </w:rPr>
                  </w:pPr>
                </w:p>
              </w:tc>
              <w:tc>
                <w:tcPr>
                  <w:tcW w:w="2202" w:type="dxa"/>
                  <w:vAlign w:val="center"/>
                </w:tcPr>
                <w:p w14:paraId="36A1CEC6">
                  <w:pPr>
                    <w:adjustRightInd w:val="0"/>
                    <w:snapToGrid w:val="0"/>
                    <w:jc w:val="center"/>
                    <w:rPr>
                      <w:rFonts w:hint="eastAsia" w:eastAsia="宋体"/>
                      <w:color w:val="auto"/>
                      <w:kern w:val="0"/>
                      <w:szCs w:val="21"/>
                      <w:lang w:eastAsia="zh-CN"/>
                    </w:rPr>
                  </w:pPr>
                  <w:r>
                    <w:rPr>
                      <w:rFonts w:hint="eastAsia"/>
                      <w:color w:val="auto"/>
                      <w:szCs w:val="21"/>
                      <w:lang w:eastAsia="zh-CN"/>
                    </w:rPr>
                    <w:t>污泥贮存废气</w:t>
                  </w:r>
                </w:p>
              </w:tc>
              <w:tc>
                <w:tcPr>
                  <w:tcW w:w="3401" w:type="dxa"/>
                  <w:vAlign w:val="center"/>
                </w:tcPr>
                <w:p w14:paraId="18CAAFE5">
                  <w:pPr>
                    <w:adjustRightInd w:val="0"/>
                    <w:snapToGrid w:val="0"/>
                    <w:jc w:val="center"/>
                    <w:rPr>
                      <w:rFonts w:hint="default" w:eastAsia="宋体"/>
                      <w:color w:val="auto"/>
                      <w:kern w:val="0"/>
                      <w:szCs w:val="21"/>
                      <w:lang w:val="en-US" w:eastAsia="zh-CN"/>
                    </w:rPr>
                  </w:pPr>
                  <w:r>
                    <w:rPr>
                      <w:rFonts w:hint="eastAsia"/>
                      <w:color w:val="auto"/>
                      <w:kern w:val="0"/>
                      <w:szCs w:val="21"/>
                      <w:lang w:eastAsia="zh-CN"/>
                    </w:rPr>
                    <w:t>喷洒除臭剂</w:t>
                  </w:r>
                </w:p>
              </w:tc>
              <w:tc>
                <w:tcPr>
                  <w:tcW w:w="1602" w:type="dxa"/>
                  <w:vAlign w:val="center"/>
                </w:tcPr>
                <w:p w14:paraId="15046D67">
                  <w:pPr>
                    <w:adjustRightInd w:val="0"/>
                    <w:snapToGrid w:val="0"/>
                    <w:jc w:val="center"/>
                    <w:rPr>
                      <w:rFonts w:hint="default"/>
                      <w:kern w:val="0"/>
                      <w:szCs w:val="21"/>
                      <w:lang w:val="en-US" w:eastAsia="zh-CN"/>
                    </w:rPr>
                  </w:pPr>
                  <w:r>
                    <w:rPr>
                      <w:rFonts w:hint="eastAsia"/>
                      <w:kern w:val="0"/>
                      <w:szCs w:val="21"/>
                      <w:lang w:val="en-US" w:eastAsia="zh-CN"/>
                    </w:rPr>
                    <w:t>5</w:t>
                  </w:r>
                </w:p>
              </w:tc>
            </w:tr>
            <w:tr w14:paraId="6BF5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2B793F83">
                  <w:pPr>
                    <w:adjustRightInd w:val="0"/>
                    <w:snapToGrid w:val="0"/>
                    <w:jc w:val="center"/>
                    <w:rPr>
                      <w:color w:val="000000" w:themeColor="text1"/>
                      <w:kern w:val="0"/>
                      <w:szCs w:val="21"/>
                      <w14:textFill>
                        <w14:solidFill>
                          <w14:schemeClr w14:val="tx1"/>
                        </w14:solidFill>
                      </w14:textFill>
                    </w:rPr>
                  </w:pPr>
                </w:p>
              </w:tc>
              <w:tc>
                <w:tcPr>
                  <w:tcW w:w="2202" w:type="dxa"/>
                  <w:vAlign w:val="center"/>
                </w:tcPr>
                <w:p w14:paraId="2FC1CB89">
                  <w:pPr>
                    <w:adjustRightInd w:val="0"/>
                    <w:snapToGrid w:val="0"/>
                    <w:jc w:val="center"/>
                    <w:rPr>
                      <w:rFonts w:hint="eastAsia"/>
                      <w:color w:val="auto"/>
                      <w:kern w:val="0"/>
                      <w:szCs w:val="21"/>
                      <w:lang w:eastAsia="zh-CN"/>
                    </w:rPr>
                  </w:pPr>
                  <w:r>
                    <w:rPr>
                      <w:rFonts w:hint="eastAsia"/>
                      <w:color w:val="auto"/>
                      <w:kern w:val="0"/>
                      <w:szCs w:val="21"/>
                      <w:lang w:eastAsia="zh-CN"/>
                    </w:rPr>
                    <w:t>运输扬尘</w:t>
                  </w:r>
                </w:p>
              </w:tc>
              <w:tc>
                <w:tcPr>
                  <w:tcW w:w="3401" w:type="dxa"/>
                  <w:vAlign w:val="center"/>
                </w:tcPr>
                <w:p w14:paraId="0FCF853E">
                  <w:pPr>
                    <w:adjustRightInd w:val="0"/>
                    <w:snapToGrid w:val="0"/>
                    <w:jc w:val="center"/>
                    <w:rPr>
                      <w:rFonts w:hint="eastAsia" w:eastAsia="宋体"/>
                      <w:color w:val="auto"/>
                      <w:kern w:val="0"/>
                      <w:szCs w:val="21"/>
                      <w:lang w:eastAsia="zh-CN"/>
                    </w:rPr>
                  </w:pPr>
                  <w:r>
                    <w:rPr>
                      <w:rFonts w:hint="eastAsia" w:eastAsia="宋体"/>
                      <w:color w:val="auto"/>
                      <w:kern w:val="0"/>
                      <w:szCs w:val="21"/>
                      <w:lang w:eastAsia="zh-CN"/>
                    </w:rPr>
                    <w:t>车辆篷布覆盖，运输过程限速按规定线路行驶</w:t>
                  </w:r>
                </w:p>
              </w:tc>
              <w:tc>
                <w:tcPr>
                  <w:tcW w:w="1602" w:type="dxa"/>
                  <w:vAlign w:val="center"/>
                </w:tcPr>
                <w:p w14:paraId="1EFB02A0">
                  <w:pPr>
                    <w:adjustRightInd w:val="0"/>
                    <w:snapToGrid w:val="0"/>
                    <w:jc w:val="center"/>
                    <w:rPr>
                      <w:rFonts w:hint="default"/>
                      <w:kern w:val="0"/>
                      <w:szCs w:val="21"/>
                      <w:lang w:val="en-US" w:eastAsia="zh-CN"/>
                    </w:rPr>
                  </w:pPr>
                  <w:r>
                    <w:rPr>
                      <w:rFonts w:hint="eastAsia"/>
                      <w:kern w:val="0"/>
                      <w:szCs w:val="21"/>
                      <w:lang w:val="en-US" w:eastAsia="zh-CN"/>
                    </w:rPr>
                    <w:t>2</w:t>
                  </w:r>
                </w:p>
              </w:tc>
            </w:tr>
            <w:tr w14:paraId="251F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09431892">
                  <w:pPr>
                    <w:adjustRightInd w:val="0"/>
                    <w:snapToGrid w:val="0"/>
                    <w:jc w:val="center"/>
                    <w:rPr>
                      <w:color w:val="000000" w:themeColor="text1"/>
                      <w:kern w:val="0"/>
                      <w:szCs w:val="21"/>
                      <w14:textFill>
                        <w14:solidFill>
                          <w14:schemeClr w14:val="tx1"/>
                        </w14:solidFill>
                      </w14:textFill>
                    </w:rPr>
                  </w:pPr>
                </w:p>
              </w:tc>
              <w:tc>
                <w:tcPr>
                  <w:tcW w:w="2202" w:type="dxa"/>
                  <w:vAlign w:val="center"/>
                </w:tcPr>
                <w:p w14:paraId="0CB09982">
                  <w:pPr>
                    <w:adjustRightInd w:val="0"/>
                    <w:snapToGrid w:val="0"/>
                    <w:jc w:val="center"/>
                    <w:rPr>
                      <w:rFonts w:hint="eastAsia"/>
                      <w:color w:val="auto"/>
                      <w:kern w:val="0"/>
                      <w:szCs w:val="21"/>
                      <w:lang w:eastAsia="zh-CN"/>
                    </w:rPr>
                  </w:pPr>
                  <w:r>
                    <w:rPr>
                      <w:rFonts w:hint="eastAsia"/>
                      <w:color w:val="auto"/>
                      <w:kern w:val="0"/>
                      <w:szCs w:val="21"/>
                      <w:lang w:eastAsia="zh-CN"/>
                    </w:rPr>
                    <w:t>卸料起尘</w:t>
                  </w:r>
                </w:p>
              </w:tc>
              <w:tc>
                <w:tcPr>
                  <w:tcW w:w="3401" w:type="dxa"/>
                  <w:vAlign w:val="center"/>
                </w:tcPr>
                <w:p w14:paraId="0544D1B5">
                  <w:pPr>
                    <w:adjustRightInd w:val="0"/>
                    <w:snapToGrid w:val="0"/>
                    <w:jc w:val="center"/>
                    <w:rPr>
                      <w:rFonts w:hint="eastAsia" w:eastAsia="宋体"/>
                      <w:color w:val="auto"/>
                      <w:kern w:val="0"/>
                      <w:szCs w:val="21"/>
                      <w:lang w:eastAsia="zh-CN"/>
                    </w:rPr>
                  </w:pPr>
                  <w:r>
                    <w:rPr>
                      <w:rFonts w:hint="eastAsia"/>
                      <w:color w:val="auto"/>
                      <w:kern w:val="0"/>
                      <w:szCs w:val="21"/>
                      <w:lang w:eastAsia="zh-CN"/>
                    </w:rPr>
                    <w:t>降低卸料高度、开启雾炮除尘</w:t>
                  </w:r>
                </w:p>
              </w:tc>
              <w:tc>
                <w:tcPr>
                  <w:tcW w:w="1602" w:type="dxa"/>
                  <w:vAlign w:val="center"/>
                </w:tcPr>
                <w:p w14:paraId="380D6356">
                  <w:pPr>
                    <w:adjustRightInd w:val="0"/>
                    <w:snapToGrid w:val="0"/>
                    <w:jc w:val="center"/>
                    <w:rPr>
                      <w:rFonts w:hint="default"/>
                      <w:kern w:val="0"/>
                      <w:szCs w:val="21"/>
                      <w:lang w:val="en-US" w:eastAsia="zh-CN"/>
                    </w:rPr>
                  </w:pPr>
                  <w:r>
                    <w:rPr>
                      <w:rFonts w:hint="eastAsia"/>
                      <w:kern w:val="0"/>
                      <w:szCs w:val="21"/>
                      <w:lang w:val="en-US" w:eastAsia="zh-CN"/>
                    </w:rPr>
                    <w:t>3</w:t>
                  </w:r>
                </w:p>
              </w:tc>
            </w:tr>
            <w:tr w14:paraId="4659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Align w:val="center"/>
                </w:tcPr>
                <w:p w14:paraId="1FF3098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噪声</w:t>
                  </w:r>
                </w:p>
              </w:tc>
              <w:tc>
                <w:tcPr>
                  <w:tcW w:w="2202" w:type="dxa"/>
                  <w:vAlign w:val="center"/>
                </w:tcPr>
                <w:p w14:paraId="3C6911B5">
                  <w:pPr>
                    <w:adjustRightInd w:val="0"/>
                    <w:snapToGrid w:val="0"/>
                    <w:jc w:val="center"/>
                    <w:rPr>
                      <w:color w:val="auto"/>
                      <w:kern w:val="0"/>
                      <w:szCs w:val="21"/>
                    </w:rPr>
                  </w:pPr>
                  <w:r>
                    <w:rPr>
                      <w:color w:val="auto"/>
                      <w:kern w:val="0"/>
                      <w:szCs w:val="21"/>
                    </w:rPr>
                    <w:t>设备噪声等</w:t>
                  </w:r>
                </w:p>
              </w:tc>
              <w:tc>
                <w:tcPr>
                  <w:tcW w:w="3401" w:type="dxa"/>
                  <w:vAlign w:val="center"/>
                </w:tcPr>
                <w:p w14:paraId="5FDD883C">
                  <w:pPr>
                    <w:adjustRightInd w:val="0"/>
                    <w:snapToGrid w:val="0"/>
                    <w:jc w:val="center"/>
                    <w:rPr>
                      <w:color w:val="auto"/>
                      <w:kern w:val="0"/>
                      <w:szCs w:val="21"/>
                    </w:rPr>
                  </w:pPr>
                  <w:r>
                    <w:rPr>
                      <w:color w:val="auto"/>
                      <w:kern w:val="0"/>
                      <w:szCs w:val="21"/>
                    </w:rPr>
                    <w:t>选用低噪声设备、建筑隔声等</w:t>
                  </w:r>
                </w:p>
              </w:tc>
              <w:tc>
                <w:tcPr>
                  <w:tcW w:w="1602" w:type="dxa"/>
                  <w:vAlign w:val="center"/>
                </w:tcPr>
                <w:p w14:paraId="460CCC20">
                  <w:pPr>
                    <w:adjustRightInd w:val="0"/>
                    <w:snapToGrid w:val="0"/>
                    <w:jc w:val="center"/>
                    <w:rPr>
                      <w:rFonts w:hint="default"/>
                      <w:kern w:val="0"/>
                      <w:szCs w:val="21"/>
                      <w:lang w:val="en-US"/>
                    </w:rPr>
                  </w:pPr>
                  <w:r>
                    <w:rPr>
                      <w:rFonts w:hint="eastAsia"/>
                      <w:kern w:val="0"/>
                      <w:szCs w:val="21"/>
                      <w:lang w:val="en-US" w:eastAsia="zh-CN"/>
                    </w:rPr>
                    <w:t>/（依托原有）</w:t>
                  </w:r>
                </w:p>
              </w:tc>
            </w:tr>
            <w:tr w14:paraId="09D5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restart"/>
                  <w:vAlign w:val="center"/>
                </w:tcPr>
                <w:p w14:paraId="3E07606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固废</w:t>
                  </w:r>
                </w:p>
              </w:tc>
              <w:tc>
                <w:tcPr>
                  <w:tcW w:w="2202" w:type="dxa"/>
                  <w:vAlign w:val="center"/>
                </w:tcPr>
                <w:p w14:paraId="4CB383AC">
                  <w:pPr>
                    <w:adjustRightInd w:val="0"/>
                    <w:snapToGrid w:val="0"/>
                    <w:jc w:val="center"/>
                    <w:rPr>
                      <w:color w:val="auto"/>
                      <w:kern w:val="0"/>
                      <w:szCs w:val="21"/>
                    </w:rPr>
                  </w:pPr>
                  <w:r>
                    <w:rPr>
                      <w:color w:val="auto"/>
                      <w:kern w:val="0"/>
                      <w:szCs w:val="21"/>
                    </w:rPr>
                    <w:t>一般工业固体废物</w:t>
                  </w:r>
                </w:p>
              </w:tc>
              <w:tc>
                <w:tcPr>
                  <w:tcW w:w="3401" w:type="dxa"/>
                  <w:vAlign w:val="center"/>
                </w:tcPr>
                <w:p w14:paraId="61A4B2CE">
                  <w:pPr>
                    <w:adjustRightInd w:val="0"/>
                    <w:snapToGrid w:val="0"/>
                    <w:jc w:val="center"/>
                    <w:rPr>
                      <w:color w:val="auto"/>
                      <w:kern w:val="0"/>
                      <w:szCs w:val="21"/>
                    </w:rPr>
                  </w:pPr>
                  <w:r>
                    <w:rPr>
                      <w:color w:val="auto"/>
                      <w:kern w:val="0"/>
                      <w:szCs w:val="21"/>
                    </w:rPr>
                    <w:t>规范化一般固废暂存间</w:t>
                  </w:r>
                </w:p>
              </w:tc>
              <w:tc>
                <w:tcPr>
                  <w:tcW w:w="1602" w:type="dxa"/>
                  <w:vAlign w:val="center"/>
                </w:tcPr>
                <w:p w14:paraId="31D57DCF">
                  <w:pPr>
                    <w:adjustRightInd w:val="0"/>
                    <w:snapToGrid w:val="0"/>
                    <w:jc w:val="center"/>
                    <w:rPr>
                      <w:kern w:val="0"/>
                      <w:szCs w:val="21"/>
                    </w:rPr>
                  </w:pPr>
                  <w:r>
                    <w:rPr>
                      <w:rFonts w:hint="eastAsia"/>
                      <w:kern w:val="0"/>
                      <w:szCs w:val="21"/>
                      <w:lang w:val="en-US" w:eastAsia="zh-CN"/>
                    </w:rPr>
                    <w:t>/（依托原有）</w:t>
                  </w:r>
                </w:p>
              </w:tc>
            </w:tr>
            <w:tr w14:paraId="5F2C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35B2D06A">
                  <w:pPr>
                    <w:adjustRightInd w:val="0"/>
                    <w:snapToGrid w:val="0"/>
                    <w:jc w:val="center"/>
                    <w:rPr>
                      <w:color w:val="000000" w:themeColor="text1"/>
                      <w:kern w:val="0"/>
                      <w:szCs w:val="21"/>
                      <w14:textFill>
                        <w14:solidFill>
                          <w14:schemeClr w14:val="tx1"/>
                        </w14:solidFill>
                      </w14:textFill>
                    </w:rPr>
                  </w:pPr>
                </w:p>
              </w:tc>
              <w:tc>
                <w:tcPr>
                  <w:tcW w:w="2202" w:type="dxa"/>
                  <w:vAlign w:val="center"/>
                </w:tcPr>
                <w:p w14:paraId="78571278">
                  <w:pPr>
                    <w:adjustRightInd w:val="0"/>
                    <w:snapToGrid w:val="0"/>
                    <w:jc w:val="center"/>
                    <w:rPr>
                      <w:color w:val="auto"/>
                      <w:kern w:val="0"/>
                      <w:szCs w:val="21"/>
                    </w:rPr>
                  </w:pPr>
                  <w:r>
                    <w:rPr>
                      <w:color w:val="auto"/>
                      <w:kern w:val="0"/>
                      <w:szCs w:val="21"/>
                    </w:rPr>
                    <w:t>危险废物</w:t>
                  </w:r>
                </w:p>
              </w:tc>
              <w:tc>
                <w:tcPr>
                  <w:tcW w:w="3401" w:type="dxa"/>
                  <w:vAlign w:val="center"/>
                </w:tcPr>
                <w:p w14:paraId="20FA6CAA">
                  <w:pPr>
                    <w:adjustRightInd w:val="0"/>
                    <w:snapToGrid w:val="0"/>
                    <w:jc w:val="center"/>
                    <w:rPr>
                      <w:color w:val="auto"/>
                      <w:kern w:val="0"/>
                      <w:szCs w:val="21"/>
                    </w:rPr>
                  </w:pPr>
                  <w:r>
                    <w:rPr>
                      <w:color w:val="auto"/>
                      <w:kern w:val="0"/>
                      <w:szCs w:val="21"/>
                    </w:rPr>
                    <w:t>规范化危险废物暂存间</w:t>
                  </w:r>
                </w:p>
              </w:tc>
              <w:tc>
                <w:tcPr>
                  <w:tcW w:w="1602" w:type="dxa"/>
                  <w:vAlign w:val="center"/>
                </w:tcPr>
                <w:p w14:paraId="3C3BFD51">
                  <w:pPr>
                    <w:adjustRightInd w:val="0"/>
                    <w:snapToGrid w:val="0"/>
                    <w:jc w:val="center"/>
                    <w:rPr>
                      <w:rFonts w:hint="eastAsia" w:eastAsia="宋体"/>
                      <w:kern w:val="0"/>
                      <w:szCs w:val="21"/>
                      <w:lang w:eastAsia="zh-CN"/>
                    </w:rPr>
                  </w:pPr>
                  <w:r>
                    <w:rPr>
                      <w:rFonts w:hint="eastAsia"/>
                      <w:kern w:val="0"/>
                      <w:szCs w:val="21"/>
                      <w:lang w:val="en-US" w:eastAsia="zh-CN"/>
                    </w:rPr>
                    <w:t>/（依托原有）</w:t>
                  </w:r>
                </w:p>
              </w:tc>
            </w:tr>
            <w:tr w14:paraId="5BAF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7" w:type="dxa"/>
                  <w:vMerge w:val="continue"/>
                  <w:vAlign w:val="center"/>
                </w:tcPr>
                <w:p w14:paraId="1C125219">
                  <w:pPr>
                    <w:adjustRightInd w:val="0"/>
                    <w:snapToGrid w:val="0"/>
                    <w:jc w:val="center"/>
                    <w:rPr>
                      <w:color w:val="000000" w:themeColor="text1"/>
                      <w:kern w:val="0"/>
                      <w:szCs w:val="21"/>
                      <w14:textFill>
                        <w14:solidFill>
                          <w14:schemeClr w14:val="tx1"/>
                        </w14:solidFill>
                      </w14:textFill>
                    </w:rPr>
                  </w:pPr>
                </w:p>
              </w:tc>
              <w:tc>
                <w:tcPr>
                  <w:tcW w:w="2202" w:type="dxa"/>
                  <w:vAlign w:val="center"/>
                </w:tcPr>
                <w:p w14:paraId="63C0EBF5">
                  <w:pPr>
                    <w:adjustRightInd w:val="0"/>
                    <w:snapToGrid w:val="0"/>
                    <w:jc w:val="center"/>
                    <w:rPr>
                      <w:color w:val="auto"/>
                      <w:kern w:val="0"/>
                      <w:szCs w:val="21"/>
                    </w:rPr>
                  </w:pPr>
                  <w:r>
                    <w:rPr>
                      <w:color w:val="auto"/>
                      <w:kern w:val="0"/>
                      <w:szCs w:val="21"/>
                    </w:rPr>
                    <w:t>生活垃圾</w:t>
                  </w:r>
                </w:p>
              </w:tc>
              <w:tc>
                <w:tcPr>
                  <w:tcW w:w="3401" w:type="dxa"/>
                  <w:vAlign w:val="center"/>
                </w:tcPr>
                <w:p w14:paraId="2EEB78C1">
                  <w:pPr>
                    <w:adjustRightInd w:val="0"/>
                    <w:snapToGrid w:val="0"/>
                    <w:jc w:val="center"/>
                    <w:rPr>
                      <w:color w:val="auto"/>
                      <w:kern w:val="0"/>
                      <w:szCs w:val="21"/>
                    </w:rPr>
                  </w:pPr>
                  <w:r>
                    <w:rPr>
                      <w:color w:val="auto"/>
                      <w:kern w:val="0"/>
                      <w:szCs w:val="21"/>
                    </w:rPr>
                    <w:t>垃圾桶等</w:t>
                  </w:r>
                </w:p>
              </w:tc>
              <w:tc>
                <w:tcPr>
                  <w:tcW w:w="1602" w:type="dxa"/>
                  <w:vAlign w:val="center"/>
                </w:tcPr>
                <w:p w14:paraId="79D13F50">
                  <w:pPr>
                    <w:adjustRightInd w:val="0"/>
                    <w:snapToGrid w:val="0"/>
                    <w:jc w:val="center"/>
                    <w:rPr>
                      <w:kern w:val="0"/>
                      <w:szCs w:val="21"/>
                    </w:rPr>
                  </w:pPr>
                  <w:r>
                    <w:rPr>
                      <w:rFonts w:hint="eastAsia"/>
                      <w:kern w:val="0"/>
                      <w:szCs w:val="21"/>
                    </w:rPr>
                    <w:t>1</w:t>
                  </w:r>
                </w:p>
              </w:tc>
            </w:tr>
            <w:tr w14:paraId="304A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9" w:type="dxa"/>
                  <w:gridSpan w:val="2"/>
                  <w:vAlign w:val="center"/>
                </w:tcPr>
                <w:p w14:paraId="72E40C7F">
                  <w:pPr>
                    <w:spacing w:line="240" w:lineRule="atLeast"/>
                    <w:jc w:val="center"/>
                    <w:rPr>
                      <w:rFonts w:hint="eastAsia" w:eastAsia="宋体"/>
                      <w:color w:val="auto"/>
                      <w:kern w:val="0"/>
                      <w:szCs w:val="21"/>
                      <w:lang w:eastAsia="zh-CN"/>
                    </w:rPr>
                  </w:pPr>
                  <w:r>
                    <w:rPr>
                      <w:color w:val="auto"/>
                      <w:szCs w:val="21"/>
                    </w:rPr>
                    <w:t>地下水</w:t>
                  </w:r>
                  <w:r>
                    <w:rPr>
                      <w:rFonts w:hint="eastAsia"/>
                      <w:color w:val="auto"/>
                      <w:szCs w:val="21"/>
                      <w:lang w:eastAsia="zh-CN"/>
                    </w:rPr>
                    <w:t>、土壤</w:t>
                  </w:r>
                </w:p>
              </w:tc>
              <w:tc>
                <w:tcPr>
                  <w:tcW w:w="3401" w:type="dxa"/>
                  <w:vAlign w:val="center"/>
                </w:tcPr>
                <w:p w14:paraId="6D4EE2BB">
                  <w:pPr>
                    <w:adjustRightInd w:val="0"/>
                    <w:snapToGrid w:val="0"/>
                    <w:spacing w:before="48" w:beforeLines="20"/>
                    <w:jc w:val="center"/>
                    <w:rPr>
                      <w:rFonts w:hint="eastAsia" w:eastAsia="宋体"/>
                      <w:color w:val="auto"/>
                      <w:kern w:val="0"/>
                      <w:szCs w:val="21"/>
                      <w:lang w:eastAsia="zh-CN"/>
                    </w:rPr>
                  </w:pPr>
                  <w:r>
                    <w:rPr>
                      <w:color w:val="auto"/>
                      <w:szCs w:val="21"/>
                    </w:rPr>
                    <w:t>一般防渗、重点防渗</w:t>
                  </w:r>
                  <w:r>
                    <w:rPr>
                      <w:rFonts w:hint="eastAsia"/>
                      <w:color w:val="auto"/>
                      <w:szCs w:val="21"/>
                      <w:lang w:eastAsia="zh-CN"/>
                    </w:rPr>
                    <w:t>、污泥储存区设置导流沟、导流槽</w:t>
                  </w:r>
                </w:p>
              </w:tc>
              <w:tc>
                <w:tcPr>
                  <w:tcW w:w="1602" w:type="dxa"/>
                  <w:vAlign w:val="center"/>
                </w:tcPr>
                <w:p w14:paraId="3F0F972F">
                  <w:pPr>
                    <w:spacing w:line="240" w:lineRule="atLeast"/>
                    <w:jc w:val="center"/>
                    <w:rPr>
                      <w:kern w:val="0"/>
                      <w:szCs w:val="21"/>
                    </w:rPr>
                  </w:pPr>
                  <w:r>
                    <w:rPr>
                      <w:rFonts w:hint="eastAsia"/>
                      <w:kern w:val="0"/>
                      <w:szCs w:val="21"/>
                    </w:rPr>
                    <w:t>3</w:t>
                  </w:r>
                </w:p>
              </w:tc>
            </w:tr>
            <w:tr w14:paraId="04FC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9" w:type="dxa"/>
                  <w:gridSpan w:val="2"/>
                  <w:vAlign w:val="center"/>
                </w:tcPr>
                <w:p w14:paraId="1BA0C1E5">
                  <w:pPr>
                    <w:spacing w:line="240" w:lineRule="atLeast"/>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环境风险</w:t>
                  </w:r>
                </w:p>
              </w:tc>
              <w:tc>
                <w:tcPr>
                  <w:tcW w:w="3401" w:type="dxa"/>
                  <w:vAlign w:val="center"/>
                </w:tcPr>
                <w:p w14:paraId="7CE8C886">
                  <w:pPr>
                    <w:adjustRightInd w:val="0"/>
                    <w:snapToGrid w:val="0"/>
                    <w:spacing w:before="48" w:beforeLines="2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设置室外消火栓、灭火器、制定风险应急预案等。</w:t>
                  </w:r>
                </w:p>
              </w:tc>
              <w:tc>
                <w:tcPr>
                  <w:tcW w:w="1602" w:type="dxa"/>
                  <w:vAlign w:val="center"/>
                </w:tcPr>
                <w:p w14:paraId="564AB5A9">
                  <w:pPr>
                    <w:spacing w:line="240" w:lineRule="atLeast"/>
                    <w:jc w:val="center"/>
                    <w:rPr>
                      <w:color w:val="FF0000"/>
                      <w:kern w:val="0"/>
                      <w:szCs w:val="21"/>
                    </w:rPr>
                  </w:pPr>
                  <w:r>
                    <w:rPr>
                      <w:rFonts w:hint="eastAsia"/>
                      <w:kern w:val="0"/>
                      <w:szCs w:val="21"/>
                    </w:rPr>
                    <w:t>2</w:t>
                  </w:r>
                </w:p>
              </w:tc>
            </w:tr>
            <w:tr w14:paraId="1F15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0" w:type="dxa"/>
                  <w:gridSpan w:val="3"/>
                  <w:vAlign w:val="center"/>
                </w:tcPr>
                <w:p w14:paraId="7459776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1602" w:type="dxa"/>
                  <w:vAlign w:val="center"/>
                </w:tcPr>
                <w:p w14:paraId="2F1E4674">
                  <w:pPr>
                    <w:adjustRightInd w:val="0"/>
                    <w:snapToGrid w:val="0"/>
                    <w:jc w:val="center"/>
                    <w:rPr>
                      <w:rFonts w:hint="default" w:eastAsia="宋体"/>
                      <w:color w:val="FF0000"/>
                      <w:kern w:val="0"/>
                      <w:szCs w:val="21"/>
                      <w:lang w:val="en-US" w:eastAsia="zh-CN"/>
                    </w:rPr>
                  </w:pPr>
                  <w:r>
                    <w:rPr>
                      <w:rFonts w:hint="eastAsia"/>
                      <w:kern w:val="0"/>
                      <w:szCs w:val="21"/>
                      <w:lang w:val="en-US" w:eastAsia="zh-CN"/>
                    </w:rPr>
                    <w:t>26</w:t>
                  </w:r>
                </w:p>
              </w:tc>
            </w:tr>
          </w:tbl>
          <w:p w14:paraId="7CC78092">
            <w:pPr>
              <w:adjustRightInd w:val="0"/>
              <w:snapToGrid w:val="0"/>
              <w:spacing w:line="360" w:lineRule="auto"/>
              <w:rPr>
                <w:kern w:val="0"/>
                <w:sz w:val="24"/>
              </w:rPr>
            </w:pPr>
          </w:p>
        </w:tc>
      </w:tr>
    </w:tbl>
    <w:p w14:paraId="3EA1419E">
      <w:pPr>
        <w:rPr>
          <w:kern w:val="0"/>
        </w:rPr>
        <w:sectPr>
          <w:pgSz w:w="11906" w:h="16838"/>
          <w:pgMar w:top="1440" w:right="1803" w:bottom="1440" w:left="1803" w:header="851" w:footer="851" w:gutter="0"/>
          <w:cols w:space="720" w:num="1"/>
          <w:docGrid w:linePitch="312" w:charSpace="0"/>
        </w:sectPr>
      </w:pPr>
    </w:p>
    <w:p w14:paraId="71376EDA">
      <w:pPr>
        <w:pStyle w:val="24"/>
        <w:snapToGrid w:val="0"/>
        <w:spacing w:before="0" w:beforeAutospacing="0" w:after="0" w:afterAutospacing="0" w:line="360" w:lineRule="auto"/>
        <w:jc w:val="center"/>
        <w:outlineLvl w:val="0"/>
        <w:rPr>
          <w:rFonts w:ascii="Times New Roman" w:hAnsi="Times New Roman"/>
          <w:b/>
          <w:bCs/>
          <w:sz w:val="30"/>
          <w:szCs w:val="30"/>
        </w:rPr>
      </w:pPr>
      <w:r>
        <w:rPr>
          <w:rFonts w:ascii="Times New Roman" w:hAnsi="Times New Roman"/>
          <w:b/>
          <w:bCs/>
          <w:sz w:val="30"/>
          <w:szCs w:val="30"/>
        </w:rPr>
        <w:t>五、</w:t>
      </w:r>
      <w:bookmarkStart w:id="1" w:name="_Hlk54167917"/>
      <w:r>
        <w:rPr>
          <w:rFonts w:ascii="Times New Roman" w:hAnsi="Times New Roman"/>
          <w:b/>
          <w:bCs/>
          <w:sz w:val="30"/>
          <w:szCs w:val="30"/>
        </w:rPr>
        <w:t>环境保护措施监督检查清单</w:t>
      </w:r>
      <w:bookmarkEnd w:id="1"/>
    </w:p>
    <w:tbl>
      <w:tblPr>
        <w:tblStyle w:val="27"/>
        <w:tblW w:w="89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895"/>
        <w:gridCol w:w="1494"/>
        <w:gridCol w:w="2011"/>
        <w:gridCol w:w="1877"/>
      </w:tblGrid>
      <w:tr w14:paraId="0C0AA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4" w:type="dxa"/>
            <w:tcBorders>
              <w:tl2br w:val="single" w:color="auto" w:sz="8" w:space="0"/>
            </w:tcBorders>
          </w:tcPr>
          <w:p w14:paraId="1B3FD5C7">
            <w:pPr>
              <w:adjustRightInd w:val="0"/>
              <w:snapToGrid w:val="0"/>
              <w:ind w:firstLine="84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内容</w:t>
            </w:r>
          </w:p>
          <w:p w14:paraId="3B88E291">
            <w:pPr>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要素</w:t>
            </w:r>
          </w:p>
        </w:tc>
        <w:tc>
          <w:tcPr>
            <w:tcW w:w="1895" w:type="dxa"/>
            <w:tcBorders>
              <w:tl2br w:val="nil"/>
              <w:tr2bl w:val="nil"/>
            </w:tcBorders>
            <w:vAlign w:val="center"/>
          </w:tcPr>
          <w:p w14:paraId="1C8C277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排放口(编号、</w:t>
            </w:r>
          </w:p>
          <w:p w14:paraId="53F6F71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名称)/污染源</w:t>
            </w:r>
          </w:p>
        </w:tc>
        <w:tc>
          <w:tcPr>
            <w:tcW w:w="1494" w:type="dxa"/>
            <w:tcBorders>
              <w:tl2br w:val="nil"/>
              <w:tr2bl w:val="nil"/>
            </w:tcBorders>
            <w:vAlign w:val="center"/>
          </w:tcPr>
          <w:p w14:paraId="179D644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污染物项目</w:t>
            </w:r>
          </w:p>
        </w:tc>
        <w:tc>
          <w:tcPr>
            <w:tcW w:w="2011" w:type="dxa"/>
            <w:tcBorders>
              <w:tl2br w:val="nil"/>
              <w:tr2bl w:val="nil"/>
            </w:tcBorders>
            <w:vAlign w:val="center"/>
          </w:tcPr>
          <w:p w14:paraId="715C303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环境保护措施</w:t>
            </w:r>
          </w:p>
        </w:tc>
        <w:tc>
          <w:tcPr>
            <w:tcW w:w="1877" w:type="dxa"/>
            <w:tcBorders>
              <w:tl2br w:val="nil"/>
              <w:tr2bl w:val="nil"/>
            </w:tcBorders>
            <w:vAlign w:val="center"/>
          </w:tcPr>
          <w:p w14:paraId="1774639C">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执行标准</w:t>
            </w:r>
          </w:p>
        </w:tc>
      </w:tr>
      <w:tr w14:paraId="33CD5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1714" w:type="dxa"/>
            <w:vMerge w:val="restart"/>
            <w:tcBorders>
              <w:tl2br w:val="nil"/>
              <w:tr2bl w:val="nil"/>
            </w:tcBorders>
            <w:vAlign w:val="center"/>
          </w:tcPr>
          <w:p w14:paraId="4E6F05F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895" w:type="dxa"/>
            <w:tcBorders>
              <w:tl2br w:val="nil"/>
              <w:tr2bl w:val="nil"/>
            </w:tcBorders>
            <w:vAlign w:val="center"/>
          </w:tcPr>
          <w:p w14:paraId="16D8B6E5">
            <w:pPr>
              <w:adjustRightInd w:val="0"/>
              <w:snapToGrid w:val="0"/>
              <w:jc w:val="center"/>
              <w:rPr>
                <w:color w:val="auto"/>
                <w:kern w:val="0"/>
                <w:sz w:val="24"/>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lang w:val="en-US" w:eastAsia="zh-CN"/>
              </w:rPr>
              <w:t>2</w:t>
            </w:r>
            <w:r>
              <w:rPr>
                <w:color w:val="auto"/>
                <w:kern w:val="0"/>
                <w:sz w:val="24"/>
              </w:rPr>
              <w:t>）</w:t>
            </w:r>
            <w:r>
              <w:rPr>
                <w:rFonts w:hint="eastAsia"/>
                <w:color w:val="auto"/>
                <w:kern w:val="0"/>
                <w:sz w:val="24"/>
              </w:rPr>
              <w:t>/</w:t>
            </w:r>
            <w:r>
              <w:rPr>
                <w:rFonts w:hint="eastAsia"/>
                <w:color w:val="auto"/>
                <w:kern w:val="0"/>
                <w:sz w:val="24"/>
                <w:lang w:eastAsia="zh-CN"/>
              </w:rPr>
              <w:t>草木灰筒仓</w:t>
            </w:r>
            <w:r>
              <w:rPr>
                <w:color w:val="auto"/>
                <w:kern w:val="0"/>
                <w:sz w:val="24"/>
              </w:rPr>
              <w:t>呼吸</w:t>
            </w:r>
          </w:p>
        </w:tc>
        <w:tc>
          <w:tcPr>
            <w:tcW w:w="1494" w:type="dxa"/>
            <w:tcBorders>
              <w:tl2br w:val="nil"/>
              <w:tr2bl w:val="nil"/>
            </w:tcBorders>
            <w:vAlign w:val="center"/>
          </w:tcPr>
          <w:p w14:paraId="375C1749">
            <w:pPr>
              <w:autoSpaceDE w:val="0"/>
              <w:autoSpaceDN w:val="0"/>
              <w:adjustRightInd w:val="0"/>
              <w:jc w:val="center"/>
              <w:rPr>
                <w:color w:val="auto"/>
                <w:kern w:val="0"/>
                <w:sz w:val="24"/>
              </w:rPr>
            </w:pPr>
            <w:r>
              <w:rPr>
                <w:rFonts w:hint="eastAsia"/>
                <w:color w:val="auto"/>
                <w:kern w:val="0"/>
                <w:sz w:val="24"/>
                <w:lang w:eastAsia="zh-CN"/>
              </w:rPr>
              <w:t>颗粒物</w:t>
            </w:r>
          </w:p>
        </w:tc>
        <w:tc>
          <w:tcPr>
            <w:tcW w:w="2011" w:type="dxa"/>
            <w:tcBorders>
              <w:tl2br w:val="nil"/>
              <w:tr2bl w:val="nil"/>
            </w:tcBorders>
            <w:vAlign w:val="center"/>
          </w:tcPr>
          <w:p w14:paraId="595FF68A">
            <w:pPr>
              <w:adjustRightInd w:val="0"/>
              <w:snapToGrid w:val="0"/>
              <w:jc w:val="center"/>
              <w:rPr>
                <w:color w:val="auto"/>
                <w:kern w:val="0"/>
                <w:sz w:val="24"/>
              </w:rPr>
            </w:pPr>
            <w:r>
              <w:rPr>
                <w:rFonts w:hint="eastAsia"/>
                <w:color w:val="auto"/>
                <w:kern w:val="0"/>
                <w:sz w:val="24"/>
                <w:lang w:eastAsia="zh-CN"/>
              </w:rPr>
              <w:t>引风机</w:t>
            </w:r>
            <w:r>
              <w:rPr>
                <w:rFonts w:hint="eastAsia"/>
                <w:color w:val="auto"/>
                <w:kern w:val="0"/>
                <w:sz w:val="24"/>
              </w:rPr>
              <w:t>+</w:t>
            </w:r>
            <w:r>
              <w:rPr>
                <w:rFonts w:hint="eastAsia"/>
                <w:color w:val="auto"/>
                <w:kern w:val="0"/>
                <w:sz w:val="24"/>
                <w:lang w:eastAsia="zh-CN"/>
              </w:rPr>
              <w:t>脉冲</w:t>
            </w:r>
            <w:r>
              <w:rPr>
                <w:rFonts w:hint="eastAsia"/>
                <w:color w:val="auto"/>
                <w:kern w:val="0"/>
                <w:sz w:val="24"/>
              </w:rPr>
              <w:t>除尘器</w:t>
            </w:r>
            <w:r>
              <w:rPr>
                <w:color w:val="auto"/>
                <w:kern w:val="0"/>
                <w:sz w:val="24"/>
              </w:rPr>
              <w:t>+15m高排气筒（DA00</w:t>
            </w:r>
            <w:r>
              <w:rPr>
                <w:rFonts w:hint="eastAsia"/>
                <w:color w:val="auto"/>
                <w:kern w:val="0"/>
                <w:sz w:val="24"/>
                <w:lang w:val="en-US" w:eastAsia="zh-CN"/>
              </w:rPr>
              <w:t>2</w:t>
            </w:r>
            <w:r>
              <w:rPr>
                <w:color w:val="auto"/>
                <w:kern w:val="0"/>
                <w:sz w:val="24"/>
              </w:rPr>
              <w:t>）</w:t>
            </w:r>
          </w:p>
        </w:tc>
        <w:tc>
          <w:tcPr>
            <w:tcW w:w="1877" w:type="dxa"/>
            <w:tcBorders>
              <w:tl2br w:val="nil"/>
              <w:tr2bl w:val="nil"/>
            </w:tcBorders>
            <w:vAlign w:val="center"/>
          </w:tcPr>
          <w:p w14:paraId="6612F69C">
            <w:pPr>
              <w:keepNext w:val="0"/>
              <w:keepLines w:val="0"/>
              <w:pageBreakBefore w:val="0"/>
              <w:widowControl w:val="0"/>
              <w:kinsoku/>
              <w:wordWrap/>
              <w:overflowPunct/>
              <w:topLinePunct w:val="0"/>
              <w:autoSpaceDE/>
              <w:autoSpaceDN/>
              <w:bidi w:val="0"/>
              <w:adjustRightInd w:val="0"/>
              <w:snapToGrid w:val="0"/>
              <w:spacing w:line="216" w:lineRule="auto"/>
              <w:jc w:val="center"/>
              <w:textAlignment w:val="auto"/>
              <w:rPr>
                <w:color w:val="000000" w:themeColor="text1"/>
                <w:kern w:val="0"/>
                <w:sz w:val="24"/>
                <w14:textFill>
                  <w14:solidFill>
                    <w14:schemeClr w14:val="tx1"/>
                  </w14:solidFill>
                </w14:textFill>
              </w:rPr>
            </w:pPr>
            <w:r>
              <w:rPr>
                <w:rFonts w:hint="default" w:ascii="Times New Roman" w:hAnsi="Times New Roman" w:eastAsia="宋体" w:cs="Times New Roman"/>
                <w:snapToGrid/>
                <w:color w:val="auto"/>
                <w:spacing w:val="0"/>
                <w:kern w:val="0"/>
                <w:position w:val="0"/>
                <w:sz w:val="24"/>
                <w:szCs w:val="24"/>
                <w:lang w:val="en-US" w:eastAsia="zh-CN"/>
              </w:rPr>
              <w:t>《大气污染物综合排放标准》（GB16297-1996）表2中最高允许排放浓度</w:t>
            </w:r>
          </w:p>
        </w:tc>
      </w:tr>
      <w:tr w14:paraId="12949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714" w:type="dxa"/>
            <w:vMerge w:val="continue"/>
            <w:tcBorders>
              <w:tl2br w:val="nil"/>
              <w:tr2bl w:val="nil"/>
            </w:tcBorders>
            <w:vAlign w:val="center"/>
          </w:tcPr>
          <w:p w14:paraId="7C25585F">
            <w:pPr>
              <w:adjustRightInd w:val="0"/>
              <w:snapToGrid w:val="0"/>
              <w:jc w:val="center"/>
              <w:rPr>
                <w:color w:val="000000" w:themeColor="text1"/>
                <w:sz w:val="24"/>
                <w14:textFill>
                  <w14:solidFill>
                    <w14:schemeClr w14:val="tx1"/>
                  </w14:solidFill>
                </w14:textFill>
              </w:rPr>
            </w:pPr>
          </w:p>
        </w:tc>
        <w:tc>
          <w:tcPr>
            <w:tcW w:w="1895" w:type="dxa"/>
            <w:tcBorders>
              <w:tl2br w:val="nil"/>
              <w:tr2bl w:val="nil"/>
            </w:tcBorders>
            <w:vAlign w:val="center"/>
          </w:tcPr>
          <w:p w14:paraId="78F72C25">
            <w:pPr>
              <w:adjustRightInd w:val="0"/>
              <w:snapToGrid w:val="0"/>
              <w:jc w:val="center"/>
              <w:rPr>
                <w:rFonts w:hint="eastAsia" w:eastAsia="宋体"/>
                <w:color w:val="auto"/>
                <w:kern w:val="0"/>
                <w:sz w:val="24"/>
                <w:lang w:eastAsia="zh-CN"/>
              </w:rPr>
            </w:pPr>
            <w:r>
              <w:rPr>
                <w:rFonts w:hint="eastAsia"/>
                <w:color w:val="auto"/>
                <w:kern w:val="0"/>
                <w:sz w:val="24"/>
                <w:lang w:eastAsia="zh-CN"/>
              </w:rPr>
              <w:t>颗粒物</w:t>
            </w:r>
            <w:r>
              <w:rPr>
                <w:rFonts w:hint="eastAsia"/>
                <w:color w:val="auto"/>
                <w:kern w:val="0"/>
                <w:sz w:val="24"/>
              </w:rPr>
              <w:t>排放口</w:t>
            </w:r>
            <w:r>
              <w:rPr>
                <w:color w:val="auto"/>
                <w:kern w:val="0"/>
                <w:sz w:val="24"/>
              </w:rPr>
              <w:t>（DA00</w:t>
            </w:r>
            <w:r>
              <w:rPr>
                <w:rFonts w:hint="eastAsia"/>
                <w:color w:val="auto"/>
                <w:kern w:val="0"/>
                <w:sz w:val="24"/>
              </w:rPr>
              <w:t>3</w:t>
            </w:r>
            <w:r>
              <w:rPr>
                <w:color w:val="auto"/>
                <w:kern w:val="0"/>
                <w:sz w:val="24"/>
              </w:rPr>
              <w:t>）</w:t>
            </w:r>
            <w:r>
              <w:rPr>
                <w:rFonts w:hint="eastAsia"/>
                <w:color w:val="auto"/>
                <w:kern w:val="0"/>
                <w:sz w:val="24"/>
              </w:rPr>
              <w:t>/</w:t>
            </w:r>
            <w:r>
              <w:rPr>
                <w:rFonts w:hint="eastAsia"/>
                <w:color w:val="auto"/>
                <w:kern w:val="0"/>
                <w:sz w:val="24"/>
                <w:lang w:eastAsia="zh-CN"/>
              </w:rPr>
              <w:t>投料、搅拌、、破碎松散废气</w:t>
            </w:r>
          </w:p>
        </w:tc>
        <w:tc>
          <w:tcPr>
            <w:tcW w:w="1494" w:type="dxa"/>
            <w:tcBorders>
              <w:tl2br w:val="nil"/>
              <w:tr2bl w:val="nil"/>
            </w:tcBorders>
            <w:vAlign w:val="center"/>
          </w:tcPr>
          <w:p w14:paraId="73E0521A">
            <w:pPr>
              <w:autoSpaceDE w:val="0"/>
              <w:autoSpaceDN w:val="0"/>
              <w:adjustRightInd w:val="0"/>
              <w:jc w:val="center"/>
              <w:rPr>
                <w:color w:val="auto"/>
                <w:kern w:val="0"/>
                <w:sz w:val="24"/>
              </w:rPr>
            </w:pPr>
            <w:r>
              <w:rPr>
                <w:rFonts w:hint="eastAsia"/>
                <w:color w:val="auto"/>
                <w:kern w:val="0"/>
                <w:sz w:val="24"/>
                <w:lang w:eastAsia="zh-CN"/>
              </w:rPr>
              <w:t>颗粒物</w:t>
            </w:r>
          </w:p>
        </w:tc>
        <w:tc>
          <w:tcPr>
            <w:tcW w:w="2011" w:type="dxa"/>
            <w:tcBorders>
              <w:tl2br w:val="nil"/>
              <w:tr2bl w:val="nil"/>
            </w:tcBorders>
            <w:vAlign w:val="center"/>
          </w:tcPr>
          <w:p w14:paraId="661BE985">
            <w:pPr>
              <w:adjustRightInd w:val="0"/>
              <w:snapToGrid w:val="0"/>
              <w:jc w:val="center"/>
              <w:rPr>
                <w:color w:val="auto"/>
                <w:kern w:val="0"/>
                <w:sz w:val="24"/>
              </w:rPr>
            </w:pPr>
            <w:r>
              <w:rPr>
                <w:rFonts w:hint="eastAsia"/>
                <w:color w:val="auto"/>
                <w:kern w:val="0"/>
                <w:sz w:val="24"/>
              </w:rPr>
              <w:t>集气罩+</w:t>
            </w:r>
            <w:r>
              <w:rPr>
                <w:rFonts w:hint="eastAsia"/>
                <w:color w:val="auto"/>
                <w:kern w:val="0"/>
                <w:sz w:val="24"/>
                <w:lang w:eastAsia="zh-CN"/>
              </w:rPr>
              <w:t>脉冲</w:t>
            </w:r>
            <w:r>
              <w:rPr>
                <w:rFonts w:hint="eastAsia"/>
                <w:color w:val="auto"/>
                <w:kern w:val="0"/>
                <w:sz w:val="24"/>
              </w:rPr>
              <w:t>除尘器</w:t>
            </w:r>
            <w:r>
              <w:rPr>
                <w:color w:val="auto"/>
                <w:kern w:val="0"/>
                <w:sz w:val="24"/>
              </w:rPr>
              <w:t>+15m高排气筒（DA00</w:t>
            </w:r>
            <w:r>
              <w:rPr>
                <w:rFonts w:hint="eastAsia"/>
                <w:color w:val="auto"/>
                <w:kern w:val="0"/>
                <w:sz w:val="24"/>
                <w:lang w:val="en-US" w:eastAsia="zh-CN"/>
              </w:rPr>
              <w:t>3</w:t>
            </w:r>
            <w:r>
              <w:rPr>
                <w:color w:val="auto"/>
                <w:kern w:val="0"/>
                <w:sz w:val="24"/>
              </w:rPr>
              <w:t>）</w:t>
            </w:r>
          </w:p>
        </w:tc>
        <w:tc>
          <w:tcPr>
            <w:tcW w:w="1877" w:type="dxa"/>
            <w:tcBorders>
              <w:tl2br w:val="nil"/>
              <w:tr2bl w:val="nil"/>
            </w:tcBorders>
            <w:vAlign w:val="center"/>
          </w:tcPr>
          <w:p w14:paraId="60652591">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《砖瓦工业大气污染物排放标准》（DB34/4362-2023）表2中现有与新建企业大气污染物最高允许排放浓度限值要求</w:t>
            </w:r>
          </w:p>
        </w:tc>
      </w:tr>
      <w:tr w14:paraId="0B895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63A5AC5A">
            <w:pPr>
              <w:adjustRightInd w:val="0"/>
              <w:snapToGrid w:val="0"/>
              <w:jc w:val="center"/>
              <w:rPr>
                <w:color w:val="000000" w:themeColor="text1"/>
                <w:sz w:val="24"/>
                <w14:textFill>
                  <w14:solidFill>
                    <w14:schemeClr w14:val="tx1"/>
                  </w14:solidFill>
                </w14:textFill>
              </w:rPr>
            </w:pPr>
          </w:p>
        </w:tc>
        <w:tc>
          <w:tcPr>
            <w:tcW w:w="1895" w:type="dxa"/>
            <w:vMerge w:val="restart"/>
            <w:tcBorders>
              <w:tl2br w:val="nil"/>
              <w:tr2bl w:val="nil"/>
            </w:tcBorders>
            <w:vAlign w:val="center"/>
          </w:tcPr>
          <w:p w14:paraId="0F7821E8">
            <w:pPr>
              <w:adjustRightInd w:val="0"/>
              <w:snapToGrid w:val="0"/>
              <w:jc w:val="center"/>
              <w:rPr>
                <w:rFonts w:hint="eastAsia"/>
                <w:color w:val="auto"/>
                <w:kern w:val="0"/>
                <w:sz w:val="24"/>
                <w:lang w:val="en-US" w:eastAsia="zh-CN"/>
              </w:rPr>
            </w:pPr>
            <w:r>
              <w:rPr>
                <w:rFonts w:hint="eastAsia"/>
                <w:color w:val="auto"/>
                <w:kern w:val="0"/>
                <w:sz w:val="24"/>
                <w:lang w:val="en-US" w:eastAsia="zh-CN"/>
              </w:rPr>
              <w:t>污泥预处</w:t>
            </w:r>
          </w:p>
          <w:p w14:paraId="4FBD3863">
            <w:pPr>
              <w:adjustRightInd w:val="0"/>
              <w:snapToGrid w:val="0"/>
              <w:jc w:val="center"/>
              <w:rPr>
                <w:rFonts w:hint="eastAsia" w:eastAsia="宋体"/>
                <w:color w:val="auto"/>
                <w:kern w:val="0"/>
                <w:sz w:val="24"/>
                <w:lang w:val="en-US" w:eastAsia="zh-CN"/>
              </w:rPr>
            </w:pPr>
            <w:r>
              <w:rPr>
                <w:rFonts w:hint="eastAsia"/>
                <w:color w:val="auto"/>
                <w:kern w:val="0"/>
                <w:sz w:val="24"/>
                <w:lang w:val="en-US" w:eastAsia="zh-CN"/>
              </w:rPr>
              <w:t>理废气</w:t>
            </w:r>
          </w:p>
        </w:tc>
        <w:tc>
          <w:tcPr>
            <w:tcW w:w="1494" w:type="dxa"/>
            <w:tcBorders>
              <w:tl2br w:val="nil"/>
              <w:tr2bl w:val="nil"/>
            </w:tcBorders>
            <w:vAlign w:val="center"/>
          </w:tcPr>
          <w:p w14:paraId="6B6FB8CA">
            <w:pPr>
              <w:autoSpaceDE w:val="0"/>
              <w:autoSpaceDN w:val="0"/>
              <w:adjustRightInd w:val="0"/>
              <w:jc w:val="center"/>
              <w:rPr>
                <w:rFonts w:hint="eastAsia"/>
                <w:color w:val="auto"/>
                <w:kern w:val="0"/>
                <w:sz w:val="24"/>
                <w:lang w:eastAsia="zh-CN"/>
              </w:rPr>
            </w:pPr>
            <w:r>
              <w:rPr>
                <w:rFonts w:hint="eastAsia"/>
                <w:color w:val="auto"/>
                <w:kern w:val="0"/>
                <w:sz w:val="24"/>
                <w:lang w:eastAsia="zh-CN"/>
              </w:rPr>
              <w:t>硫化氢</w:t>
            </w:r>
          </w:p>
        </w:tc>
        <w:tc>
          <w:tcPr>
            <w:tcW w:w="2011" w:type="dxa"/>
            <w:vMerge w:val="restart"/>
            <w:tcBorders>
              <w:tl2br w:val="nil"/>
              <w:tr2bl w:val="nil"/>
            </w:tcBorders>
            <w:vAlign w:val="center"/>
          </w:tcPr>
          <w:p w14:paraId="0FFE8C89">
            <w:pPr>
              <w:adjustRightInd w:val="0"/>
              <w:snapToGrid w:val="0"/>
              <w:jc w:val="center"/>
              <w:rPr>
                <w:rFonts w:hint="eastAsia" w:eastAsia="宋体"/>
                <w:color w:val="auto"/>
                <w:kern w:val="0"/>
                <w:sz w:val="24"/>
                <w:lang w:eastAsia="zh-CN"/>
              </w:rPr>
            </w:pPr>
            <w:r>
              <w:rPr>
                <w:rFonts w:hint="eastAsia"/>
                <w:color w:val="auto"/>
                <w:kern w:val="0"/>
                <w:sz w:val="24"/>
                <w:lang w:eastAsia="zh-CN"/>
              </w:rPr>
              <w:t>喷洒除臭剂</w:t>
            </w:r>
          </w:p>
        </w:tc>
        <w:tc>
          <w:tcPr>
            <w:tcW w:w="1877" w:type="dxa"/>
            <w:vMerge w:val="restart"/>
            <w:tcBorders>
              <w:tl2br w:val="nil"/>
              <w:tr2bl w:val="nil"/>
            </w:tcBorders>
            <w:vAlign w:val="center"/>
          </w:tcPr>
          <w:p w14:paraId="55A4057A">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《恶臭污染物排放标准》（GB14554-93）中的二级标准</w:t>
            </w:r>
          </w:p>
        </w:tc>
      </w:tr>
      <w:tr w14:paraId="590DF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3970E3F1">
            <w:pPr>
              <w:autoSpaceDE w:val="0"/>
              <w:autoSpaceDN w:val="0"/>
              <w:adjustRightInd w:val="0"/>
              <w:jc w:val="center"/>
            </w:pPr>
          </w:p>
        </w:tc>
        <w:tc>
          <w:tcPr>
            <w:tcW w:w="1895" w:type="dxa"/>
            <w:vMerge w:val="continue"/>
            <w:tcBorders>
              <w:tl2br w:val="nil"/>
              <w:tr2bl w:val="nil"/>
            </w:tcBorders>
            <w:vAlign w:val="center"/>
          </w:tcPr>
          <w:p w14:paraId="34C32416">
            <w:pPr>
              <w:autoSpaceDE w:val="0"/>
              <w:autoSpaceDN w:val="0"/>
              <w:adjustRightInd w:val="0"/>
              <w:jc w:val="center"/>
            </w:pPr>
          </w:p>
        </w:tc>
        <w:tc>
          <w:tcPr>
            <w:tcW w:w="1494" w:type="dxa"/>
            <w:tcBorders>
              <w:tl2br w:val="nil"/>
              <w:tr2bl w:val="nil"/>
            </w:tcBorders>
            <w:vAlign w:val="center"/>
          </w:tcPr>
          <w:p w14:paraId="016615CE">
            <w:pPr>
              <w:autoSpaceDE w:val="0"/>
              <w:autoSpaceDN w:val="0"/>
              <w:adjustRightInd w:val="0"/>
              <w:jc w:val="center"/>
              <w:rPr>
                <w:rFonts w:hint="eastAsia"/>
                <w:color w:val="auto"/>
                <w:kern w:val="0"/>
                <w:sz w:val="24"/>
                <w:lang w:eastAsia="zh-CN"/>
              </w:rPr>
            </w:pPr>
            <w:r>
              <w:rPr>
                <w:rFonts w:hint="eastAsia"/>
                <w:color w:val="auto"/>
                <w:kern w:val="0"/>
                <w:sz w:val="24"/>
                <w:lang w:eastAsia="zh-CN"/>
              </w:rPr>
              <w:t>氨气</w:t>
            </w:r>
          </w:p>
        </w:tc>
        <w:tc>
          <w:tcPr>
            <w:tcW w:w="2011" w:type="dxa"/>
            <w:vMerge w:val="continue"/>
            <w:tcBorders>
              <w:tl2br w:val="nil"/>
              <w:tr2bl w:val="nil"/>
            </w:tcBorders>
            <w:vAlign w:val="center"/>
          </w:tcPr>
          <w:p w14:paraId="183E3F99">
            <w:pPr>
              <w:autoSpaceDE w:val="0"/>
              <w:autoSpaceDN w:val="0"/>
              <w:adjustRightInd w:val="0"/>
              <w:jc w:val="center"/>
              <w:rPr>
                <w:rFonts w:hint="eastAsia"/>
                <w:color w:val="auto"/>
                <w:kern w:val="0"/>
                <w:sz w:val="24"/>
                <w:lang w:eastAsia="zh-CN"/>
              </w:rPr>
            </w:pPr>
          </w:p>
        </w:tc>
        <w:tc>
          <w:tcPr>
            <w:tcW w:w="1877" w:type="dxa"/>
            <w:vMerge w:val="continue"/>
            <w:tcBorders>
              <w:tl2br w:val="nil"/>
              <w:tr2bl w:val="nil"/>
            </w:tcBorders>
            <w:vAlign w:val="center"/>
          </w:tcPr>
          <w:p w14:paraId="66358CD1">
            <w:pPr>
              <w:autoSpaceDE w:val="0"/>
              <w:autoSpaceDN w:val="0"/>
              <w:adjustRightInd w:val="0"/>
              <w:jc w:val="center"/>
              <w:rPr>
                <w:rFonts w:hint="eastAsia"/>
                <w:color w:val="auto"/>
                <w:kern w:val="0"/>
                <w:sz w:val="24"/>
                <w:lang w:eastAsia="zh-CN"/>
              </w:rPr>
            </w:pPr>
          </w:p>
        </w:tc>
      </w:tr>
      <w:tr w14:paraId="072C2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774C2AD0">
            <w:pPr>
              <w:autoSpaceDE w:val="0"/>
              <w:autoSpaceDN w:val="0"/>
              <w:adjustRightInd w:val="0"/>
              <w:jc w:val="center"/>
              <w:rPr>
                <w:rFonts w:hint="eastAsia"/>
                <w:color w:val="auto"/>
                <w:kern w:val="0"/>
                <w:sz w:val="24"/>
                <w:lang w:eastAsia="zh-CN"/>
              </w:rPr>
            </w:pPr>
          </w:p>
        </w:tc>
        <w:tc>
          <w:tcPr>
            <w:tcW w:w="1895" w:type="dxa"/>
            <w:vMerge w:val="continue"/>
            <w:tcBorders>
              <w:tl2br w:val="nil"/>
              <w:tr2bl w:val="nil"/>
            </w:tcBorders>
            <w:vAlign w:val="center"/>
          </w:tcPr>
          <w:p w14:paraId="291E11A9">
            <w:pPr>
              <w:autoSpaceDE w:val="0"/>
              <w:autoSpaceDN w:val="0"/>
              <w:adjustRightInd w:val="0"/>
              <w:jc w:val="center"/>
              <w:rPr>
                <w:rFonts w:hint="eastAsia"/>
                <w:color w:val="auto"/>
                <w:kern w:val="0"/>
                <w:sz w:val="24"/>
                <w:lang w:eastAsia="zh-CN"/>
              </w:rPr>
            </w:pPr>
          </w:p>
        </w:tc>
        <w:tc>
          <w:tcPr>
            <w:tcW w:w="1494" w:type="dxa"/>
            <w:tcBorders>
              <w:tl2br w:val="nil"/>
              <w:tr2bl w:val="nil"/>
            </w:tcBorders>
            <w:vAlign w:val="center"/>
          </w:tcPr>
          <w:p w14:paraId="417E23E3">
            <w:pPr>
              <w:autoSpaceDE w:val="0"/>
              <w:autoSpaceDN w:val="0"/>
              <w:adjustRightInd w:val="0"/>
              <w:jc w:val="center"/>
              <w:rPr>
                <w:rFonts w:hint="eastAsia"/>
                <w:color w:val="auto"/>
                <w:kern w:val="0"/>
                <w:sz w:val="24"/>
                <w:lang w:eastAsia="zh-CN"/>
              </w:rPr>
            </w:pPr>
            <w:r>
              <w:rPr>
                <w:rFonts w:hint="eastAsia"/>
                <w:color w:val="auto"/>
                <w:kern w:val="0"/>
                <w:sz w:val="24"/>
                <w:lang w:eastAsia="zh-CN"/>
              </w:rPr>
              <w:t>臭气浓度</w:t>
            </w:r>
          </w:p>
        </w:tc>
        <w:tc>
          <w:tcPr>
            <w:tcW w:w="2011" w:type="dxa"/>
            <w:vMerge w:val="continue"/>
            <w:tcBorders>
              <w:tl2br w:val="nil"/>
              <w:tr2bl w:val="nil"/>
            </w:tcBorders>
            <w:vAlign w:val="center"/>
          </w:tcPr>
          <w:p w14:paraId="503F13D3">
            <w:pPr>
              <w:autoSpaceDE w:val="0"/>
              <w:autoSpaceDN w:val="0"/>
              <w:adjustRightInd w:val="0"/>
              <w:jc w:val="center"/>
              <w:rPr>
                <w:rFonts w:hint="eastAsia"/>
                <w:color w:val="auto"/>
                <w:kern w:val="0"/>
                <w:sz w:val="24"/>
                <w:lang w:eastAsia="zh-CN"/>
              </w:rPr>
            </w:pPr>
          </w:p>
        </w:tc>
        <w:tc>
          <w:tcPr>
            <w:tcW w:w="1877" w:type="dxa"/>
            <w:vMerge w:val="continue"/>
            <w:tcBorders>
              <w:tl2br w:val="nil"/>
              <w:tr2bl w:val="nil"/>
            </w:tcBorders>
            <w:vAlign w:val="center"/>
          </w:tcPr>
          <w:p w14:paraId="016CC71A">
            <w:pPr>
              <w:autoSpaceDE w:val="0"/>
              <w:autoSpaceDN w:val="0"/>
              <w:adjustRightInd w:val="0"/>
              <w:jc w:val="center"/>
              <w:rPr>
                <w:rFonts w:hint="eastAsia"/>
                <w:color w:val="auto"/>
                <w:kern w:val="0"/>
                <w:sz w:val="24"/>
                <w:lang w:eastAsia="zh-CN"/>
              </w:rPr>
            </w:pPr>
          </w:p>
        </w:tc>
      </w:tr>
      <w:tr w14:paraId="33453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7ADC8E21">
            <w:pPr>
              <w:autoSpaceDE w:val="0"/>
              <w:autoSpaceDN w:val="0"/>
              <w:adjustRightInd w:val="0"/>
              <w:jc w:val="center"/>
              <w:rPr>
                <w:rFonts w:hint="eastAsia"/>
                <w:color w:val="auto"/>
                <w:kern w:val="0"/>
                <w:sz w:val="24"/>
                <w:lang w:eastAsia="zh-CN"/>
              </w:rPr>
            </w:pPr>
          </w:p>
        </w:tc>
        <w:tc>
          <w:tcPr>
            <w:tcW w:w="1895" w:type="dxa"/>
            <w:tcBorders>
              <w:tl2br w:val="nil"/>
              <w:tr2bl w:val="nil"/>
            </w:tcBorders>
            <w:vAlign w:val="center"/>
          </w:tcPr>
          <w:p w14:paraId="70ADC8DA">
            <w:pPr>
              <w:autoSpaceDE w:val="0"/>
              <w:autoSpaceDN w:val="0"/>
              <w:adjustRightInd w:val="0"/>
              <w:jc w:val="center"/>
              <w:rPr>
                <w:rFonts w:hint="eastAsia"/>
                <w:color w:val="auto"/>
                <w:kern w:val="0"/>
                <w:sz w:val="24"/>
                <w:szCs w:val="24"/>
                <w:lang w:eastAsia="zh-CN"/>
              </w:rPr>
            </w:pPr>
            <w:r>
              <w:rPr>
                <w:rFonts w:hint="eastAsia"/>
                <w:color w:val="000000" w:themeColor="text1"/>
                <w:kern w:val="0"/>
                <w:sz w:val="24"/>
                <w:szCs w:val="24"/>
                <w:lang w:eastAsia="zh-CN"/>
                <w14:textFill>
                  <w14:solidFill>
                    <w14:schemeClr w14:val="tx1"/>
                  </w14:solidFill>
                </w14:textFill>
              </w:rPr>
              <w:t>运输扬尘</w:t>
            </w:r>
          </w:p>
        </w:tc>
        <w:tc>
          <w:tcPr>
            <w:tcW w:w="1494" w:type="dxa"/>
            <w:tcBorders>
              <w:tl2br w:val="nil"/>
              <w:tr2bl w:val="nil"/>
            </w:tcBorders>
            <w:vAlign w:val="center"/>
          </w:tcPr>
          <w:p w14:paraId="56FBC772">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颗粒物</w:t>
            </w:r>
          </w:p>
        </w:tc>
        <w:tc>
          <w:tcPr>
            <w:tcW w:w="2011" w:type="dxa"/>
            <w:tcBorders>
              <w:tl2br w:val="nil"/>
              <w:tr2bl w:val="nil"/>
            </w:tcBorders>
            <w:vAlign w:val="center"/>
          </w:tcPr>
          <w:p w14:paraId="009CF018">
            <w:pPr>
              <w:autoSpaceDE w:val="0"/>
              <w:autoSpaceDN w:val="0"/>
              <w:adjustRightInd w:val="0"/>
              <w:jc w:val="center"/>
              <w:rPr>
                <w:rFonts w:hint="eastAsia"/>
                <w:color w:val="auto"/>
                <w:kern w:val="0"/>
                <w:sz w:val="24"/>
                <w:szCs w:val="24"/>
                <w:lang w:eastAsia="zh-CN"/>
              </w:rPr>
            </w:pPr>
            <w:r>
              <w:rPr>
                <w:rFonts w:hint="eastAsia" w:eastAsia="宋体"/>
                <w:color w:val="000000" w:themeColor="text1"/>
                <w:kern w:val="0"/>
                <w:sz w:val="24"/>
                <w:szCs w:val="24"/>
                <w:lang w:eastAsia="zh-CN"/>
                <w14:textFill>
                  <w14:solidFill>
                    <w14:schemeClr w14:val="tx1"/>
                  </w14:solidFill>
                </w14:textFill>
              </w:rPr>
              <w:t>车辆篷布覆盖，运输过程限速按规定线路行驶</w:t>
            </w:r>
          </w:p>
        </w:tc>
        <w:tc>
          <w:tcPr>
            <w:tcW w:w="1877" w:type="dxa"/>
            <w:vMerge w:val="restart"/>
            <w:tcBorders>
              <w:tl2br w:val="nil"/>
              <w:tr2bl w:val="nil"/>
            </w:tcBorders>
            <w:vAlign w:val="center"/>
          </w:tcPr>
          <w:p w14:paraId="36046FAF">
            <w:pPr>
              <w:autoSpaceDE w:val="0"/>
              <w:autoSpaceDN w:val="0"/>
              <w:adjustRightInd w:val="0"/>
              <w:jc w:val="center"/>
              <w:rPr>
                <w:rFonts w:hint="eastAsia"/>
                <w:color w:val="auto"/>
                <w:kern w:val="0"/>
                <w:sz w:val="24"/>
                <w:lang w:eastAsia="zh-CN"/>
              </w:rPr>
            </w:pPr>
            <w:r>
              <w:rPr>
                <w:rFonts w:hint="eastAsia" w:ascii="宋体" w:hAnsi="宋体" w:cs="宋体"/>
                <w:color w:val="000000"/>
                <w:kern w:val="0"/>
                <w:sz w:val="24"/>
                <w:lang w:bidi="ar"/>
              </w:rPr>
              <w:t>《</w:t>
            </w:r>
            <w:r>
              <w:rPr>
                <w:rFonts w:hint="eastAsia" w:ascii="宋体" w:hAnsi="宋体" w:cs="宋体"/>
                <w:color w:val="000000"/>
                <w:kern w:val="0"/>
                <w:sz w:val="24"/>
                <w:lang w:eastAsia="zh-CN" w:bidi="ar"/>
              </w:rPr>
              <w:t>砖瓦工业大气污染物排放标准</w:t>
            </w:r>
            <w:r>
              <w:rPr>
                <w:rFonts w:hint="eastAsia" w:ascii="宋体" w:hAnsi="宋体" w:cs="宋体"/>
                <w:color w:val="000000"/>
                <w:kern w:val="0"/>
                <w:sz w:val="24"/>
                <w:lang w:bidi="ar"/>
              </w:rPr>
              <w:t>》（</w:t>
            </w:r>
            <w:r>
              <w:rPr>
                <w:color w:val="000000"/>
                <w:kern w:val="0"/>
                <w:sz w:val="24"/>
                <w:lang w:bidi="ar"/>
              </w:rPr>
              <w:t>DB</w:t>
            </w:r>
            <w:r>
              <w:rPr>
                <w:rFonts w:hint="eastAsia"/>
                <w:color w:val="000000"/>
                <w:kern w:val="0"/>
                <w:sz w:val="24"/>
                <w:lang w:val="en-US" w:eastAsia="zh-CN" w:bidi="ar"/>
              </w:rPr>
              <w:t>34</w:t>
            </w:r>
            <w:r>
              <w:rPr>
                <w:color w:val="000000"/>
                <w:kern w:val="0"/>
                <w:sz w:val="24"/>
                <w:lang w:bidi="ar"/>
              </w:rPr>
              <w:t>/</w:t>
            </w:r>
            <w:r>
              <w:rPr>
                <w:rFonts w:hint="eastAsia"/>
                <w:color w:val="000000"/>
                <w:kern w:val="0"/>
                <w:sz w:val="24"/>
                <w:lang w:val="en-US" w:eastAsia="zh-CN" w:bidi="ar"/>
              </w:rPr>
              <w:t>4362-</w:t>
            </w:r>
            <w:r>
              <w:rPr>
                <w:color w:val="000000"/>
                <w:kern w:val="0"/>
                <w:sz w:val="24"/>
                <w:lang w:bidi="ar"/>
              </w:rPr>
              <w:t>20</w:t>
            </w:r>
            <w:r>
              <w:rPr>
                <w:rFonts w:hint="eastAsia"/>
                <w:color w:val="000000"/>
                <w:kern w:val="0"/>
                <w:sz w:val="24"/>
                <w:lang w:val="en-US" w:eastAsia="zh-CN" w:bidi="ar"/>
              </w:rPr>
              <w:t>23</w:t>
            </w:r>
            <w:r>
              <w:rPr>
                <w:rFonts w:hint="eastAsia" w:ascii="宋体" w:hAnsi="宋体" w:cs="宋体"/>
                <w:color w:val="000000"/>
                <w:kern w:val="0"/>
                <w:sz w:val="24"/>
                <w:lang w:bidi="ar"/>
              </w:rPr>
              <w:t>）表</w:t>
            </w:r>
            <w:r>
              <w:rPr>
                <w:rFonts w:hint="default" w:ascii="Times New Roman" w:hAnsi="Times New Roman" w:cs="Times New Roman"/>
                <w:color w:val="000000"/>
                <w:kern w:val="0"/>
                <w:sz w:val="24"/>
                <w:lang w:val="en-US" w:eastAsia="zh-CN" w:bidi="ar"/>
              </w:rPr>
              <w:t>3</w:t>
            </w:r>
            <w:r>
              <w:rPr>
                <w:rFonts w:hint="eastAsia" w:ascii="宋体" w:hAnsi="宋体" w:cs="宋体"/>
                <w:color w:val="000000"/>
                <w:kern w:val="0"/>
                <w:sz w:val="24"/>
                <w:lang w:val="en-US" w:eastAsia="zh-CN" w:bidi="ar"/>
              </w:rPr>
              <w:t>中</w:t>
            </w:r>
            <w:r>
              <w:rPr>
                <w:rFonts w:hint="eastAsia" w:ascii="宋体" w:hAnsi="宋体" w:cs="宋体"/>
                <w:color w:val="000000"/>
                <w:kern w:val="0"/>
                <w:sz w:val="24"/>
                <w:lang w:bidi="ar"/>
              </w:rPr>
              <w:t>无组织监控浓度排放要求。</w:t>
            </w:r>
          </w:p>
        </w:tc>
      </w:tr>
      <w:tr w14:paraId="051E9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714" w:type="dxa"/>
            <w:vMerge w:val="continue"/>
            <w:tcBorders>
              <w:tl2br w:val="nil"/>
              <w:tr2bl w:val="nil"/>
            </w:tcBorders>
            <w:vAlign w:val="center"/>
          </w:tcPr>
          <w:p w14:paraId="0703AC32">
            <w:pPr>
              <w:autoSpaceDE w:val="0"/>
              <w:autoSpaceDN w:val="0"/>
              <w:adjustRightInd w:val="0"/>
              <w:jc w:val="center"/>
              <w:rPr>
                <w:rFonts w:hint="eastAsia"/>
                <w:color w:val="auto"/>
                <w:kern w:val="0"/>
                <w:sz w:val="24"/>
                <w:lang w:eastAsia="zh-CN"/>
              </w:rPr>
            </w:pPr>
          </w:p>
        </w:tc>
        <w:tc>
          <w:tcPr>
            <w:tcW w:w="1895" w:type="dxa"/>
            <w:tcBorders>
              <w:tl2br w:val="nil"/>
              <w:tr2bl w:val="nil"/>
            </w:tcBorders>
            <w:vAlign w:val="center"/>
          </w:tcPr>
          <w:p w14:paraId="6D84DBBF">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卸料起尘</w:t>
            </w:r>
          </w:p>
        </w:tc>
        <w:tc>
          <w:tcPr>
            <w:tcW w:w="1494" w:type="dxa"/>
            <w:tcBorders>
              <w:tl2br w:val="nil"/>
              <w:tr2bl w:val="nil"/>
            </w:tcBorders>
            <w:vAlign w:val="center"/>
          </w:tcPr>
          <w:p w14:paraId="5A832D75">
            <w:pPr>
              <w:autoSpaceDE w:val="0"/>
              <w:autoSpaceDN w:val="0"/>
              <w:adjustRightInd w:val="0"/>
              <w:jc w:val="center"/>
              <w:rPr>
                <w:rFonts w:hint="eastAsia"/>
                <w:color w:val="auto"/>
                <w:kern w:val="0"/>
                <w:sz w:val="24"/>
                <w:szCs w:val="24"/>
                <w:lang w:eastAsia="zh-CN"/>
              </w:rPr>
            </w:pPr>
            <w:r>
              <w:rPr>
                <w:rFonts w:hint="eastAsia"/>
                <w:color w:val="auto"/>
                <w:kern w:val="0"/>
                <w:sz w:val="24"/>
                <w:szCs w:val="24"/>
                <w:lang w:eastAsia="zh-CN"/>
              </w:rPr>
              <w:t>颗粒物</w:t>
            </w:r>
          </w:p>
        </w:tc>
        <w:tc>
          <w:tcPr>
            <w:tcW w:w="2011" w:type="dxa"/>
            <w:tcBorders>
              <w:tl2br w:val="nil"/>
              <w:tr2bl w:val="nil"/>
            </w:tcBorders>
            <w:vAlign w:val="center"/>
          </w:tcPr>
          <w:p w14:paraId="05672026">
            <w:pPr>
              <w:autoSpaceDE w:val="0"/>
              <w:autoSpaceDN w:val="0"/>
              <w:adjustRightInd w:val="0"/>
              <w:jc w:val="center"/>
              <w:rPr>
                <w:rFonts w:hint="eastAsia" w:eastAsia="宋体"/>
                <w:color w:val="auto"/>
                <w:kern w:val="0"/>
                <w:sz w:val="24"/>
                <w:szCs w:val="24"/>
                <w:lang w:eastAsia="zh-CN"/>
              </w:rPr>
            </w:pPr>
            <w:r>
              <w:rPr>
                <w:rFonts w:hint="eastAsia"/>
                <w:color w:val="auto"/>
                <w:kern w:val="0"/>
                <w:sz w:val="24"/>
                <w:szCs w:val="24"/>
                <w:lang w:eastAsia="zh-CN"/>
              </w:rPr>
              <w:t>降低抛洒高度、开启雾炮除尘</w:t>
            </w:r>
          </w:p>
        </w:tc>
        <w:tc>
          <w:tcPr>
            <w:tcW w:w="1877" w:type="dxa"/>
            <w:vMerge w:val="continue"/>
            <w:tcBorders>
              <w:tl2br w:val="nil"/>
              <w:tr2bl w:val="nil"/>
            </w:tcBorders>
            <w:vAlign w:val="center"/>
          </w:tcPr>
          <w:p w14:paraId="4672E1AD">
            <w:pPr>
              <w:autoSpaceDE w:val="0"/>
              <w:autoSpaceDN w:val="0"/>
              <w:adjustRightInd w:val="0"/>
              <w:jc w:val="center"/>
              <w:rPr>
                <w:rFonts w:hint="eastAsia"/>
                <w:color w:val="auto"/>
                <w:kern w:val="0"/>
                <w:sz w:val="24"/>
                <w:lang w:eastAsia="zh-CN"/>
              </w:rPr>
            </w:pPr>
          </w:p>
        </w:tc>
      </w:tr>
      <w:tr w14:paraId="72F19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14" w:type="dxa"/>
            <w:vMerge w:val="restart"/>
            <w:tcBorders>
              <w:tl2br w:val="nil"/>
              <w:tr2bl w:val="nil"/>
            </w:tcBorders>
            <w:vAlign w:val="center"/>
          </w:tcPr>
          <w:p w14:paraId="356AFA3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地表水环境</w:t>
            </w:r>
          </w:p>
        </w:tc>
        <w:tc>
          <w:tcPr>
            <w:tcW w:w="1895" w:type="dxa"/>
            <w:vMerge w:val="restart"/>
            <w:tcBorders>
              <w:tl2br w:val="nil"/>
              <w:tr2bl w:val="nil"/>
            </w:tcBorders>
            <w:vAlign w:val="center"/>
          </w:tcPr>
          <w:p w14:paraId="6A094389">
            <w:pPr>
              <w:adjustRightInd w:val="0"/>
              <w:snapToGrid w:val="0"/>
              <w:jc w:val="center"/>
              <w:rPr>
                <w:rFonts w:hint="eastAsia" w:eastAsia="宋体"/>
                <w:color w:val="auto"/>
                <w:kern w:val="0"/>
                <w:sz w:val="24"/>
                <w:lang w:eastAsia="zh-CN"/>
              </w:rPr>
            </w:pPr>
            <w:r>
              <w:rPr>
                <w:color w:val="auto"/>
                <w:kern w:val="0"/>
                <w:sz w:val="24"/>
              </w:rPr>
              <w:t>员工生活</w:t>
            </w:r>
            <w:r>
              <w:rPr>
                <w:rFonts w:hint="eastAsia"/>
                <w:color w:val="auto"/>
                <w:kern w:val="0"/>
                <w:sz w:val="24"/>
              </w:rPr>
              <w:t>废水</w:t>
            </w:r>
          </w:p>
        </w:tc>
        <w:tc>
          <w:tcPr>
            <w:tcW w:w="1494" w:type="dxa"/>
            <w:tcBorders>
              <w:tl2br w:val="nil"/>
              <w:tr2bl w:val="nil"/>
            </w:tcBorders>
            <w:vAlign w:val="center"/>
          </w:tcPr>
          <w:p w14:paraId="404B0D09">
            <w:pPr>
              <w:adjustRightInd w:val="0"/>
              <w:snapToGrid w:val="0"/>
              <w:jc w:val="center"/>
              <w:rPr>
                <w:color w:val="auto"/>
                <w:kern w:val="0"/>
                <w:sz w:val="24"/>
              </w:rPr>
            </w:pPr>
            <w:r>
              <w:rPr>
                <w:color w:val="auto"/>
                <w:kern w:val="0"/>
                <w:sz w:val="24"/>
              </w:rPr>
              <w:t>COD</w:t>
            </w:r>
          </w:p>
        </w:tc>
        <w:tc>
          <w:tcPr>
            <w:tcW w:w="2011" w:type="dxa"/>
            <w:vMerge w:val="restart"/>
            <w:tcBorders>
              <w:tl2br w:val="nil"/>
              <w:tr2bl w:val="nil"/>
            </w:tcBorders>
            <w:vAlign w:val="center"/>
          </w:tcPr>
          <w:p w14:paraId="54A3CDC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化粪池</w:t>
            </w:r>
          </w:p>
        </w:tc>
        <w:tc>
          <w:tcPr>
            <w:tcW w:w="1877" w:type="dxa"/>
            <w:vMerge w:val="restart"/>
            <w:tcBorders>
              <w:tl2br w:val="nil"/>
              <w:tr2bl w:val="nil"/>
            </w:tcBorders>
            <w:vAlign w:val="center"/>
          </w:tcPr>
          <w:p w14:paraId="0FE1BAA9">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不外排</w:t>
            </w:r>
          </w:p>
        </w:tc>
      </w:tr>
      <w:tr w14:paraId="0119A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14" w:type="dxa"/>
            <w:vMerge w:val="continue"/>
            <w:tcBorders>
              <w:tl2br w:val="nil"/>
              <w:tr2bl w:val="nil"/>
            </w:tcBorders>
            <w:vAlign w:val="center"/>
          </w:tcPr>
          <w:p w14:paraId="38A020B7">
            <w:pPr>
              <w:adjustRightInd w:val="0"/>
              <w:snapToGrid w:val="0"/>
              <w:jc w:val="center"/>
              <w:rPr>
                <w:color w:val="000000" w:themeColor="text1"/>
                <w:kern w:val="0"/>
                <w:sz w:val="24"/>
                <w14:textFill>
                  <w14:solidFill>
                    <w14:schemeClr w14:val="tx1"/>
                  </w14:solidFill>
                </w14:textFill>
              </w:rPr>
            </w:pPr>
          </w:p>
        </w:tc>
        <w:tc>
          <w:tcPr>
            <w:tcW w:w="1895" w:type="dxa"/>
            <w:vMerge w:val="continue"/>
            <w:tcBorders>
              <w:tl2br w:val="nil"/>
              <w:tr2bl w:val="nil"/>
            </w:tcBorders>
            <w:vAlign w:val="center"/>
          </w:tcPr>
          <w:p w14:paraId="3C0D346B">
            <w:pPr>
              <w:adjustRightInd w:val="0"/>
              <w:snapToGrid w:val="0"/>
              <w:jc w:val="center"/>
              <w:rPr>
                <w:color w:val="auto"/>
                <w:kern w:val="0"/>
                <w:sz w:val="24"/>
              </w:rPr>
            </w:pPr>
          </w:p>
        </w:tc>
        <w:tc>
          <w:tcPr>
            <w:tcW w:w="1494" w:type="dxa"/>
            <w:tcBorders>
              <w:tl2br w:val="nil"/>
              <w:tr2bl w:val="nil"/>
            </w:tcBorders>
            <w:vAlign w:val="center"/>
          </w:tcPr>
          <w:p w14:paraId="0A136DB5">
            <w:pPr>
              <w:adjustRightInd w:val="0"/>
              <w:snapToGrid w:val="0"/>
              <w:jc w:val="center"/>
              <w:rPr>
                <w:color w:val="auto"/>
                <w:kern w:val="0"/>
                <w:sz w:val="24"/>
              </w:rPr>
            </w:pPr>
            <w:r>
              <w:rPr>
                <w:color w:val="auto"/>
                <w:kern w:val="0"/>
                <w:sz w:val="24"/>
              </w:rPr>
              <w:t>SS</w:t>
            </w:r>
          </w:p>
        </w:tc>
        <w:tc>
          <w:tcPr>
            <w:tcW w:w="2011" w:type="dxa"/>
            <w:vMerge w:val="continue"/>
            <w:tcBorders>
              <w:tl2br w:val="nil"/>
              <w:tr2bl w:val="nil"/>
            </w:tcBorders>
            <w:vAlign w:val="center"/>
          </w:tcPr>
          <w:p w14:paraId="51FC6C29">
            <w:pPr>
              <w:adjustRightInd w:val="0"/>
              <w:snapToGrid w:val="0"/>
              <w:jc w:val="center"/>
              <w:rPr>
                <w:color w:val="000000" w:themeColor="text1"/>
                <w:kern w:val="0"/>
                <w:sz w:val="24"/>
                <w14:textFill>
                  <w14:solidFill>
                    <w14:schemeClr w14:val="tx1"/>
                  </w14:solidFill>
                </w14:textFill>
              </w:rPr>
            </w:pPr>
          </w:p>
        </w:tc>
        <w:tc>
          <w:tcPr>
            <w:tcW w:w="1877" w:type="dxa"/>
            <w:vMerge w:val="continue"/>
            <w:tcBorders>
              <w:tl2br w:val="nil"/>
              <w:tr2bl w:val="nil"/>
            </w:tcBorders>
            <w:vAlign w:val="center"/>
          </w:tcPr>
          <w:p w14:paraId="4099722B">
            <w:pPr>
              <w:adjustRightInd w:val="0"/>
              <w:snapToGrid w:val="0"/>
              <w:jc w:val="center"/>
              <w:rPr>
                <w:color w:val="000000" w:themeColor="text1"/>
                <w:kern w:val="0"/>
                <w:sz w:val="24"/>
                <w14:textFill>
                  <w14:solidFill>
                    <w14:schemeClr w14:val="tx1"/>
                  </w14:solidFill>
                </w14:textFill>
              </w:rPr>
            </w:pPr>
          </w:p>
        </w:tc>
      </w:tr>
      <w:tr w14:paraId="5FE9D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14" w:type="dxa"/>
            <w:vMerge w:val="continue"/>
            <w:tcBorders>
              <w:tl2br w:val="nil"/>
              <w:tr2bl w:val="nil"/>
            </w:tcBorders>
            <w:vAlign w:val="center"/>
          </w:tcPr>
          <w:p w14:paraId="077EF77A">
            <w:pPr>
              <w:adjustRightInd w:val="0"/>
              <w:snapToGrid w:val="0"/>
              <w:jc w:val="center"/>
              <w:rPr>
                <w:color w:val="000000" w:themeColor="text1"/>
                <w:kern w:val="0"/>
                <w:sz w:val="24"/>
                <w14:textFill>
                  <w14:solidFill>
                    <w14:schemeClr w14:val="tx1"/>
                  </w14:solidFill>
                </w14:textFill>
              </w:rPr>
            </w:pPr>
          </w:p>
        </w:tc>
        <w:tc>
          <w:tcPr>
            <w:tcW w:w="1895" w:type="dxa"/>
            <w:vMerge w:val="continue"/>
            <w:tcBorders>
              <w:tl2br w:val="nil"/>
              <w:tr2bl w:val="nil"/>
            </w:tcBorders>
            <w:vAlign w:val="center"/>
          </w:tcPr>
          <w:p w14:paraId="67861017">
            <w:pPr>
              <w:adjustRightInd w:val="0"/>
              <w:snapToGrid w:val="0"/>
              <w:jc w:val="center"/>
              <w:rPr>
                <w:color w:val="auto"/>
                <w:kern w:val="0"/>
                <w:sz w:val="24"/>
              </w:rPr>
            </w:pPr>
          </w:p>
        </w:tc>
        <w:tc>
          <w:tcPr>
            <w:tcW w:w="1494" w:type="dxa"/>
            <w:tcBorders>
              <w:tl2br w:val="nil"/>
              <w:tr2bl w:val="nil"/>
            </w:tcBorders>
            <w:vAlign w:val="center"/>
          </w:tcPr>
          <w:p w14:paraId="30BA4AE3">
            <w:pPr>
              <w:adjustRightInd w:val="0"/>
              <w:snapToGrid w:val="0"/>
              <w:jc w:val="center"/>
              <w:rPr>
                <w:color w:val="auto"/>
                <w:kern w:val="0"/>
                <w:sz w:val="24"/>
              </w:rPr>
            </w:pPr>
            <w:r>
              <w:rPr>
                <w:color w:val="auto"/>
                <w:kern w:val="0"/>
                <w:sz w:val="24"/>
              </w:rPr>
              <w:t>BOD</w:t>
            </w:r>
            <w:r>
              <w:rPr>
                <w:color w:val="auto"/>
                <w:kern w:val="0"/>
                <w:sz w:val="24"/>
                <w:vertAlign w:val="subscript"/>
              </w:rPr>
              <w:t>5</w:t>
            </w:r>
          </w:p>
        </w:tc>
        <w:tc>
          <w:tcPr>
            <w:tcW w:w="2011" w:type="dxa"/>
            <w:vMerge w:val="continue"/>
            <w:tcBorders>
              <w:tl2br w:val="nil"/>
              <w:tr2bl w:val="nil"/>
            </w:tcBorders>
            <w:vAlign w:val="center"/>
          </w:tcPr>
          <w:p w14:paraId="7305DB08">
            <w:pPr>
              <w:adjustRightInd w:val="0"/>
              <w:snapToGrid w:val="0"/>
              <w:jc w:val="center"/>
              <w:rPr>
                <w:color w:val="000000" w:themeColor="text1"/>
                <w:kern w:val="0"/>
                <w:sz w:val="24"/>
                <w14:textFill>
                  <w14:solidFill>
                    <w14:schemeClr w14:val="tx1"/>
                  </w14:solidFill>
                </w14:textFill>
              </w:rPr>
            </w:pPr>
          </w:p>
        </w:tc>
        <w:tc>
          <w:tcPr>
            <w:tcW w:w="1877" w:type="dxa"/>
            <w:vMerge w:val="continue"/>
            <w:tcBorders>
              <w:tl2br w:val="nil"/>
              <w:tr2bl w:val="nil"/>
            </w:tcBorders>
            <w:vAlign w:val="center"/>
          </w:tcPr>
          <w:p w14:paraId="0379B5ED">
            <w:pPr>
              <w:adjustRightInd w:val="0"/>
              <w:snapToGrid w:val="0"/>
              <w:jc w:val="center"/>
              <w:rPr>
                <w:color w:val="000000" w:themeColor="text1"/>
                <w:kern w:val="0"/>
                <w:sz w:val="24"/>
                <w14:textFill>
                  <w14:solidFill>
                    <w14:schemeClr w14:val="tx1"/>
                  </w14:solidFill>
                </w14:textFill>
              </w:rPr>
            </w:pPr>
          </w:p>
        </w:tc>
      </w:tr>
      <w:tr w14:paraId="687CB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14" w:type="dxa"/>
            <w:vMerge w:val="continue"/>
            <w:tcBorders>
              <w:tl2br w:val="nil"/>
              <w:tr2bl w:val="nil"/>
            </w:tcBorders>
            <w:vAlign w:val="center"/>
          </w:tcPr>
          <w:p w14:paraId="786334A4">
            <w:pPr>
              <w:adjustRightInd w:val="0"/>
              <w:snapToGrid w:val="0"/>
              <w:jc w:val="center"/>
              <w:rPr>
                <w:color w:val="000000" w:themeColor="text1"/>
                <w:kern w:val="0"/>
                <w:sz w:val="24"/>
                <w14:textFill>
                  <w14:solidFill>
                    <w14:schemeClr w14:val="tx1"/>
                  </w14:solidFill>
                </w14:textFill>
              </w:rPr>
            </w:pPr>
          </w:p>
        </w:tc>
        <w:tc>
          <w:tcPr>
            <w:tcW w:w="1895" w:type="dxa"/>
            <w:vMerge w:val="continue"/>
            <w:tcBorders>
              <w:tl2br w:val="nil"/>
              <w:tr2bl w:val="nil"/>
            </w:tcBorders>
            <w:vAlign w:val="center"/>
          </w:tcPr>
          <w:p w14:paraId="6BCD7723">
            <w:pPr>
              <w:adjustRightInd w:val="0"/>
              <w:snapToGrid w:val="0"/>
              <w:jc w:val="center"/>
              <w:rPr>
                <w:color w:val="auto"/>
                <w:kern w:val="0"/>
                <w:sz w:val="24"/>
              </w:rPr>
            </w:pPr>
          </w:p>
        </w:tc>
        <w:tc>
          <w:tcPr>
            <w:tcW w:w="1494" w:type="dxa"/>
            <w:tcBorders>
              <w:tl2br w:val="nil"/>
              <w:tr2bl w:val="nil"/>
            </w:tcBorders>
            <w:vAlign w:val="center"/>
          </w:tcPr>
          <w:p w14:paraId="768F5876">
            <w:pPr>
              <w:adjustRightInd w:val="0"/>
              <w:snapToGrid w:val="0"/>
              <w:jc w:val="center"/>
              <w:rPr>
                <w:color w:val="auto"/>
                <w:kern w:val="0"/>
                <w:sz w:val="24"/>
              </w:rPr>
            </w:pPr>
            <w:r>
              <w:rPr>
                <w:color w:val="auto"/>
                <w:kern w:val="0"/>
                <w:sz w:val="24"/>
              </w:rPr>
              <w:t>NH</w:t>
            </w:r>
            <w:r>
              <w:rPr>
                <w:color w:val="auto"/>
                <w:kern w:val="0"/>
                <w:sz w:val="24"/>
                <w:vertAlign w:val="subscript"/>
              </w:rPr>
              <w:t>3</w:t>
            </w:r>
            <w:r>
              <w:rPr>
                <w:color w:val="auto"/>
                <w:kern w:val="0"/>
                <w:sz w:val="24"/>
              </w:rPr>
              <w:t>-N</w:t>
            </w:r>
          </w:p>
        </w:tc>
        <w:tc>
          <w:tcPr>
            <w:tcW w:w="2011" w:type="dxa"/>
            <w:vMerge w:val="continue"/>
            <w:tcBorders>
              <w:tl2br w:val="nil"/>
              <w:tr2bl w:val="nil"/>
            </w:tcBorders>
            <w:vAlign w:val="center"/>
          </w:tcPr>
          <w:p w14:paraId="5215C36B">
            <w:pPr>
              <w:adjustRightInd w:val="0"/>
              <w:snapToGrid w:val="0"/>
              <w:jc w:val="center"/>
              <w:rPr>
                <w:color w:val="000000" w:themeColor="text1"/>
                <w:kern w:val="0"/>
                <w:sz w:val="24"/>
                <w14:textFill>
                  <w14:solidFill>
                    <w14:schemeClr w14:val="tx1"/>
                  </w14:solidFill>
                </w14:textFill>
              </w:rPr>
            </w:pPr>
          </w:p>
        </w:tc>
        <w:tc>
          <w:tcPr>
            <w:tcW w:w="1877" w:type="dxa"/>
            <w:vMerge w:val="continue"/>
            <w:tcBorders>
              <w:tl2br w:val="nil"/>
              <w:tr2bl w:val="nil"/>
            </w:tcBorders>
            <w:vAlign w:val="center"/>
          </w:tcPr>
          <w:p w14:paraId="15B2EF78">
            <w:pPr>
              <w:adjustRightInd w:val="0"/>
              <w:snapToGrid w:val="0"/>
              <w:jc w:val="center"/>
              <w:rPr>
                <w:color w:val="000000" w:themeColor="text1"/>
                <w:kern w:val="0"/>
                <w:sz w:val="24"/>
                <w14:textFill>
                  <w14:solidFill>
                    <w14:schemeClr w14:val="tx1"/>
                  </w14:solidFill>
                </w14:textFill>
              </w:rPr>
            </w:pPr>
          </w:p>
        </w:tc>
      </w:tr>
      <w:tr w14:paraId="2DB9B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4" w:type="dxa"/>
            <w:tcBorders>
              <w:tl2br w:val="nil"/>
              <w:tr2bl w:val="nil"/>
            </w:tcBorders>
            <w:vAlign w:val="center"/>
          </w:tcPr>
          <w:p w14:paraId="6C36A66E">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声环境</w:t>
            </w:r>
          </w:p>
        </w:tc>
        <w:tc>
          <w:tcPr>
            <w:tcW w:w="1895" w:type="dxa"/>
            <w:tcBorders>
              <w:tl2br w:val="nil"/>
              <w:tr2bl w:val="nil"/>
            </w:tcBorders>
            <w:vAlign w:val="center"/>
          </w:tcPr>
          <w:p w14:paraId="633BF6D3">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厂界</w:t>
            </w:r>
          </w:p>
        </w:tc>
        <w:tc>
          <w:tcPr>
            <w:tcW w:w="1494" w:type="dxa"/>
            <w:tcBorders>
              <w:tl2br w:val="nil"/>
              <w:tr2bl w:val="nil"/>
            </w:tcBorders>
            <w:vAlign w:val="center"/>
          </w:tcPr>
          <w:p w14:paraId="1483B8AE">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噪声</w:t>
            </w:r>
          </w:p>
        </w:tc>
        <w:tc>
          <w:tcPr>
            <w:tcW w:w="2011" w:type="dxa"/>
            <w:tcBorders>
              <w:tl2br w:val="nil"/>
              <w:tr2bl w:val="nil"/>
            </w:tcBorders>
            <w:vAlign w:val="center"/>
          </w:tcPr>
          <w:p w14:paraId="39785D8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合理布局；对高噪声设备采取隔振减振措施；车间隔声；合理安排生产时间</w:t>
            </w:r>
          </w:p>
        </w:tc>
        <w:tc>
          <w:tcPr>
            <w:tcW w:w="1877" w:type="dxa"/>
            <w:tcBorders>
              <w:tl2br w:val="nil"/>
              <w:tr2bl w:val="nil"/>
            </w:tcBorders>
            <w:vAlign w:val="center"/>
          </w:tcPr>
          <w:p w14:paraId="53591183">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《工业企业厂界环境噪声排放标准》（GB12348-2008）中的</w:t>
            </w:r>
            <w:r>
              <w:rPr>
                <w:rFonts w:hint="eastAsia"/>
                <w:color w:val="auto"/>
                <w:kern w:val="0"/>
                <w:sz w:val="24"/>
                <w:lang w:val="en-US" w:eastAsia="zh-CN"/>
              </w:rPr>
              <w:t>2</w:t>
            </w:r>
            <w:r>
              <w:rPr>
                <w:color w:val="auto"/>
                <w:kern w:val="0"/>
                <w:sz w:val="24"/>
              </w:rPr>
              <w:t>类标</w:t>
            </w:r>
            <w:r>
              <w:rPr>
                <w:color w:val="000000" w:themeColor="text1"/>
                <w:kern w:val="0"/>
                <w:sz w:val="24"/>
                <w14:textFill>
                  <w14:solidFill>
                    <w14:schemeClr w14:val="tx1"/>
                  </w14:solidFill>
                </w14:textFill>
              </w:rPr>
              <w:t>准</w:t>
            </w:r>
          </w:p>
        </w:tc>
      </w:tr>
      <w:tr w14:paraId="53771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714" w:type="dxa"/>
            <w:tcBorders>
              <w:tl2br w:val="nil"/>
              <w:tr2bl w:val="nil"/>
            </w:tcBorders>
            <w:vAlign w:val="center"/>
          </w:tcPr>
          <w:p w14:paraId="248F552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电磁辐射</w:t>
            </w:r>
          </w:p>
        </w:tc>
        <w:tc>
          <w:tcPr>
            <w:tcW w:w="7277" w:type="dxa"/>
            <w:gridSpan w:val="4"/>
            <w:tcBorders>
              <w:tl2br w:val="nil"/>
              <w:tr2bl w:val="nil"/>
            </w:tcBorders>
            <w:vAlign w:val="center"/>
          </w:tcPr>
          <w:p w14:paraId="70E324A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14:paraId="000C2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14" w:type="dxa"/>
            <w:tcBorders>
              <w:tl2br w:val="nil"/>
              <w:tr2bl w:val="nil"/>
            </w:tcBorders>
            <w:vAlign w:val="center"/>
          </w:tcPr>
          <w:p w14:paraId="39EC51F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固体废物</w:t>
            </w:r>
          </w:p>
        </w:tc>
        <w:tc>
          <w:tcPr>
            <w:tcW w:w="7277" w:type="dxa"/>
            <w:gridSpan w:val="4"/>
            <w:tcBorders>
              <w:tl2br w:val="nil"/>
              <w:tr2bl w:val="nil"/>
            </w:tcBorders>
            <w:vAlign w:val="center"/>
          </w:tcPr>
          <w:p w14:paraId="49D8596E">
            <w:pPr>
              <w:widowControl/>
              <w:spacing w:before="72" w:beforeLines="30" w:line="312"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本项目产生的一般工业固体废物废包装袋经厂内集中收集后交由物资回收部门回收利用；不合格品</w:t>
            </w:r>
            <w:r>
              <w:rPr>
                <w:rFonts w:hint="eastAsia"/>
                <w:color w:val="000000" w:themeColor="text1"/>
                <w:kern w:val="0"/>
                <w:sz w:val="24"/>
                <w14:textFill>
                  <w14:solidFill>
                    <w14:schemeClr w14:val="tx1"/>
                  </w14:solidFill>
                </w14:textFill>
              </w:rPr>
              <w:t>经破碎</w:t>
            </w:r>
            <w:r>
              <w:rPr>
                <w:rFonts w:hint="eastAsia"/>
                <w:color w:val="000000" w:themeColor="text1"/>
                <w:kern w:val="0"/>
                <w:sz w:val="24"/>
                <w:lang w:eastAsia="zh-CN"/>
                <w14:textFill>
                  <w14:solidFill>
                    <w14:schemeClr w14:val="tx1"/>
                  </w14:solidFill>
                </w14:textFill>
              </w:rPr>
              <w:t>回</w:t>
            </w:r>
            <w:r>
              <w:rPr>
                <w:rFonts w:hint="eastAsia"/>
                <w:color w:val="000000" w:themeColor="text1"/>
                <w:kern w:val="0"/>
                <w:sz w:val="24"/>
                <w14:textFill>
                  <w14:solidFill>
                    <w14:schemeClr w14:val="tx1"/>
                  </w14:solidFill>
                </w14:textFill>
              </w:rPr>
              <w:t>收当做</w:t>
            </w:r>
            <w:r>
              <w:rPr>
                <w:rFonts w:hint="eastAsia"/>
                <w:color w:val="000000" w:themeColor="text1"/>
                <w:kern w:val="0"/>
                <w:sz w:val="24"/>
                <w:lang w:eastAsia="zh-CN"/>
                <w14:textFill>
                  <w14:solidFill>
                    <w14:schemeClr w14:val="tx1"/>
                  </w14:solidFill>
                </w14:textFill>
              </w:rPr>
              <w:t>原料</w:t>
            </w:r>
            <w:r>
              <w:rPr>
                <w:rFonts w:hint="eastAsia"/>
                <w:color w:val="000000" w:themeColor="text1"/>
                <w:kern w:val="0"/>
                <w:sz w:val="24"/>
                <w14:textFill>
                  <w14:solidFill>
                    <w14:schemeClr w14:val="tx1"/>
                  </w14:solidFill>
                </w14:textFill>
              </w:rPr>
              <w:t>回用。</w:t>
            </w:r>
            <w:r>
              <w:rPr>
                <w:color w:val="000000" w:themeColor="text1"/>
                <w:kern w:val="0"/>
                <w:sz w:val="24"/>
                <w14:textFill>
                  <w14:solidFill>
                    <w14:schemeClr w14:val="tx1"/>
                  </w14:solidFill>
                </w14:textFill>
              </w:rPr>
              <w:t>除尘器收集</w:t>
            </w:r>
            <w:r>
              <w:rPr>
                <w:rFonts w:hint="eastAsia"/>
                <w:color w:val="000000" w:themeColor="text1"/>
                <w:kern w:val="0"/>
                <w:sz w:val="24"/>
                <w:lang w:eastAsia="zh-CN"/>
                <w14:textFill>
                  <w14:solidFill>
                    <w14:schemeClr w14:val="tx1"/>
                  </w14:solidFill>
                </w14:textFill>
              </w:rPr>
              <w:t>颗粒物</w:t>
            </w:r>
            <w:r>
              <w:rPr>
                <w:rFonts w:hint="eastAsia"/>
                <w:color w:val="000000" w:themeColor="text1"/>
                <w:kern w:val="0"/>
                <w:sz w:val="24"/>
                <w14:textFill>
                  <w14:solidFill>
                    <w14:schemeClr w14:val="tx1"/>
                  </w14:solidFill>
                </w14:textFill>
              </w:rPr>
              <w:t>经收集后回用于输送计量工序</w:t>
            </w:r>
            <w:r>
              <w:rPr>
                <w:color w:val="000000" w:themeColor="text1"/>
                <w:kern w:val="0"/>
                <w:sz w:val="24"/>
                <w14:textFill>
                  <w14:solidFill>
                    <w14:schemeClr w14:val="tx1"/>
                  </w14:solidFill>
                </w14:textFill>
              </w:rPr>
              <w:t>；废机油于厂内危废暂存间暂存后委托有资质单位妥善处置；生活垃圾委托环卫部门统一处理。</w:t>
            </w:r>
          </w:p>
        </w:tc>
      </w:tr>
      <w:tr w14:paraId="52E25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l2br w:val="nil"/>
              <w:tr2bl w:val="nil"/>
            </w:tcBorders>
            <w:vAlign w:val="center"/>
          </w:tcPr>
          <w:p w14:paraId="140A7CB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土壤及地下水</w:t>
            </w:r>
          </w:p>
          <w:p w14:paraId="5E4AC4D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污染防治措施</w:t>
            </w:r>
          </w:p>
        </w:tc>
        <w:tc>
          <w:tcPr>
            <w:tcW w:w="7277" w:type="dxa"/>
            <w:gridSpan w:val="4"/>
            <w:tcBorders>
              <w:tl2br w:val="nil"/>
              <w:tr2bl w:val="nil"/>
            </w:tcBorders>
            <w:vAlign w:val="center"/>
          </w:tcPr>
          <w:p w14:paraId="2909AA87">
            <w:pPr>
              <w:adjustRightInd w:val="0"/>
              <w:snapToGrid w:val="0"/>
              <w:spacing w:before="72" w:beforeLines="30" w:line="312" w:lineRule="auto"/>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危废暂存间</w:t>
            </w:r>
            <w:r>
              <w:rPr>
                <w:rFonts w:hint="eastAsia"/>
                <w:color w:val="000000" w:themeColor="text1"/>
                <w:sz w:val="24"/>
                <w:lang w:eastAsia="zh-CN"/>
                <w14:textFill>
                  <w14:solidFill>
                    <w14:schemeClr w14:val="tx1"/>
                  </w14:solidFill>
                </w14:textFill>
              </w:rPr>
              <w:t>、污泥储存区、沉淀池</w:t>
            </w:r>
            <w:r>
              <w:rPr>
                <w:color w:val="000000" w:themeColor="text1"/>
                <w:sz w:val="24"/>
                <w14:textFill>
                  <w14:solidFill>
                    <w14:schemeClr w14:val="tx1"/>
                  </w14:solidFill>
                </w14:textFill>
              </w:rPr>
              <w:t>等区域为重点防渗区域</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危废暂存间</w:t>
            </w:r>
            <w:r>
              <w:rPr>
                <w:rFonts w:hint="eastAsia"/>
                <w:color w:val="000000" w:themeColor="text1"/>
                <w:sz w:val="24"/>
                <w:lang w:eastAsia="zh-CN"/>
                <w14:textFill>
                  <w14:solidFill>
                    <w14:schemeClr w14:val="tx1"/>
                  </w14:solidFill>
                </w14:textFill>
              </w:rPr>
              <w:t>、沉淀池</w:t>
            </w:r>
            <w:r>
              <w:rPr>
                <w:color w:val="000000" w:themeColor="text1"/>
                <w:sz w:val="24"/>
                <w14:textFill>
                  <w14:solidFill>
                    <w14:schemeClr w14:val="tx1"/>
                  </w14:solidFill>
                </w14:textFill>
              </w:rPr>
              <w:t>采用抗渗混凝土（0.2m）+环氧树脂漆（1.5mm）进行重点防渗，渗透系数≤1×10</w:t>
            </w:r>
            <w:r>
              <w:rPr>
                <w:color w:val="000000" w:themeColor="text1"/>
                <w:sz w:val="24"/>
                <w:vertAlign w:val="superscript"/>
                <w14:textFill>
                  <w14:solidFill>
                    <w14:schemeClr w14:val="tx1"/>
                  </w14:solidFill>
                </w14:textFill>
              </w:rPr>
              <w:t>-</w:t>
            </w:r>
            <w:r>
              <w:rPr>
                <w:rFonts w:hint="eastAsia"/>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r>
              <w:rPr>
                <w:rFonts w:hint="eastAsia"/>
                <w:color w:val="000000" w:themeColor="text1"/>
                <w:sz w:val="24"/>
                <w:lang w:eastAsia="zh-CN"/>
                <w14:textFill>
                  <w14:solidFill>
                    <w14:schemeClr w14:val="tx1"/>
                  </w14:solidFill>
                </w14:textFill>
              </w:rPr>
              <w:t>污泥储存区在重点防渗的基础上设置导流沟导流槽。</w:t>
            </w:r>
            <w:r>
              <w:rPr>
                <w:color w:val="000000" w:themeColor="text1"/>
                <w:sz w:val="24"/>
                <w14:textFill>
                  <w14:solidFill>
                    <w14:schemeClr w14:val="tx1"/>
                  </w14:solidFill>
                </w14:textFill>
              </w:rPr>
              <w:t>其他一般防渗区域采用环氧地坪进行一般防渗，渗透系数≤1×10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tc>
      </w:tr>
      <w:tr w14:paraId="5F795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4" w:type="dxa"/>
            <w:tcBorders>
              <w:tl2br w:val="nil"/>
              <w:tr2bl w:val="nil"/>
            </w:tcBorders>
            <w:vAlign w:val="center"/>
          </w:tcPr>
          <w:p w14:paraId="04370D65">
            <w:pPr>
              <w:adjustRightInd w:val="0"/>
              <w:snapToGrid w:val="0"/>
              <w:spacing w:line="312"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生态保护措施</w:t>
            </w:r>
          </w:p>
        </w:tc>
        <w:tc>
          <w:tcPr>
            <w:tcW w:w="7277" w:type="dxa"/>
            <w:gridSpan w:val="4"/>
            <w:tcBorders>
              <w:tl2br w:val="nil"/>
              <w:tr2bl w:val="nil"/>
            </w:tcBorders>
            <w:vAlign w:val="center"/>
          </w:tcPr>
          <w:p w14:paraId="20F4C10C">
            <w:pPr>
              <w:adjustRightInd w:val="0"/>
              <w:snapToGrid w:val="0"/>
              <w:spacing w:line="312"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项目区域附近无自然保护区，人文景观和名胜古迹等环境敏感点，周围没有需要特殊保护的生态环境。项目建设不会对周围生态环境造成影响。</w:t>
            </w:r>
          </w:p>
        </w:tc>
      </w:tr>
      <w:tr w14:paraId="53F19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1714" w:type="dxa"/>
            <w:tcBorders>
              <w:tl2br w:val="nil"/>
              <w:tr2bl w:val="nil"/>
            </w:tcBorders>
            <w:vAlign w:val="center"/>
          </w:tcPr>
          <w:p w14:paraId="6BD3FF4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环境风险</w:t>
            </w:r>
          </w:p>
          <w:p w14:paraId="4BA354C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防范措施</w:t>
            </w:r>
          </w:p>
        </w:tc>
        <w:tc>
          <w:tcPr>
            <w:tcW w:w="7277" w:type="dxa"/>
            <w:gridSpan w:val="4"/>
            <w:tcBorders>
              <w:tl2br w:val="nil"/>
              <w:tr2bl w:val="nil"/>
            </w:tcBorders>
            <w:vAlign w:val="center"/>
          </w:tcPr>
          <w:p w14:paraId="7B6DBFD9">
            <w:pPr>
              <w:adjustRightInd w:val="0"/>
              <w:snapToGrid w:val="0"/>
              <w:spacing w:before="72" w:beforeLines="30" w:line="312"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为保证公司员工和周围居民的生命财产安全，防止重、特大事故的发生，并能在事故发生后迅速有效的控制处理，防止事故扩大，根据公司实际情况，本着“安全第一，预防为主；统一指挥，分工负责”的原则，制定严格的事故应急预案并经常演练使之启动运转及时，是减轻风险事故环境影响的有效措施。</w:t>
            </w:r>
          </w:p>
        </w:tc>
      </w:tr>
      <w:tr w14:paraId="57FB3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714" w:type="dxa"/>
            <w:tcBorders>
              <w:tl2br w:val="nil"/>
              <w:tr2bl w:val="nil"/>
            </w:tcBorders>
            <w:vAlign w:val="center"/>
          </w:tcPr>
          <w:p w14:paraId="19CF0D0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其他环境</w:t>
            </w:r>
          </w:p>
          <w:p w14:paraId="3FC8729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管理要求</w:t>
            </w:r>
          </w:p>
        </w:tc>
        <w:tc>
          <w:tcPr>
            <w:tcW w:w="7277" w:type="dxa"/>
            <w:gridSpan w:val="4"/>
            <w:tcBorders>
              <w:tl2br w:val="nil"/>
              <w:tr2bl w:val="nil"/>
            </w:tcBorders>
            <w:vAlign w:val="center"/>
          </w:tcPr>
          <w:p w14:paraId="3A04040A">
            <w:pPr>
              <w:adjustRightInd w:val="0"/>
              <w:snapToGrid w:val="0"/>
              <w:spacing w:line="348" w:lineRule="auto"/>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1、排放口规范化及信息公开化</w:t>
            </w:r>
          </w:p>
          <w:p w14:paraId="5F38F902">
            <w:pPr>
              <w:widowControl/>
              <w:adjustRightInd w:val="0"/>
              <w:snapToGrid w:val="0"/>
              <w:spacing w:line="348"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根据《关于开展排放口规范化整治工作的通知》（环发〔1999〕24号）、《排污口规范化整治技术要求》（环监〔1996〕470号）、《固定污染源废气监测点位设置技术规范》（DB37/T 3535-2019）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3BF118E0">
            <w:pPr>
              <w:pStyle w:val="33"/>
              <w:snapToGrid w:val="0"/>
              <w:spacing w:line="348" w:lineRule="auto"/>
              <w:rPr>
                <w:b/>
                <w:bCs/>
                <w:color w:val="auto"/>
                <w:kern w:val="0"/>
              </w:rPr>
            </w:pPr>
            <w:r>
              <w:rPr>
                <w:b/>
                <w:bCs/>
                <w:color w:val="auto"/>
                <w:kern w:val="0"/>
              </w:rPr>
              <w:t>2、与排污许可证制度衔接</w:t>
            </w:r>
          </w:p>
          <w:p w14:paraId="63A2F43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48" w:lineRule="auto"/>
              <w:ind w:leftChars="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
              </w:rPr>
              <w:t>根据《关于做好环境影响评价制度与排污许可制衔接相关工作的通知》（环办环评[2017]84号），项目应在获得环评审批文件后，按照国家环境保护相关法律法规以及排污许可证申请与核发技术规范要求</w:t>
            </w:r>
            <w:r>
              <w:rPr>
                <w:rFonts w:hint="eastAsia" w:cs="Times New Roman"/>
                <w:color w:val="auto"/>
                <w:kern w:val="0"/>
                <w:sz w:val="24"/>
                <w:szCs w:val="24"/>
                <w:lang w:val="en-US" w:eastAsia="zh-CN" w:bidi="ar"/>
              </w:rPr>
              <w:t>变更</w:t>
            </w:r>
            <w:r>
              <w:rPr>
                <w:rFonts w:hint="default" w:ascii="Times New Roman" w:hAnsi="Times New Roman" w:eastAsia="宋体" w:cs="Times New Roman"/>
                <w:color w:val="auto"/>
                <w:kern w:val="0"/>
                <w:sz w:val="24"/>
                <w:szCs w:val="24"/>
                <w:lang w:val="en-US" w:eastAsia="zh-CN" w:bidi="ar"/>
              </w:rPr>
              <w:t>排污许可证，</w:t>
            </w:r>
            <w:r>
              <w:rPr>
                <w:rFonts w:hint="default" w:ascii="Times New Roman" w:hAnsi="Times New Roman" w:eastAsia="宋体" w:cs="Times New Roman"/>
                <w:color w:val="auto"/>
                <w:sz w:val="24"/>
                <w:szCs w:val="24"/>
                <w:lang w:val="en-US" w:eastAsia="zh-CN"/>
              </w:rPr>
              <w:t>并在取得排污许可证后按照排污许可证申请与核发技术规范相关要求履行自行检测、台账管理、执行报告等手续。</w:t>
            </w:r>
          </w:p>
          <w:p w14:paraId="2BEDF1F5">
            <w:pPr>
              <w:widowControl/>
              <w:adjustRightInd w:val="0"/>
              <w:snapToGrid w:val="0"/>
              <w:spacing w:line="348" w:lineRule="auto"/>
              <w:jc w:val="left"/>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3、竣工环境保护设施验收</w:t>
            </w:r>
          </w:p>
          <w:p w14:paraId="19B584FC">
            <w:pPr>
              <w:adjustRightInd w:val="0"/>
              <w:snapToGrid w:val="0"/>
              <w:spacing w:line="348"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w:t>
            </w:r>
          </w:p>
          <w:p w14:paraId="31B47C4A">
            <w:pPr>
              <w:pStyle w:val="33"/>
              <w:numPr>
                <w:ilvl w:val="1"/>
                <w:numId w:val="0"/>
              </w:numPr>
              <w:snapToGrid w:val="0"/>
              <w:spacing w:line="360" w:lineRule="auto"/>
              <w:ind w:left="-60" w:leftChars="0"/>
              <w:rPr>
                <w:rFonts w:hint="default" w:ascii="Times New Roman" w:hAnsi="Times New Roman" w:eastAsia="宋体" w:cs="Times New Roman"/>
                <w:b/>
                <w:bCs/>
                <w:color w:val="auto"/>
                <w:kern w:val="0"/>
                <w:sz w:val="24"/>
                <w:szCs w:val="24"/>
                <w:highlight w:val="none"/>
                <w:lang w:bidi="ar"/>
              </w:rPr>
            </w:pPr>
            <w:r>
              <w:rPr>
                <w:rFonts w:hint="eastAsia" w:cs="Times New Roman"/>
                <w:b/>
                <w:bCs/>
                <w:color w:val="auto"/>
                <w:kern w:val="0"/>
                <w:sz w:val="24"/>
                <w:szCs w:val="24"/>
                <w:highlight w:val="none"/>
                <w:lang w:val="en-US" w:eastAsia="zh-CN" w:bidi="ar"/>
              </w:rPr>
              <w:t>4、</w:t>
            </w:r>
            <w:r>
              <w:rPr>
                <w:rFonts w:hint="eastAsia" w:cs="Times New Roman"/>
                <w:b/>
                <w:bCs/>
                <w:color w:val="auto"/>
                <w:kern w:val="0"/>
                <w:sz w:val="24"/>
                <w:szCs w:val="24"/>
                <w:highlight w:val="none"/>
                <w:lang w:eastAsia="zh-CN" w:bidi="ar"/>
              </w:rPr>
              <w:t>改</w:t>
            </w:r>
            <w:r>
              <w:rPr>
                <w:rFonts w:hint="default" w:ascii="Times New Roman" w:hAnsi="Times New Roman" w:eastAsia="宋体" w:cs="Times New Roman"/>
                <w:b/>
                <w:bCs/>
                <w:color w:val="auto"/>
                <w:kern w:val="0"/>
                <w:sz w:val="24"/>
                <w:szCs w:val="24"/>
                <w:highlight w:val="none"/>
                <w:lang w:bidi="ar"/>
              </w:rPr>
              <w:t>建前后污染物排放“三本账”</w:t>
            </w:r>
          </w:p>
          <w:p w14:paraId="5C2B14DD">
            <w:pPr>
              <w:pStyle w:val="33"/>
              <w:numPr>
                <w:ilvl w:val="1"/>
                <w:numId w:val="0"/>
              </w:numPr>
              <w:snapToGrid w:val="0"/>
              <w:spacing w:line="360" w:lineRule="auto"/>
              <w:ind w:left="-60" w:left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w:t>
            </w:r>
            <w:r>
              <w:rPr>
                <w:rFonts w:hint="eastAsia"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kern w:val="0"/>
                <w:sz w:val="24"/>
                <w:szCs w:val="24"/>
                <w:highlight w:val="none"/>
                <w:lang w:eastAsia="zh-CN" w:bidi="ar"/>
              </w:rPr>
              <w:t>改</w:t>
            </w:r>
            <w:r>
              <w:rPr>
                <w:rFonts w:hint="default" w:ascii="Times New Roman" w:hAnsi="Times New Roman" w:eastAsia="宋体" w:cs="Times New Roman"/>
                <w:b/>
                <w:bCs/>
                <w:color w:val="auto"/>
                <w:kern w:val="0"/>
                <w:sz w:val="24"/>
                <w:szCs w:val="24"/>
                <w:highlight w:val="none"/>
                <w:lang w:bidi="ar"/>
              </w:rPr>
              <w:t>建</w:t>
            </w:r>
            <w:r>
              <w:rPr>
                <w:rFonts w:hint="default" w:ascii="Times New Roman" w:hAnsi="Times New Roman" w:eastAsia="宋体" w:cs="Times New Roman"/>
                <w:b/>
                <w:bCs/>
                <w:color w:val="auto"/>
                <w:sz w:val="24"/>
                <w:szCs w:val="24"/>
                <w:highlight w:val="none"/>
              </w:rPr>
              <w:t>前后污染物排放“三本账” 单位：t/a</w:t>
            </w:r>
          </w:p>
          <w:tbl>
            <w:tblPr>
              <w:tblStyle w:val="28"/>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12"/>
              <w:gridCol w:w="926"/>
              <w:gridCol w:w="1062"/>
              <w:gridCol w:w="919"/>
              <w:gridCol w:w="1236"/>
              <w:gridCol w:w="1022"/>
            </w:tblGrid>
            <w:tr w14:paraId="2683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Align w:val="center"/>
                </w:tcPr>
                <w:p w14:paraId="07CC82FD">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212" w:type="dxa"/>
                  <w:vAlign w:val="center"/>
                </w:tcPr>
                <w:p w14:paraId="0B276BCB">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926" w:type="dxa"/>
                  <w:vAlign w:val="center"/>
                </w:tcPr>
                <w:p w14:paraId="340C8C37">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改建</w:t>
                  </w:r>
                  <w:r>
                    <w:rPr>
                      <w:rFonts w:hint="default" w:ascii="Times New Roman" w:hAnsi="Times New Roman" w:eastAsia="宋体" w:cs="Times New Roman"/>
                      <w:color w:val="auto"/>
                      <w:sz w:val="21"/>
                      <w:szCs w:val="21"/>
                      <w:highlight w:val="none"/>
                    </w:rPr>
                    <w:t>前排放量</w:t>
                  </w:r>
                </w:p>
              </w:tc>
              <w:tc>
                <w:tcPr>
                  <w:tcW w:w="1062" w:type="dxa"/>
                  <w:vAlign w:val="center"/>
                </w:tcPr>
                <w:p w14:paraId="7439DA31">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本项目排放量</w:t>
                  </w:r>
                </w:p>
              </w:tc>
              <w:tc>
                <w:tcPr>
                  <w:tcW w:w="919" w:type="dxa"/>
                  <w:vAlign w:val="center"/>
                </w:tcPr>
                <w:p w14:paraId="21384CE0">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“以新带老”削减量</w:t>
                  </w:r>
                </w:p>
              </w:tc>
              <w:tc>
                <w:tcPr>
                  <w:tcW w:w="1236" w:type="dxa"/>
                  <w:vAlign w:val="center"/>
                </w:tcPr>
                <w:p w14:paraId="0DEA863C">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改</w:t>
                  </w:r>
                  <w:r>
                    <w:rPr>
                      <w:rFonts w:hint="default" w:ascii="Times New Roman" w:hAnsi="Times New Roman" w:eastAsia="宋体" w:cs="Times New Roman"/>
                      <w:color w:val="auto"/>
                      <w:sz w:val="21"/>
                      <w:szCs w:val="21"/>
                      <w:highlight w:val="none"/>
                    </w:rPr>
                    <w:t>建后排放量</w:t>
                  </w:r>
                </w:p>
              </w:tc>
              <w:tc>
                <w:tcPr>
                  <w:tcW w:w="1022" w:type="dxa"/>
                  <w:vAlign w:val="center"/>
                </w:tcPr>
                <w:p w14:paraId="138B5C76">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排放增减量</w:t>
                  </w:r>
                </w:p>
              </w:tc>
            </w:tr>
            <w:tr w14:paraId="62B5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shd w:val="clear" w:color="auto" w:fill="auto"/>
                  <w:vAlign w:val="center"/>
                </w:tcPr>
                <w:p w14:paraId="2C48A0CB">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212" w:type="dxa"/>
                  <w:shd w:val="clear" w:color="auto" w:fill="auto"/>
                  <w:vAlign w:val="center"/>
                </w:tcPr>
                <w:p w14:paraId="613FBACD">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926" w:type="dxa"/>
                  <w:shd w:val="clear" w:color="auto" w:fill="auto"/>
                  <w:vAlign w:val="center"/>
                </w:tcPr>
                <w:p w14:paraId="0D8EEE51">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cs="Times New Roman"/>
                      <w:color w:val="auto"/>
                      <w:sz w:val="21"/>
                      <w:szCs w:val="21"/>
                      <w:highlight w:val="none"/>
                      <w:lang w:val="en-US" w:eastAsia="zh-CN"/>
                    </w:rPr>
                    <w:t>0.06</w:t>
                  </w:r>
                </w:p>
              </w:tc>
              <w:tc>
                <w:tcPr>
                  <w:tcW w:w="1062" w:type="dxa"/>
                  <w:shd w:val="clear" w:color="auto" w:fill="auto"/>
                  <w:vAlign w:val="center"/>
                </w:tcPr>
                <w:p w14:paraId="36F74B5D">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rPr>
                  </w:pPr>
                  <w:r>
                    <w:rPr>
                      <w:rFonts w:hint="eastAsia" w:ascii="Times New Roman" w:cs="Times New Roman"/>
                      <w:color w:val="auto"/>
                      <w:sz w:val="21"/>
                      <w:szCs w:val="21"/>
                      <w:highlight w:val="none"/>
                      <w:lang w:val="en-US" w:eastAsia="zh-CN"/>
                    </w:rPr>
                    <w:t>0.4138</w:t>
                  </w:r>
                </w:p>
              </w:tc>
              <w:tc>
                <w:tcPr>
                  <w:tcW w:w="919" w:type="dxa"/>
                  <w:shd w:val="clear" w:color="auto" w:fill="auto"/>
                  <w:vAlign w:val="center"/>
                </w:tcPr>
                <w:p w14:paraId="224F755B">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1236" w:type="dxa"/>
                  <w:shd w:val="clear" w:color="auto" w:fill="auto"/>
                  <w:vAlign w:val="center"/>
                </w:tcPr>
                <w:p w14:paraId="0706102A">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0.4238</w:t>
                  </w:r>
                </w:p>
              </w:tc>
              <w:tc>
                <w:tcPr>
                  <w:tcW w:w="1022" w:type="dxa"/>
                  <w:shd w:val="clear" w:color="auto" w:fill="auto"/>
                  <w:vAlign w:val="center"/>
                </w:tcPr>
                <w:p w14:paraId="6AD660A2">
                  <w:pPr>
                    <w:pStyle w:val="42"/>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0.3638</w:t>
                  </w:r>
                </w:p>
              </w:tc>
            </w:tr>
            <w:tr w14:paraId="128B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restart"/>
                  <w:shd w:val="clear" w:color="auto" w:fill="auto"/>
                  <w:vAlign w:val="center"/>
                </w:tcPr>
                <w:p w14:paraId="091F72FA">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212" w:type="dxa"/>
                  <w:shd w:val="clear" w:color="auto" w:fill="auto"/>
                  <w:vAlign w:val="center"/>
                </w:tcPr>
                <w:p w14:paraId="528E10E6">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926" w:type="dxa"/>
                  <w:shd w:val="clear" w:color="auto" w:fill="auto"/>
                  <w:vAlign w:val="center"/>
                </w:tcPr>
                <w:p w14:paraId="5C023CAF">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062" w:type="dxa"/>
                  <w:shd w:val="clear" w:color="auto" w:fill="auto"/>
                  <w:vAlign w:val="center"/>
                </w:tcPr>
                <w:p w14:paraId="00BB0315">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919" w:type="dxa"/>
                  <w:shd w:val="clear" w:color="auto" w:fill="auto"/>
                  <w:vAlign w:val="center"/>
                </w:tcPr>
                <w:p w14:paraId="748843BB">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36" w:type="dxa"/>
                  <w:shd w:val="clear" w:color="auto" w:fill="auto"/>
                  <w:vAlign w:val="center"/>
                </w:tcPr>
                <w:p w14:paraId="2C3D7BFB">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022" w:type="dxa"/>
                  <w:shd w:val="clear" w:color="auto" w:fill="auto"/>
                  <w:vAlign w:val="center"/>
                </w:tcPr>
                <w:p w14:paraId="21901D2E">
                  <w:pPr>
                    <w:keepNext w:val="0"/>
                    <w:keepLines w:val="0"/>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7A62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continue"/>
                  <w:shd w:val="clear" w:color="auto" w:fill="auto"/>
                  <w:vAlign w:val="center"/>
                </w:tcPr>
                <w:p w14:paraId="571C371B">
                  <w:pPr>
                    <w:pStyle w:val="33"/>
                    <w:keepNext w:val="0"/>
                    <w:keepLines w:val="0"/>
                    <w:pageBreakBefore w:val="0"/>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212" w:type="dxa"/>
                  <w:shd w:val="clear" w:color="auto" w:fill="auto"/>
                  <w:vAlign w:val="center"/>
                </w:tcPr>
                <w:p w14:paraId="158BC2C0">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926" w:type="dxa"/>
                  <w:shd w:val="clear" w:color="auto" w:fill="auto"/>
                  <w:vAlign w:val="center"/>
                </w:tcPr>
                <w:p w14:paraId="7EFCE7AA">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062" w:type="dxa"/>
                  <w:shd w:val="clear" w:color="auto" w:fill="auto"/>
                  <w:vAlign w:val="center"/>
                </w:tcPr>
                <w:p w14:paraId="3DBAF3FB">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919" w:type="dxa"/>
                  <w:shd w:val="clear" w:color="auto" w:fill="auto"/>
                  <w:vAlign w:val="center"/>
                </w:tcPr>
                <w:p w14:paraId="0896D77A">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236" w:type="dxa"/>
                  <w:shd w:val="clear" w:color="auto" w:fill="auto"/>
                  <w:vAlign w:val="center"/>
                </w:tcPr>
                <w:p w14:paraId="198988B7">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022" w:type="dxa"/>
                  <w:shd w:val="clear" w:color="auto" w:fill="auto"/>
                  <w:vAlign w:val="center"/>
                </w:tcPr>
                <w:p w14:paraId="5C700E6F">
                  <w:pPr>
                    <w:keepNext w:val="0"/>
                    <w:keepLines w:val="0"/>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0708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restart"/>
                  <w:shd w:val="clear" w:color="auto" w:fill="auto"/>
                  <w:vAlign w:val="center"/>
                </w:tcPr>
                <w:p w14:paraId="0D5BAA42">
                  <w:pPr>
                    <w:pStyle w:val="33"/>
                    <w:keepNext w:val="0"/>
                    <w:keepLines w:val="0"/>
                    <w:pageBreakBefore w:val="0"/>
                    <w:numPr>
                      <w:ilvl w:val="1"/>
                      <w:numId w:val="0"/>
                    </w:numPr>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212" w:type="dxa"/>
                  <w:shd w:val="clear" w:color="auto" w:fill="auto"/>
                  <w:vAlign w:val="center"/>
                </w:tcPr>
                <w:p w14:paraId="75FD5B03">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eastAsia="zh-CN"/>
                      <w14:textFill>
                        <w14:solidFill>
                          <w14:schemeClr w14:val="tx1"/>
                        </w14:solidFill>
                      </w14:textFill>
                    </w:rPr>
                    <w:t>生活垃圾</w:t>
                  </w:r>
                </w:p>
              </w:tc>
              <w:tc>
                <w:tcPr>
                  <w:tcW w:w="926" w:type="dxa"/>
                  <w:shd w:val="clear" w:color="auto" w:fill="auto"/>
                  <w:vAlign w:val="center"/>
                </w:tcPr>
                <w:p w14:paraId="23B777FF">
                  <w:pPr>
                    <w:keepNext w:val="0"/>
                    <w:keepLines w:val="0"/>
                    <w:pageBreakBefore w:val="0"/>
                    <w:kinsoku/>
                    <w:wordWrap/>
                    <w:overflowPunct/>
                    <w:topLinePunct w:val="0"/>
                    <w:bidi w:val="0"/>
                    <w:spacing w:line="240" w:lineRule="auto"/>
                    <w:ind w:lef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062" w:type="dxa"/>
                  <w:shd w:val="clear" w:color="auto" w:fill="auto"/>
                  <w:vAlign w:val="center"/>
                </w:tcPr>
                <w:p w14:paraId="7925608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eastAsia"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t>0.45</w:t>
                  </w:r>
                </w:p>
              </w:tc>
              <w:tc>
                <w:tcPr>
                  <w:tcW w:w="919" w:type="dxa"/>
                  <w:shd w:val="clear" w:color="auto" w:fill="auto"/>
                  <w:vAlign w:val="center"/>
                </w:tcPr>
                <w:p w14:paraId="64C33986">
                  <w:pPr>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dxa"/>
                  <w:shd w:val="clear" w:color="auto" w:fill="auto"/>
                  <w:vAlign w:val="center"/>
                </w:tcPr>
                <w:p w14:paraId="26FB1D04">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1.95</w:t>
                  </w:r>
                </w:p>
              </w:tc>
              <w:tc>
                <w:tcPr>
                  <w:tcW w:w="1022" w:type="dxa"/>
                  <w:shd w:val="clear" w:color="auto" w:fill="auto"/>
                  <w:vAlign w:val="center"/>
                </w:tcPr>
                <w:p w14:paraId="080CEC6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t>+</w:t>
                  </w:r>
                  <w:r>
                    <w:rPr>
                      <w:rFonts w:hint="eastAsia"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t>0.45</w:t>
                  </w:r>
                </w:p>
              </w:tc>
            </w:tr>
            <w:tr w14:paraId="38BF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continue"/>
                  <w:shd w:val="clear" w:color="auto" w:fill="auto"/>
                  <w:vAlign w:val="center"/>
                </w:tcPr>
                <w:p w14:paraId="61B884DB">
                  <w:pPr>
                    <w:pStyle w:val="33"/>
                    <w:keepNext w:val="0"/>
                    <w:keepLines w:val="0"/>
                    <w:pageBreakBefore w:val="0"/>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212" w:type="dxa"/>
                  <w:shd w:val="clear" w:color="auto" w:fill="auto"/>
                  <w:vAlign w:val="center"/>
                </w:tcPr>
                <w:p w14:paraId="473E03F2">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napToGrid/>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color w:val="auto"/>
                      <w:kern w:val="2"/>
                      <w:sz w:val="21"/>
                      <w:szCs w:val="21"/>
                      <w:vertAlign w:val="baseline"/>
                      <w:lang w:eastAsia="zh-CN" w:bidi="ar-SA"/>
                    </w:rPr>
                    <w:t>废包装材料</w:t>
                  </w:r>
                </w:p>
              </w:tc>
              <w:tc>
                <w:tcPr>
                  <w:tcW w:w="926" w:type="dxa"/>
                  <w:shd w:val="clear" w:color="auto" w:fill="auto"/>
                  <w:vAlign w:val="center"/>
                </w:tcPr>
                <w:p w14:paraId="07F1AC27">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1.2</w:t>
                  </w:r>
                </w:p>
              </w:tc>
              <w:tc>
                <w:tcPr>
                  <w:tcW w:w="1062" w:type="dxa"/>
                  <w:shd w:val="clear" w:color="auto" w:fill="auto"/>
                  <w:vAlign w:val="center"/>
                </w:tcPr>
                <w:p w14:paraId="3B7A23F5">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0.1</w:t>
                  </w:r>
                </w:p>
              </w:tc>
              <w:tc>
                <w:tcPr>
                  <w:tcW w:w="919" w:type="dxa"/>
                  <w:shd w:val="clear" w:color="auto" w:fill="auto"/>
                  <w:vAlign w:val="center"/>
                </w:tcPr>
                <w:p w14:paraId="7353E631">
                  <w:pPr>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dxa"/>
                  <w:shd w:val="clear" w:color="auto" w:fill="auto"/>
                  <w:vAlign w:val="center"/>
                </w:tcPr>
                <w:p w14:paraId="32EF5667">
                  <w:pPr>
                    <w:keepNext w:val="0"/>
                    <w:keepLines w:val="0"/>
                    <w:pageBreakBefore w:val="0"/>
                    <w:kinsoku/>
                    <w:wordWrap/>
                    <w:overflowPunct/>
                    <w:topLinePunct w:val="0"/>
                    <w:bidi w:val="0"/>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w:t>
                  </w:r>
                </w:p>
              </w:tc>
              <w:tc>
                <w:tcPr>
                  <w:tcW w:w="1022" w:type="dxa"/>
                  <w:shd w:val="clear" w:color="auto" w:fill="auto"/>
                  <w:vAlign w:val="center"/>
                </w:tcPr>
                <w:p w14:paraId="0F16E4E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+0.</w:t>
                  </w: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1</w:t>
                  </w:r>
                </w:p>
              </w:tc>
            </w:tr>
            <w:tr w14:paraId="56D4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continue"/>
                  <w:shd w:val="clear" w:color="auto" w:fill="auto"/>
                  <w:vAlign w:val="center"/>
                </w:tcPr>
                <w:p w14:paraId="2795D631">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212" w:type="dxa"/>
                  <w:shd w:val="clear" w:color="auto" w:fill="auto"/>
                  <w:vAlign w:val="center"/>
                </w:tcPr>
                <w:p w14:paraId="41C7C127">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000000" w:themeColor="text1"/>
                      <w:spacing w:val="0"/>
                      <w:kern w:val="0"/>
                      <w:position w:val="0"/>
                      <w:sz w:val="21"/>
                      <w:szCs w:val="21"/>
                      <w:highlight w:val="none"/>
                      <w:vertAlign w:val="baseline"/>
                      <w:lang w:val="zh-CN" w:eastAsia="zh-CN" w:bidi="ar-SA"/>
                      <w14:textFill>
                        <w14:solidFill>
                          <w14:schemeClr w14:val="tx1"/>
                        </w14:solidFill>
                      </w14:textFill>
                    </w:rPr>
                  </w:pPr>
                  <w:r>
                    <w:rPr>
                      <w:rFonts w:hint="eastAsia" w:ascii="Times New Roman" w:hAnsi="Times New Roman" w:cs="Times New Roman"/>
                      <w:b w:val="0"/>
                      <w:bCs/>
                      <w:color w:val="auto"/>
                      <w:kern w:val="2"/>
                      <w:sz w:val="21"/>
                      <w:szCs w:val="21"/>
                      <w:vertAlign w:val="baseline"/>
                      <w:lang w:eastAsia="zh-CN" w:bidi="ar-SA"/>
                    </w:rPr>
                    <w:t>除尘器收集的颗粒物</w:t>
                  </w:r>
                </w:p>
              </w:tc>
              <w:tc>
                <w:tcPr>
                  <w:tcW w:w="926" w:type="dxa"/>
                  <w:shd w:val="clear" w:color="auto" w:fill="auto"/>
                  <w:vAlign w:val="center"/>
                </w:tcPr>
                <w:p w14:paraId="65012B1A">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51</w:t>
                  </w:r>
                </w:p>
              </w:tc>
              <w:tc>
                <w:tcPr>
                  <w:tcW w:w="1062" w:type="dxa"/>
                  <w:shd w:val="clear" w:color="auto" w:fill="auto"/>
                  <w:vAlign w:val="center"/>
                </w:tcPr>
                <w:p w14:paraId="27EE5EF5">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bidi="ar-SA"/>
                      <w14:textFill>
                        <w14:solidFill>
                          <w14:schemeClr w14:val="tx1"/>
                        </w14:solidFill>
                      </w14:textFill>
                    </w:rPr>
                    <w:t>40.85</w:t>
                  </w:r>
                </w:p>
              </w:tc>
              <w:tc>
                <w:tcPr>
                  <w:tcW w:w="919" w:type="dxa"/>
                  <w:shd w:val="clear" w:color="auto" w:fill="auto"/>
                  <w:vAlign w:val="center"/>
                </w:tcPr>
                <w:p w14:paraId="27019951">
                  <w:pPr>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1236" w:type="dxa"/>
                  <w:shd w:val="clear" w:color="auto" w:fill="auto"/>
                  <w:vAlign w:val="center"/>
                </w:tcPr>
                <w:p w14:paraId="4EF0773C">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91.85</w:t>
                  </w:r>
                </w:p>
              </w:tc>
              <w:tc>
                <w:tcPr>
                  <w:tcW w:w="1022" w:type="dxa"/>
                  <w:shd w:val="clear" w:color="auto" w:fill="auto"/>
                  <w:vAlign w:val="center"/>
                </w:tcPr>
                <w:p w14:paraId="3C67C3B3">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t>+</w:t>
                  </w:r>
                  <w:r>
                    <w:rPr>
                      <w:rFonts w:hint="eastAsia" w:cs="Times New Roman"/>
                      <w:snapToGrid/>
                      <w:color w:val="000000" w:themeColor="text1"/>
                      <w:spacing w:val="0"/>
                      <w:kern w:val="0"/>
                      <w:position w:val="0"/>
                      <w:sz w:val="21"/>
                      <w:szCs w:val="21"/>
                      <w:highlight w:val="none"/>
                      <w:lang w:val="en-US" w:eastAsia="zh-CN" w:bidi="ar-SA"/>
                      <w14:textFill>
                        <w14:solidFill>
                          <w14:schemeClr w14:val="tx1"/>
                        </w14:solidFill>
                      </w14:textFill>
                    </w:rPr>
                    <w:t>40.85</w:t>
                  </w:r>
                </w:p>
              </w:tc>
            </w:tr>
            <w:tr w14:paraId="1A25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continue"/>
                  <w:shd w:val="clear" w:color="auto" w:fill="auto"/>
                  <w:vAlign w:val="center"/>
                </w:tcPr>
                <w:p w14:paraId="36ACC7D7">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212" w:type="dxa"/>
                  <w:shd w:val="clear" w:color="auto" w:fill="auto"/>
                  <w:vAlign w:val="center"/>
                </w:tcPr>
                <w:p w14:paraId="10B5355D">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kern w:val="2"/>
                      <w:sz w:val="21"/>
                      <w:szCs w:val="21"/>
                      <w:vertAlign w:val="baseline"/>
                      <w:lang w:eastAsia="zh-CN" w:bidi="ar-SA"/>
                    </w:rPr>
                  </w:pPr>
                  <w:r>
                    <w:rPr>
                      <w:rFonts w:hint="eastAsia" w:ascii="Times New Roman" w:hAnsi="Times New Roman" w:cs="Times New Roman"/>
                      <w:b w:val="0"/>
                      <w:bCs w:val="0"/>
                      <w:snapToGrid/>
                      <w:color w:val="000000" w:themeColor="text1"/>
                      <w:spacing w:val="0"/>
                      <w:kern w:val="0"/>
                      <w:position w:val="0"/>
                      <w:sz w:val="21"/>
                      <w:szCs w:val="21"/>
                      <w:vertAlign w:val="baseline"/>
                      <w:lang w:val="en-US" w:eastAsia="zh-CN" w:bidi="ar-SA"/>
                      <w14:textFill>
                        <w14:solidFill>
                          <w14:schemeClr w14:val="tx1"/>
                        </w14:solidFill>
                      </w14:textFill>
                    </w:rPr>
                    <w:t>不合格品</w:t>
                  </w:r>
                </w:p>
              </w:tc>
              <w:tc>
                <w:tcPr>
                  <w:tcW w:w="926" w:type="dxa"/>
                  <w:shd w:val="clear" w:color="auto" w:fill="auto"/>
                  <w:vAlign w:val="center"/>
                </w:tcPr>
                <w:p w14:paraId="5E3A1ABC">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2"/>
                      <w:sz w:val="21"/>
                      <w:szCs w:val="21"/>
                      <w:vertAlign w:val="baseline"/>
                      <w:lang w:val="en-US" w:eastAsia="zh-CN" w:bidi="ar-SA"/>
                    </w:rPr>
                  </w:pPr>
                  <w:r>
                    <w:rPr>
                      <w:rFonts w:hint="eastAsia" w:ascii="Times New Roman" w:hAnsi="Times New Roman" w:cs="Times New Roman"/>
                      <w:b w:val="0"/>
                      <w:bCs/>
                      <w:color w:val="auto"/>
                      <w:kern w:val="2"/>
                      <w:sz w:val="21"/>
                      <w:szCs w:val="21"/>
                      <w:vertAlign w:val="baseline"/>
                      <w:lang w:val="en-US" w:eastAsia="zh-CN" w:bidi="ar-SA"/>
                    </w:rPr>
                    <w:t>100</w:t>
                  </w:r>
                </w:p>
              </w:tc>
              <w:tc>
                <w:tcPr>
                  <w:tcW w:w="1062" w:type="dxa"/>
                  <w:shd w:val="clear" w:color="auto" w:fill="auto"/>
                  <w:vAlign w:val="center"/>
                </w:tcPr>
                <w:p w14:paraId="66B039A8">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bidi="ar-SA"/>
                      <w14:textFill>
                        <w14:solidFill>
                          <w14:schemeClr w14:val="tx1"/>
                        </w14:solidFill>
                      </w14:textFill>
                    </w:rPr>
                    <w:t>0</w:t>
                  </w:r>
                </w:p>
              </w:tc>
              <w:tc>
                <w:tcPr>
                  <w:tcW w:w="919" w:type="dxa"/>
                  <w:shd w:val="clear" w:color="auto" w:fill="auto"/>
                  <w:vAlign w:val="center"/>
                </w:tcPr>
                <w:p w14:paraId="1CED9207">
                  <w:pPr>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236" w:type="dxa"/>
                  <w:shd w:val="clear" w:color="auto" w:fill="auto"/>
                  <w:vAlign w:val="center"/>
                </w:tcPr>
                <w:p w14:paraId="4ED60F3C">
                  <w:pPr>
                    <w:keepNext w:val="0"/>
                    <w:keepLines w:val="0"/>
                    <w:pageBreakBefore w:val="0"/>
                    <w:kinsoku/>
                    <w:wordWrap/>
                    <w:overflowPunct/>
                    <w:topLinePunct w:val="0"/>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w:t>
                  </w:r>
                </w:p>
              </w:tc>
              <w:tc>
                <w:tcPr>
                  <w:tcW w:w="1022" w:type="dxa"/>
                  <w:shd w:val="clear" w:color="auto" w:fill="auto"/>
                  <w:vAlign w:val="center"/>
                </w:tcPr>
                <w:p w14:paraId="275D9854">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napToGrid/>
                      <w:color w:val="000000" w:themeColor="text1"/>
                      <w:spacing w:val="0"/>
                      <w:kern w:val="0"/>
                      <w:position w:val="0"/>
                      <w:sz w:val="21"/>
                      <w:szCs w:val="21"/>
                      <w:highlight w:val="none"/>
                      <w:lang w:val="en-US" w:eastAsia="zh-CN" w:bidi="ar-SA"/>
                      <w14:textFill>
                        <w14:solidFill>
                          <w14:schemeClr w14:val="tx1"/>
                        </w14:solidFill>
                      </w14:textFill>
                    </w:rPr>
                    <w:t>+0</w:t>
                  </w:r>
                </w:p>
              </w:tc>
            </w:tr>
            <w:tr w14:paraId="4162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continue"/>
                  <w:shd w:val="clear" w:color="auto" w:fill="auto"/>
                  <w:vAlign w:val="center"/>
                </w:tcPr>
                <w:p w14:paraId="44067885">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212" w:type="dxa"/>
                  <w:shd w:val="clear" w:color="auto" w:fill="auto"/>
                  <w:vAlign w:val="center"/>
                </w:tcPr>
                <w:p w14:paraId="4E0D7B97">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vertAlign w:val="baseline"/>
                      <w:lang w:eastAsia="zh-CN" w:bidi="ar-SA"/>
                    </w:rPr>
                    <w:t>沉淀池沉渣</w:t>
                  </w:r>
                </w:p>
              </w:tc>
              <w:tc>
                <w:tcPr>
                  <w:tcW w:w="926" w:type="dxa"/>
                  <w:shd w:val="clear" w:color="auto" w:fill="auto"/>
                  <w:vAlign w:val="center"/>
                </w:tcPr>
                <w:p w14:paraId="4AE1C8ED">
                  <w:pPr>
                    <w:pStyle w:val="7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b w:val="0"/>
                      <w:bCs/>
                      <w:color w:val="auto"/>
                      <w:kern w:val="2"/>
                      <w:sz w:val="21"/>
                      <w:szCs w:val="21"/>
                      <w:vertAlign w:val="baseline"/>
                      <w:lang w:val="en-US" w:eastAsia="zh-CN" w:bidi="ar-SA"/>
                    </w:rPr>
                    <w:t>9</w:t>
                  </w:r>
                </w:p>
              </w:tc>
              <w:tc>
                <w:tcPr>
                  <w:tcW w:w="1062" w:type="dxa"/>
                  <w:shd w:val="clear" w:color="auto" w:fill="auto"/>
                  <w:vAlign w:val="center"/>
                </w:tcPr>
                <w:p w14:paraId="16BEA74E">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snapToGrid/>
                      <w:color w:val="auto"/>
                      <w:spacing w:val="0"/>
                      <w:kern w:val="0"/>
                      <w:position w:val="0"/>
                      <w:sz w:val="21"/>
                      <w:szCs w:val="21"/>
                      <w:highlight w:val="none"/>
                      <w:lang w:val="en-US" w:eastAsia="zh-CN" w:bidi="ar-SA"/>
                    </w:rPr>
                  </w:pPr>
                  <w:r>
                    <w:rPr>
                      <w:rFonts w:hint="eastAsia" w:ascii="Times New Roman" w:hAnsi="Times New Roman" w:eastAsia="宋体" w:cs="Times New Roman"/>
                      <w:snapToGrid/>
                      <w:color w:val="auto"/>
                      <w:spacing w:val="0"/>
                      <w:kern w:val="0"/>
                      <w:position w:val="0"/>
                      <w:sz w:val="21"/>
                      <w:szCs w:val="21"/>
                      <w:highlight w:val="none"/>
                      <w:lang w:val="en-US" w:eastAsia="zh-CN" w:bidi="ar-SA"/>
                    </w:rPr>
                    <w:t>0</w:t>
                  </w:r>
                </w:p>
              </w:tc>
              <w:tc>
                <w:tcPr>
                  <w:tcW w:w="919" w:type="dxa"/>
                  <w:shd w:val="clear" w:color="auto" w:fill="auto"/>
                  <w:vAlign w:val="center"/>
                </w:tcPr>
                <w:p w14:paraId="680EEA3C">
                  <w:pPr>
                    <w:keepNext w:val="0"/>
                    <w:keepLines w:val="0"/>
                    <w:pageBreakBefore w:val="0"/>
                    <w:kinsoku/>
                    <w:wordWrap/>
                    <w:overflowPunct/>
                    <w:topLinePunct w:val="0"/>
                    <w:bidi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1236" w:type="dxa"/>
                  <w:shd w:val="clear" w:color="auto" w:fill="auto"/>
                  <w:vAlign w:val="center"/>
                </w:tcPr>
                <w:p w14:paraId="7112E048">
                  <w:pPr>
                    <w:keepNext w:val="0"/>
                    <w:keepLines w:val="0"/>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9</w:t>
                  </w:r>
                </w:p>
              </w:tc>
              <w:tc>
                <w:tcPr>
                  <w:tcW w:w="1022" w:type="dxa"/>
                  <w:shd w:val="clear" w:color="auto" w:fill="auto"/>
                  <w:vAlign w:val="center"/>
                </w:tcPr>
                <w:p w14:paraId="2D2217C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snapToGrid/>
                      <w:color w:val="auto"/>
                      <w:spacing w:val="0"/>
                      <w:kern w:val="0"/>
                      <w:position w:val="0"/>
                      <w:sz w:val="21"/>
                      <w:szCs w:val="21"/>
                      <w:highlight w:val="none"/>
                      <w:lang w:val="en-US" w:eastAsia="zh-CN" w:bidi="ar-SA"/>
                    </w:rPr>
                  </w:pPr>
                  <w:r>
                    <w:rPr>
                      <w:rFonts w:hint="eastAsia" w:ascii="Times New Roman" w:hAnsi="Times New Roman" w:eastAsia="宋体" w:cs="Times New Roman"/>
                      <w:snapToGrid/>
                      <w:color w:val="auto"/>
                      <w:spacing w:val="0"/>
                      <w:kern w:val="0"/>
                      <w:position w:val="0"/>
                      <w:sz w:val="21"/>
                      <w:szCs w:val="21"/>
                      <w:highlight w:val="none"/>
                      <w:lang w:val="en-US" w:eastAsia="zh-CN" w:bidi="ar-SA"/>
                    </w:rPr>
                    <w:t>+0</w:t>
                  </w:r>
                </w:p>
              </w:tc>
            </w:tr>
            <w:tr w14:paraId="5C46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dxa"/>
                  <w:vMerge w:val="continue"/>
                  <w:shd w:val="clear" w:color="auto" w:fill="auto"/>
                  <w:vAlign w:val="center"/>
                </w:tcPr>
                <w:p w14:paraId="3E53D7E1">
                  <w:pPr>
                    <w:pStyle w:val="33"/>
                    <w:keepNext w:val="0"/>
                    <w:keepLines w:val="0"/>
                    <w:pageBreakBefore w:val="0"/>
                    <w:numPr>
                      <w:ilvl w:val="1"/>
                      <w:numId w:val="0"/>
                    </w:numPr>
                    <w:kinsoku/>
                    <w:wordWrap/>
                    <w:overflowPunct/>
                    <w:topLinePunct w:val="0"/>
                    <w:bidi w:val="0"/>
                    <w:snapToGrid w:val="0"/>
                    <w:spacing w:line="240" w:lineRule="auto"/>
                    <w:ind w:left="0" w:firstLine="0" w:firstLineChars="0"/>
                    <w:jc w:val="center"/>
                    <w:rPr>
                      <w:rFonts w:hint="default" w:ascii="Times New Roman" w:hAnsi="Times New Roman" w:eastAsia="宋体" w:cs="Times New Roman"/>
                      <w:color w:val="auto"/>
                      <w:sz w:val="21"/>
                      <w:szCs w:val="21"/>
                      <w:highlight w:val="none"/>
                    </w:rPr>
                  </w:pPr>
                </w:p>
              </w:tc>
              <w:tc>
                <w:tcPr>
                  <w:tcW w:w="1212" w:type="dxa"/>
                  <w:shd w:val="clear" w:color="auto" w:fill="auto"/>
                  <w:vAlign w:val="center"/>
                </w:tcPr>
                <w:p w14:paraId="0B288C72">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000000" w:themeColor="text1"/>
                      <w:kern w:val="2"/>
                      <w:sz w:val="21"/>
                      <w:szCs w:val="21"/>
                      <w:lang w:val="en-US" w:eastAsia="zh-CN" w:bidi="ar-SA"/>
                      <w14:textFill>
                        <w14:solidFill>
                          <w14:schemeClr w14:val="tx1"/>
                        </w14:solidFill>
                      </w14:textFill>
                    </w:rPr>
                    <w:t>废机油</w:t>
                  </w:r>
                </w:p>
              </w:tc>
              <w:tc>
                <w:tcPr>
                  <w:tcW w:w="926" w:type="dxa"/>
                  <w:shd w:val="clear" w:color="auto" w:fill="auto"/>
                  <w:vAlign w:val="center"/>
                </w:tcPr>
                <w:p w14:paraId="3C01AA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0.15</w:t>
                  </w:r>
                </w:p>
              </w:tc>
              <w:tc>
                <w:tcPr>
                  <w:tcW w:w="1062" w:type="dxa"/>
                  <w:shd w:val="clear" w:color="auto" w:fill="auto"/>
                  <w:vAlign w:val="center"/>
                </w:tcPr>
                <w:p w14:paraId="7879FB02">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textAlignment w:val="auto"/>
                    <w:rPr>
                      <w:rFonts w:hint="default" w:cs="Times New Roman"/>
                      <w:snapToGrid/>
                      <w:color w:val="auto"/>
                      <w:spacing w:val="0"/>
                      <w:kern w:val="0"/>
                      <w:position w:val="0"/>
                      <w:sz w:val="21"/>
                      <w:szCs w:val="21"/>
                      <w:lang w:val="en-US" w:eastAsia="zh-CN"/>
                    </w:rPr>
                  </w:pPr>
                  <w:r>
                    <w:rPr>
                      <w:rFonts w:hint="eastAsia" w:cs="Times New Roman"/>
                      <w:color w:val="000000" w:themeColor="text1"/>
                      <w:kern w:val="0"/>
                      <w:sz w:val="21"/>
                      <w:szCs w:val="21"/>
                      <w:lang w:val="en-US" w:eastAsia="zh-CN"/>
                      <w14:textFill>
                        <w14:solidFill>
                          <w14:schemeClr w14:val="tx1"/>
                        </w14:solidFill>
                      </w14:textFill>
                    </w:rPr>
                    <w:t>0.5</w:t>
                  </w:r>
                </w:p>
              </w:tc>
              <w:tc>
                <w:tcPr>
                  <w:tcW w:w="919" w:type="dxa"/>
                  <w:shd w:val="clear" w:color="auto" w:fill="auto"/>
                  <w:vAlign w:val="center"/>
                </w:tcPr>
                <w:p w14:paraId="629617FC">
                  <w:pPr>
                    <w:keepNext w:val="0"/>
                    <w:keepLines w:val="0"/>
                    <w:pageBreakBefore w:val="0"/>
                    <w:kinsoku/>
                    <w:wordWrap/>
                    <w:overflowPunct/>
                    <w:topLinePunct w:val="0"/>
                    <w:bidi w:val="0"/>
                    <w:spacing w:beforeLines="0" w:afterLines="0" w:line="240" w:lineRule="auto"/>
                    <w:ind w:left="0" w:leftChars="0" w:firstLine="0" w:firstLineChars="0"/>
                    <w:jc w:val="center"/>
                    <w:rPr>
                      <w:rFonts w:hint="eastAsia" w:ascii="Times New Roman" w:hAnsi="Times New Roman" w:cs="Times New Roman"/>
                      <w:b w:val="0"/>
                      <w:bCs/>
                      <w:color w:val="auto"/>
                      <w:kern w:val="2"/>
                      <w:sz w:val="21"/>
                      <w:szCs w:val="21"/>
                      <w:vertAlign w:val="baseline"/>
                      <w:lang w:val="en-US" w:eastAsia="zh-CN" w:bidi="ar-SA"/>
                    </w:rPr>
                  </w:pPr>
                  <w:r>
                    <w:rPr>
                      <w:rFonts w:hint="eastAsia" w:ascii="Times New Roman" w:hAnsi="Times New Roman" w:cs="Times New Roman"/>
                      <w:b w:val="0"/>
                      <w:bCs/>
                      <w:color w:val="auto"/>
                      <w:kern w:val="2"/>
                      <w:sz w:val="21"/>
                      <w:szCs w:val="21"/>
                      <w:vertAlign w:val="baseline"/>
                      <w:lang w:val="en-US" w:eastAsia="zh-CN" w:bidi="ar-SA"/>
                    </w:rPr>
                    <w:t>0</w:t>
                  </w:r>
                </w:p>
              </w:tc>
              <w:tc>
                <w:tcPr>
                  <w:tcW w:w="1236" w:type="dxa"/>
                  <w:shd w:val="clear" w:color="auto" w:fill="auto"/>
                  <w:vAlign w:val="center"/>
                </w:tcPr>
                <w:p w14:paraId="24891A21">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textAlignment w:val="auto"/>
                    <w:rPr>
                      <w:rFonts w:hint="default" w:cs="Times New Roman"/>
                      <w:snapToGrid/>
                      <w:color w:val="auto"/>
                      <w:spacing w:val="0"/>
                      <w:kern w:val="0"/>
                      <w:position w:val="0"/>
                      <w:sz w:val="21"/>
                      <w:szCs w:val="21"/>
                      <w:lang w:val="en-US" w:eastAsia="zh-CN"/>
                    </w:rPr>
                  </w:pPr>
                  <w:r>
                    <w:rPr>
                      <w:rFonts w:hint="eastAsia" w:cs="Times New Roman"/>
                      <w:color w:val="000000" w:themeColor="text1"/>
                      <w:kern w:val="0"/>
                      <w:sz w:val="21"/>
                      <w:szCs w:val="21"/>
                      <w:lang w:val="en-US" w:eastAsia="zh-CN"/>
                      <w14:textFill>
                        <w14:solidFill>
                          <w14:schemeClr w14:val="tx1"/>
                        </w14:solidFill>
                      </w14:textFill>
                    </w:rPr>
                    <w:t>0.65</w:t>
                  </w:r>
                </w:p>
              </w:tc>
              <w:tc>
                <w:tcPr>
                  <w:tcW w:w="1022" w:type="dxa"/>
                  <w:shd w:val="clear" w:color="auto" w:fill="auto"/>
                  <w:vAlign w:val="center"/>
                </w:tcPr>
                <w:p w14:paraId="7986A397">
                  <w:pPr>
                    <w:keepNext w:val="0"/>
                    <w:keepLines w:val="0"/>
                    <w:pageBreakBefore w:val="0"/>
                    <w:widowControl w:val="0"/>
                    <w:kinsoku/>
                    <w:wordWrap/>
                    <w:overflowPunct/>
                    <w:topLinePunct w:val="0"/>
                    <w:autoSpaceDE/>
                    <w:autoSpaceDN/>
                    <w:bidi w:val="0"/>
                    <w:spacing w:beforeAutospacing="0" w:afterAutospacing="0" w:line="240" w:lineRule="auto"/>
                    <w:ind w:firstLine="0" w:firstLineChars="0"/>
                    <w:jc w:val="center"/>
                    <w:textAlignment w:val="auto"/>
                    <w:rPr>
                      <w:rFonts w:hint="eastAsia" w:cs="Times New Roman"/>
                      <w:snapToGrid/>
                      <w:color w:val="auto"/>
                      <w:spacing w:val="0"/>
                      <w:kern w:val="0"/>
                      <w:position w:val="0"/>
                      <w:sz w:val="21"/>
                      <w:szCs w:val="21"/>
                      <w:lang w:val="en-US" w:eastAsia="zh-CN"/>
                    </w:rPr>
                  </w:pPr>
                  <w:r>
                    <w:rPr>
                      <w:rFonts w:hint="eastAsia" w:cs="Times New Roman"/>
                      <w:color w:val="000000" w:themeColor="text1"/>
                      <w:kern w:val="0"/>
                      <w:sz w:val="21"/>
                      <w:szCs w:val="21"/>
                      <w:lang w:val="en-US" w:eastAsia="zh-CN"/>
                      <w14:textFill>
                        <w14:solidFill>
                          <w14:schemeClr w14:val="tx1"/>
                        </w14:solidFill>
                      </w14:textFill>
                    </w:rPr>
                    <w:t>+0.5</w:t>
                  </w:r>
                </w:p>
              </w:tc>
            </w:tr>
          </w:tbl>
          <w:p w14:paraId="26C48565">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33C56B8C">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3FDC9C9A">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6C115F69">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3A684DCE">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4E213DBE">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5268A57E">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3D8764B2">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7363C689">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58C830B4">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7C23AD50">
            <w:pPr>
              <w:adjustRightInd w:val="0"/>
              <w:snapToGrid w:val="0"/>
              <w:spacing w:line="348" w:lineRule="auto"/>
              <w:ind w:firstLine="480" w:firstLineChars="200"/>
              <w:rPr>
                <w:color w:val="000000" w:themeColor="text1"/>
                <w:kern w:val="0"/>
                <w:sz w:val="24"/>
                <w:lang w:bidi="ar"/>
                <w14:textFill>
                  <w14:solidFill>
                    <w14:schemeClr w14:val="tx1"/>
                  </w14:solidFill>
                </w14:textFill>
              </w:rPr>
            </w:pPr>
          </w:p>
          <w:p w14:paraId="2FF17CAC">
            <w:pPr>
              <w:adjustRightInd w:val="0"/>
              <w:snapToGrid w:val="0"/>
              <w:spacing w:line="348" w:lineRule="auto"/>
              <w:rPr>
                <w:rFonts w:hint="eastAsia" w:eastAsia="宋体"/>
                <w:color w:val="000000" w:themeColor="text1"/>
                <w:kern w:val="0"/>
                <w:lang w:val="en-US" w:eastAsia="zh-CN"/>
                <w14:textFill>
                  <w14:solidFill>
                    <w14:schemeClr w14:val="tx1"/>
                  </w14:solidFill>
                </w14:textFill>
              </w:rPr>
            </w:pPr>
          </w:p>
        </w:tc>
      </w:tr>
    </w:tbl>
    <w:p w14:paraId="386DF475">
      <w:pPr>
        <w:pStyle w:val="24"/>
        <w:snapToGrid w:val="0"/>
        <w:spacing w:before="0" w:beforeAutospacing="0" w:after="0" w:afterAutospacing="0" w:line="360" w:lineRule="auto"/>
        <w:jc w:val="center"/>
        <w:outlineLvl w:val="0"/>
        <w:rPr>
          <w:rFonts w:ascii="Times New Roman" w:hAnsi="Times New Roman"/>
          <w:b/>
          <w:bCs/>
          <w:sz w:val="30"/>
          <w:szCs w:val="30"/>
        </w:rPr>
      </w:pPr>
      <w:r>
        <w:rPr>
          <w:rFonts w:ascii="Times New Roman" w:hAnsi="Times New Roman"/>
        </w:rPr>
        <w:br w:type="page"/>
      </w:r>
      <w:r>
        <w:rPr>
          <w:rFonts w:ascii="Times New Roman" w:hAnsi="Times New Roman"/>
          <w:b/>
          <w:bCs/>
          <w:sz w:val="30"/>
          <w:szCs w:val="30"/>
        </w:rPr>
        <w:t>六、结论</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241A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3" w:hRule="atLeast"/>
          <w:jc w:val="center"/>
        </w:trPr>
        <w:tc>
          <w:tcPr>
            <w:tcW w:w="8865" w:type="dxa"/>
            <w:tcBorders>
              <w:tl2br w:val="nil"/>
              <w:tr2bl w:val="nil"/>
            </w:tcBorders>
            <w:vAlign w:val="center"/>
          </w:tcPr>
          <w:p w14:paraId="3A5DC2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kern w:val="0"/>
                <w:sz w:val="24"/>
                <w14:textFill>
                  <w14:solidFill>
                    <w14:schemeClr w14:val="tx1"/>
                  </w14:solidFill>
                </w14:textFill>
              </w:rPr>
              <w:t>安徽</w:t>
            </w:r>
            <w:r>
              <w:rPr>
                <w:rFonts w:hint="eastAsia"/>
                <w:color w:val="000000" w:themeColor="text1"/>
                <w:kern w:val="0"/>
                <w:sz w:val="24"/>
                <w:lang w:eastAsia="zh-CN"/>
                <w14:textFill>
                  <w14:solidFill>
                    <w14:schemeClr w14:val="tx1"/>
                  </w14:solidFill>
                </w14:textFill>
              </w:rPr>
              <w:t>省</w:t>
            </w:r>
            <w:r>
              <w:rPr>
                <w:rFonts w:hint="eastAsia"/>
                <w:color w:val="000000" w:themeColor="text1"/>
                <w:kern w:val="0"/>
                <w:sz w:val="24"/>
                <w14:textFill>
                  <w14:solidFill>
                    <w14:schemeClr w14:val="tx1"/>
                  </w14:solidFill>
                </w14:textFill>
              </w:rPr>
              <w:t>红跃环保科技有限公司</w:t>
            </w:r>
            <w:r>
              <w:rPr>
                <w:rFonts w:hint="eastAsia"/>
                <w:color w:val="000000" w:themeColor="text1"/>
                <w:kern w:val="0"/>
                <w:sz w:val="24"/>
                <w:lang w:eastAsia="zh-CN"/>
                <w14:textFill>
                  <w14:solidFill>
                    <w14:schemeClr w14:val="tx1"/>
                  </w14:solidFill>
                </w14:textFill>
              </w:rPr>
              <w:t>宿州分公司</w:t>
            </w:r>
            <w:r>
              <w:rPr>
                <w:rFonts w:hint="eastAsia"/>
                <w:color w:val="000000" w:themeColor="text1"/>
                <w:kern w:val="0"/>
                <w:sz w:val="24"/>
                <w14:textFill>
                  <w14:solidFill>
                    <w14:schemeClr w14:val="tx1"/>
                  </w14:solidFill>
                </w14:textFill>
              </w:rPr>
              <w:t>道路建养材料技术改造项目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的建设</w:t>
            </w:r>
            <w:r>
              <w:rPr>
                <w:rFonts w:hint="default" w:ascii="Times New Roman" w:hAnsi="Times New Roman" w:eastAsia="宋体" w:cs="Times New Roman"/>
                <w:color w:val="000000" w:themeColor="text1"/>
                <w:sz w:val="24"/>
                <w:szCs w:val="28"/>
                <w14:textFill>
                  <w14:solidFill>
                    <w14:schemeClr w14:val="tx1"/>
                  </w14:solidFill>
                </w14:textFill>
              </w:rPr>
              <w:t>符合国家产业政策要求</w:t>
            </w:r>
            <w:r>
              <w:rPr>
                <w:rFonts w:hint="default" w:ascii="Times New Roman" w:hAnsi="Times New Roman" w:eastAsia="宋体" w:cs="Times New Roman"/>
                <w:color w:val="000000" w:themeColor="text1"/>
                <w:sz w:val="24"/>
                <w:szCs w:val="24"/>
                <w:lang w:eastAsia="zh-CN"/>
                <w14:textFill>
                  <w14:solidFill>
                    <w14:schemeClr w14:val="tx1"/>
                  </w14:solidFill>
                </w14:textFill>
              </w:rPr>
              <w:t>，只要工程在运行期严格执行有关环保法规规定，切实落实报告提出的各项污染防治措施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rPr>
              <w:t>在</w:t>
            </w:r>
            <w:r>
              <w:rPr>
                <w:rFonts w:hint="eastAsia" w:ascii="Times New Roman" w:hAnsi="Times New Roman" w:eastAsia="宋体"/>
                <w:color w:val="auto"/>
                <w:sz w:val="24"/>
                <w:szCs w:val="24"/>
                <w:lang w:eastAsia="zh-CN"/>
              </w:rPr>
              <w:t>确保污染物达标排放</w:t>
            </w:r>
            <w:r>
              <w:rPr>
                <w:sz w:val="24"/>
              </w:rPr>
              <w:t>的前提下，本项目的建设对周围环境的不利影响较小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8"/>
              </w:rPr>
              <w:t>因而从环境保护的角度而言，该项目是可行的。</w:t>
            </w:r>
          </w:p>
          <w:p w14:paraId="558E4975">
            <w:pPr>
              <w:spacing w:line="360" w:lineRule="auto"/>
              <w:ind w:firstLine="420" w:firstLineChars="200"/>
              <w:rPr>
                <w:kern w:val="0"/>
              </w:rPr>
            </w:pPr>
          </w:p>
        </w:tc>
      </w:tr>
    </w:tbl>
    <w:p w14:paraId="599A777A">
      <w:pPr>
        <w:rPr>
          <w:kern w:val="0"/>
        </w:rPr>
        <w:sectPr>
          <w:pgSz w:w="11906" w:h="16838"/>
          <w:pgMar w:top="1440" w:right="1803" w:bottom="1440" w:left="1803" w:header="851" w:footer="851" w:gutter="0"/>
          <w:cols w:space="720" w:num="1"/>
          <w:docGrid w:linePitch="312" w:charSpace="0"/>
        </w:sectPr>
      </w:pPr>
    </w:p>
    <w:p w14:paraId="6769F0EA">
      <w:pPr>
        <w:pStyle w:val="24"/>
        <w:adjustRightInd w:val="0"/>
        <w:snapToGrid w:val="0"/>
        <w:spacing w:before="0" w:beforeAutospacing="0" w:after="0" w:afterAutospacing="0" w:line="288" w:lineRule="auto"/>
        <w:outlineLvl w:val="0"/>
        <w:rPr>
          <w:rFonts w:ascii="Times New Roman" w:hAnsi="Times New Roman"/>
          <w:b/>
          <w:bCs/>
          <w:sz w:val="32"/>
          <w:szCs w:val="32"/>
        </w:rPr>
      </w:pPr>
      <w:r>
        <w:rPr>
          <w:rFonts w:ascii="Times New Roman" w:hAnsi="Times New Roman"/>
          <w:b/>
          <w:bCs/>
          <w:sz w:val="32"/>
          <w:szCs w:val="32"/>
        </w:rPr>
        <w:t>附表</w:t>
      </w:r>
    </w:p>
    <w:p w14:paraId="65BF516C">
      <w:pPr>
        <w:pStyle w:val="24"/>
        <w:adjustRightInd w:val="0"/>
        <w:snapToGrid w:val="0"/>
        <w:spacing w:before="0" w:beforeAutospacing="0" w:after="0" w:afterAutospacing="0" w:line="360" w:lineRule="auto"/>
        <w:jc w:val="center"/>
        <w:outlineLvl w:val="0"/>
        <w:rPr>
          <w:rFonts w:cs="宋体"/>
          <w:b/>
          <w:bCs/>
          <w:sz w:val="38"/>
          <w:szCs w:val="38"/>
        </w:rPr>
      </w:pPr>
      <w:r>
        <w:rPr>
          <w:rFonts w:hint="eastAsia" w:cs="宋体"/>
          <w:b/>
          <w:bCs/>
          <w:sz w:val="38"/>
          <w:szCs w:val="38"/>
        </w:rPr>
        <w:t>建设项目污染物排放量汇总表</w:t>
      </w:r>
    </w:p>
    <w:tbl>
      <w:tblPr>
        <w:tblStyle w:val="2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365"/>
        <w:gridCol w:w="1337"/>
        <w:gridCol w:w="1795"/>
        <w:gridCol w:w="1593"/>
        <w:gridCol w:w="1579"/>
        <w:gridCol w:w="1870"/>
        <w:gridCol w:w="1408"/>
        <w:gridCol w:w="1408"/>
      </w:tblGrid>
      <w:tr w14:paraId="52987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tcBorders>
              <w:tl2br w:val="single" w:color="auto" w:sz="4" w:space="0"/>
            </w:tcBorders>
            <w:tcMar>
              <w:left w:w="28" w:type="dxa"/>
              <w:right w:w="28" w:type="dxa"/>
            </w:tcMar>
            <w:vAlign w:val="center"/>
          </w:tcPr>
          <w:p w14:paraId="6D7C93AA">
            <w:pPr>
              <w:pStyle w:val="42"/>
              <w:keepNext w:val="0"/>
              <w:keepLines w:val="0"/>
              <w:pageBreakBefore w:val="0"/>
              <w:widowControl w:val="0"/>
              <w:kinsoku/>
              <w:wordWrap/>
              <w:overflowPunct/>
              <w:topLinePunct w:val="0"/>
              <w:autoSpaceDE/>
              <w:autoSpaceDN/>
              <w:bidi w:val="0"/>
              <w:spacing w:beforeLines="0" w:afterLines="0" w:line="240" w:lineRule="auto"/>
              <w:ind w:left="480" w:leftChars="0"/>
              <w:jc w:val="right"/>
              <w:textAlignment w:val="auto"/>
              <w:rPr>
                <w:rFonts w:ascii="Times New Roman"/>
                <w:color w:val="auto"/>
                <w:sz w:val="24"/>
                <w:szCs w:val="24"/>
              </w:rPr>
            </w:pPr>
            <w:r>
              <w:rPr>
                <w:rFonts w:ascii="Times New Roman"/>
                <w:color w:val="auto"/>
                <w:sz w:val="24"/>
                <w:szCs w:val="24"/>
              </w:rPr>
              <w:t>项目</w:t>
            </w:r>
          </w:p>
          <w:p w14:paraId="6284E9BA">
            <w:pPr>
              <w:pStyle w:val="42"/>
              <w:keepNext w:val="0"/>
              <w:keepLines w:val="0"/>
              <w:pageBreakBefore w:val="0"/>
              <w:widowControl w:val="0"/>
              <w:kinsoku/>
              <w:wordWrap/>
              <w:overflowPunct/>
              <w:topLinePunct w:val="0"/>
              <w:autoSpaceDE/>
              <w:autoSpaceDN/>
              <w:bidi w:val="0"/>
              <w:spacing w:beforeLines="0" w:afterLines="0" w:line="240" w:lineRule="auto"/>
              <w:ind w:left="480" w:leftChars="0"/>
              <w:jc w:val="left"/>
              <w:textAlignment w:val="auto"/>
              <w:rPr>
                <w:rFonts w:ascii="Times New Roman"/>
                <w:color w:val="auto"/>
                <w:sz w:val="24"/>
                <w:szCs w:val="24"/>
              </w:rPr>
            </w:pPr>
            <w:r>
              <w:rPr>
                <w:rFonts w:ascii="Times New Roman"/>
                <w:color w:val="auto"/>
                <w:sz w:val="24"/>
                <w:szCs w:val="24"/>
              </w:rPr>
              <w:t>分类</w:t>
            </w:r>
          </w:p>
        </w:tc>
        <w:tc>
          <w:tcPr>
            <w:tcW w:w="487" w:type="pct"/>
            <w:tcMar>
              <w:left w:w="28" w:type="dxa"/>
              <w:right w:w="28" w:type="dxa"/>
            </w:tcMar>
            <w:vAlign w:val="center"/>
          </w:tcPr>
          <w:p w14:paraId="452ACC09">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污染物名称</w:t>
            </w:r>
          </w:p>
        </w:tc>
        <w:tc>
          <w:tcPr>
            <w:tcW w:w="477" w:type="pct"/>
            <w:tcMar>
              <w:left w:w="28" w:type="dxa"/>
              <w:right w:w="28" w:type="dxa"/>
            </w:tcMar>
            <w:vAlign w:val="center"/>
          </w:tcPr>
          <w:p w14:paraId="5DF59F6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现有工程排放量（固体废物产生量）</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1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①</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c>
          <w:tcPr>
            <w:tcW w:w="640" w:type="pct"/>
            <w:tcMar>
              <w:left w:w="28" w:type="dxa"/>
              <w:right w:w="28" w:type="dxa"/>
            </w:tcMar>
            <w:vAlign w:val="center"/>
          </w:tcPr>
          <w:p w14:paraId="748E08AA">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现有工程</w:t>
            </w:r>
          </w:p>
          <w:p w14:paraId="330BC0AF">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许可排放量</w:t>
            </w:r>
          </w:p>
          <w:p w14:paraId="16D792C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2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②</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c>
          <w:tcPr>
            <w:tcW w:w="568" w:type="pct"/>
            <w:tcMar>
              <w:left w:w="28" w:type="dxa"/>
              <w:right w:w="28" w:type="dxa"/>
            </w:tcMar>
            <w:vAlign w:val="center"/>
          </w:tcPr>
          <w:p w14:paraId="60D462A0">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在建工程排放量（固体废物产生量）</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3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③</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c>
          <w:tcPr>
            <w:tcW w:w="563" w:type="pct"/>
            <w:tcMar>
              <w:left w:w="28" w:type="dxa"/>
              <w:right w:w="28" w:type="dxa"/>
            </w:tcMar>
            <w:vAlign w:val="center"/>
          </w:tcPr>
          <w:p w14:paraId="153827F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本项目排放量（固体废物产生量）</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4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④</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c>
          <w:tcPr>
            <w:tcW w:w="667" w:type="pct"/>
            <w:tcMar>
              <w:left w:w="28" w:type="dxa"/>
              <w:right w:w="28" w:type="dxa"/>
            </w:tcMar>
            <w:vAlign w:val="center"/>
          </w:tcPr>
          <w:p w14:paraId="169DDB91">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以新带老削减量（新建项目不填）</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5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⑤</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c>
          <w:tcPr>
            <w:tcW w:w="502" w:type="pct"/>
            <w:tcMar>
              <w:left w:w="28" w:type="dxa"/>
              <w:right w:w="28" w:type="dxa"/>
            </w:tcMar>
            <w:vAlign w:val="center"/>
          </w:tcPr>
          <w:p w14:paraId="6072609E">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ascii="Times New Roman"/>
                <w:color w:val="auto"/>
                <w:sz w:val="24"/>
                <w:szCs w:val="24"/>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本项目建成后全厂排放量（固体废物产生量）</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6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⑥</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c>
          <w:tcPr>
            <w:tcW w:w="502" w:type="pct"/>
            <w:tcMar>
              <w:left w:w="28" w:type="dxa"/>
              <w:right w:w="28" w:type="dxa"/>
            </w:tcMar>
            <w:vAlign w:val="center"/>
          </w:tcPr>
          <w:p w14:paraId="344A507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变化量</w:t>
            </w:r>
          </w:p>
          <w:p w14:paraId="5B9A30A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pP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begin"/>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instrText xml:space="preserve"> = 7 \* GB3 \* MERGEFORMAT </w:instrTex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separate"/>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t>⑦</w:t>
            </w:r>
            <w:r>
              <w:rPr>
                <w:rFonts w:hint="default" w:ascii="Times New Roman" w:hAnsi="Times New Roman" w:eastAsia="宋体" w:cs="Times New Roman"/>
                <w:snapToGrid/>
                <w:color w:val="000000" w:themeColor="text1"/>
                <w:spacing w:val="0"/>
                <w:kern w:val="0"/>
                <w:position w:val="0"/>
                <w:sz w:val="24"/>
                <w:szCs w:val="24"/>
                <w14:textFill>
                  <w14:solidFill>
                    <w14:schemeClr w14:val="tx1"/>
                  </w14:solidFill>
                </w14:textFill>
              </w:rPr>
              <w:fldChar w:fldCharType="end"/>
            </w:r>
          </w:p>
        </w:tc>
      </w:tr>
      <w:tr w14:paraId="29000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Align w:val="center"/>
          </w:tcPr>
          <w:p w14:paraId="178E4C3A">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废气</w:t>
            </w:r>
          </w:p>
        </w:tc>
        <w:tc>
          <w:tcPr>
            <w:tcW w:w="487" w:type="pct"/>
            <w:vAlign w:val="center"/>
          </w:tcPr>
          <w:p w14:paraId="6B7D023F">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eastAsia="宋体"/>
                <w:color w:val="auto"/>
                <w:sz w:val="24"/>
                <w:szCs w:val="24"/>
                <w:lang w:eastAsia="zh-CN"/>
              </w:rPr>
            </w:pPr>
            <w:r>
              <w:rPr>
                <w:rFonts w:hint="eastAsia" w:ascii="Times New Roman"/>
                <w:color w:val="auto"/>
                <w:sz w:val="24"/>
                <w:szCs w:val="24"/>
                <w:lang w:eastAsia="zh-CN"/>
              </w:rPr>
              <w:t>颗粒物</w:t>
            </w:r>
          </w:p>
        </w:tc>
        <w:tc>
          <w:tcPr>
            <w:tcW w:w="477" w:type="pct"/>
            <w:vAlign w:val="center"/>
          </w:tcPr>
          <w:p w14:paraId="36B7D536">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rFonts w:hint="default" w:ascii="Times New Roman" w:eastAsia="宋体"/>
                <w:color w:val="auto"/>
                <w:sz w:val="24"/>
                <w:szCs w:val="24"/>
                <w:lang w:val="en-US" w:eastAsia="zh-CN"/>
              </w:rPr>
            </w:pPr>
            <w:r>
              <w:rPr>
                <w:rFonts w:hint="eastAsia" w:ascii="Times New Roman"/>
                <w:color w:val="auto"/>
                <w:sz w:val="24"/>
                <w:szCs w:val="24"/>
                <w:lang w:val="en-US" w:eastAsia="zh-CN"/>
              </w:rPr>
              <w:t>0.06</w:t>
            </w:r>
            <w:r>
              <w:rPr>
                <w:rFonts w:hint="default" w:ascii="Times New Roman" w:hAnsi="Times New Roman" w:cs="Times New Roman"/>
                <w:color w:val="auto"/>
                <w:kern w:val="0"/>
                <w:sz w:val="24"/>
                <w:szCs w:val="24"/>
              </w:rPr>
              <w:t>t/a</w:t>
            </w:r>
          </w:p>
        </w:tc>
        <w:tc>
          <w:tcPr>
            <w:tcW w:w="640" w:type="pct"/>
            <w:vAlign w:val="center"/>
          </w:tcPr>
          <w:p w14:paraId="04770B94">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D6074AA">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hAnsi="Times New Roman" w:eastAsia="宋体" w:cs="Times New Roman"/>
                <w:color w:val="auto"/>
                <w:kern w:val="2"/>
                <w:sz w:val="24"/>
                <w:szCs w:val="24"/>
                <w:lang w:val="en-US" w:eastAsia="zh-CN"/>
              </w:rPr>
            </w:pPr>
            <w:r>
              <w:rPr>
                <w:rFonts w:hint="eastAsia" w:ascii="Times New Roman" w:cs="Times New Roman"/>
                <w:color w:val="auto"/>
                <w:kern w:val="2"/>
                <w:sz w:val="24"/>
                <w:szCs w:val="24"/>
                <w:lang w:val="en-US" w:eastAsia="zh-CN"/>
              </w:rPr>
              <w:t>/</w:t>
            </w:r>
          </w:p>
        </w:tc>
        <w:tc>
          <w:tcPr>
            <w:tcW w:w="563" w:type="pct"/>
            <w:vAlign w:val="center"/>
          </w:tcPr>
          <w:p w14:paraId="4CDCAAF3">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rFonts w:hint="eastAsia" w:ascii="Times New Roman" w:hAnsi="Times New Roman" w:eastAsia="宋体" w:cs="Times New Roman"/>
                <w:color w:val="auto"/>
                <w:sz w:val="24"/>
                <w:szCs w:val="24"/>
                <w:lang w:eastAsia="zh-CN"/>
              </w:rPr>
            </w:pPr>
            <w:r>
              <w:rPr>
                <w:rFonts w:hint="eastAsia" w:ascii="Times New Roman" w:cs="Times New Roman"/>
                <w:color w:val="auto"/>
                <w:kern w:val="2"/>
                <w:sz w:val="24"/>
                <w:szCs w:val="24"/>
                <w:lang w:val="en-US" w:eastAsia="zh-CN"/>
              </w:rPr>
              <w:t>0.4138</w:t>
            </w:r>
            <w:r>
              <w:rPr>
                <w:rFonts w:hint="default" w:ascii="Times New Roman" w:hAnsi="Times New Roman" w:cs="Times New Roman"/>
                <w:color w:val="auto"/>
                <w:kern w:val="0"/>
                <w:sz w:val="24"/>
                <w:szCs w:val="24"/>
              </w:rPr>
              <w:t>t/a</w:t>
            </w:r>
          </w:p>
        </w:tc>
        <w:tc>
          <w:tcPr>
            <w:tcW w:w="667" w:type="pct"/>
            <w:vAlign w:val="center"/>
          </w:tcPr>
          <w:p w14:paraId="7A9A66F3">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cs="Times New Roman"/>
                <w:color w:val="auto"/>
                <w:sz w:val="24"/>
                <w:szCs w:val="24"/>
              </w:rPr>
            </w:pPr>
            <w:r>
              <w:rPr>
                <w:rFonts w:hint="eastAsia" w:cs="Times New Roman"/>
                <w:color w:val="auto"/>
                <w:kern w:val="2"/>
                <w:sz w:val="24"/>
                <w:szCs w:val="24"/>
                <w:lang w:val="en-US" w:eastAsia="zh-CN"/>
              </w:rPr>
              <w:t>0.05</w:t>
            </w:r>
            <w:r>
              <w:rPr>
                <w:rFonts w:hint="default" w:ascii="Times New Roman" w:hAnsi="Times New Roman" w:cs="Times New Roman"/>
                <w:color w:val="auto"/>
                <w:kern w:val="0"/>
                <w:sz w:val="24"/>
                <w:szCs w:val="24"/>
              </w:rPr>
              <w:t>t/a</w:t>
            </w:r>
          </w:p>
        </w:tc>
        <w:tc>
          <w:tcPr>
            <w:tcW w:w="502" w:type="pct"/>
            <w:vAlign w:val="center"/>
          </w:tcPr>
          <w:p w14:paraId="133BF3AF">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cs="Times New Roman"/>
                <w:color w:val="auto"/>
                <w:sz w:val="24"/>
                <w:szCs w:val="24"/>
              </w:rPr>
            </w:pPr>
            <w:r>
              <w:rPr>
                <w:rFonts w:hint="eastAsia" w:cs="Times New Roman"/>
                <w:color w:val="auto"/>
                <w:kern w:val="2"/>
                <w:sz w:val="24"/>
                <w:szCs w:val="24"/>
                <w:lang w:val="en-US" w:eastAsia="zh-CN"/>
              </w:rPr>
              <w:t>+0.4238</w:t>
            </w:r>
            <w:r>
              <w:rPr>
                <w:rFonts w:hint="default" w:ascii="Times New Roman" w:hAnsi="Times New Roman" w:cs="Times New Roman"/>
                <w:color w:val="auto"/>
                <w:kern w:val="0"/>
                <w:sz w:val="24"/>
                <w:szCs w:val="24"/>
              </w:rPr>
              <w:t>t/a</w:t>
            </w:r>
          </w:p>
        </w:tc>
        <w:tc>
          <w:tcPr>
            <w:tcW w:w="502" w:type="pct"/>
            <w:vAlign w:val="center"/>
          </w:tcPr>
          <w:p w14:paraId="1DD5C461">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cs="Times New Roman"/>
                <w:color w:val="auto"/>
                <w:kern w:val="2"/>
                <w:sz w:val="24"/>
                <w:szCs w:val="24"/>
                <w:lang w:val="en-US" w:eastAsia="zh-CN"/>
              </w:rPr>
            </w:pPr>
            <w:r>
              <w:rPr>
                <w:rFonts w:hint="eastAsia" w:cs="Times New Roman"/>
                <w:color w:val="auto"/>
                <w:kern w:val="2"/>
                <w:sz w:val="24"/>
                <w:szCs w:val="24"/>
                <w:lang w:val="en-US" w:eastAsia="zh-CN"/>
              </w:rPr>
              <w:t>+0.3638</w:t>
            </w:r>
            <w:r>
              <w:rPr>
                <w:rFonts w:hint="default" w:ascii="Times New Roman" w:hAnsi="Times New Roman" w:cs="Times New Roman"/>
                <w:color w:val="auto"/>
                <w:kern w:val="0"/>
                <w:sz w:val="24"/>
                <w:szCs w:val="24"/>
              </w:rPr>
              <w:t>t/a</w:t>
            </w:r>
          </w:p>
        </w:tc>
      </w:tr>
      <w:tr w14:paraId="669FC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restart"/>
            <w:vAlign w:val="center"/>
          </w:tcPr>
          <w:p w14:paraId="12A1CAE1">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废水</w:t>
            </w:r>
          </w:p>
        </w:tc>
        <w:tc>
          <w:tcPr>
            <w:tcW w:w="487" w:type="pct"/>
            <w:vAlign w:val="center"/>
          </w:tcPr>
          <w:p w14:paraId="47C0824D">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color w:val="auto"/>
                <w:kern w:val="0"/>
                <w:sz w:val="24"/>
                <w:szCs w:val="24"/>
              </w:rPr>
            </w:pPr>
            <w:r>
              <w:rPr>
                <w:rFonts w:hint="eastAsia"/>
                <w:color w:val="auto"/>
                <w:kern w:val="0"/>
                <w:sz w:val="24"/>
                <w:szCs w:val="24"/>
              </w:rPr>
              <w:t>COD</w:t>
            </w:r>
          </w:p>
        </w:tc>
        <w:tc>
          <w:tcPr>
            <w:tcW w:w="477" w:type="pct"/>
            <w:vAlign w:val="center"/>
          </w:tcPr>
          <w:p w14:paraId="0EE6947D">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color w:val="auto"/>
                <w:kern w:val="0"/>
                <w:sz w:val="24"/>
                <w:szCs w:val="24"/>
              </w:rPr>
            </w:pPr>
            <w:r>
              <w:rPr>
                <w:rFonts w:hint="eastAsia" w:ascii="Times New Roman"/>
                <w:color w:val="auto"/>
                <w:sz w:val="24"/>
                <w:szCs w:val="24"/>
              </w:rPr>
              <w:t>/</w:t>
            </w:r>
          </w:p>
        </w:tc>
        <w:tc>
          <w:tcPr>
            <w:tcW w:w="640" w:type="pct"/>
            <w:vAlign w:val="center"/>
          </w:tcPr>
          <w:p w14:paraId="18865ADD">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82A8563">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宋体"/>
                <w:color w:val="auto"/>
                <w:sz w:val="24"/>
                <w:szCs w:val="24"/>
                <w:lang w:val="en-US" w:eastAsia="zh-CN"/>
              </w:rPr>
            </w:pPr>
            <w:r>
              <w:rPr>
                <w:rFonts w:hint="eastAsia"/>
                <w:color w:val="auto"/>
                <w:sz w:val="24"/>
                <w:szCs w:val="24"/>
                <w:lang w:val="en-US" w:eastAsia="zh-CN"/>
              </w:rPr>
              <w:t>/</w:t>
            </w:r>
          </w:p>
        </w:tc>
        <w:tc>
          <w:tcPr>
            <w:tcW w:w="563" w:type="pct"/>
            <w:vAlign w:val="center"/>
          </w:tcPr>
          <w:p w14:paraId="0F22A37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color w:val="auto"/>
                <w:sz w:val="24"/>
                <w:szCs w:val="24"/>
              </w:rPr>
            </w:pPr>
            <w:r>
              <w:rPr>
                <w:rFonts w:hint="eastAsia"/>
                <w:color w:val="auto"/>
                <w:sz w:val="24"/>
                <w:szCs w:val="24"/>
                <w:lang w:val="en-US" w:eastAsia="zh-CN"/>
              </w:rPr>
              <w:t>/</w:t>
            </w:r>
          </w:p>
        </w:tc>
        <w:tc>
          <w:tcPr>
            <w:tcW w:w="667" w:type="pct"/>
            <w:vAlign w:val="center"/>
          </w:tcPr>
          <w:p w14:paraId="025D34B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6D26E371">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0F21DC7F">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color w:val="auto"/>
                <w:kern w:val="0"/>
                <w:sz w:val="24"/>
                <w:szCs w:val="24"/>
                <w:lang w:val="en-US" w:eastAsia="zh-CN"/>
              </w:rPr>
            </w:pPr>
            <w:r>
              <w:rPr>
                <w:rFonts w:hint="eastAsia"/>
                <w:color w:val="auto"/>
                <w:kern w:val="0"/>
                <w:sz w:val="24"/>
                <w:szCs w:val="24"/>
                <w:lang w:val="en-US" w:eastAsia="zh-CN"/>
              </w:rPr>
              <w:t>/</w:t>
            </w:r>
          </w:p>
        </w:tc>
      </w:tr>
      <w:tr w14:paraId="52ACF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61DC8A5F">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343DDF5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color w:val="auto"/>
                <w:kern w:val="0"/>
                <w:sz w:val="24"/>
                <w:szCs w:val="24"/>
              </w:rPr>
            </w:pPr>
            <w:r>
              <w:rPr>
                <w:color w:val="auto"/>
                <w:kern w:val="0"/>
                <w:sz w:val="24"/>
                <w:szCs w:val="24"/>
              </w:rPr>
              <w:t>NH</w:t>
            </w:r>
            <w:r>
              <w:rPr>
                <w:color w:val="auto"/>
                <w:kern w:val="0"/>
                <w:sz w:val="24"/>
                <w:szCs w:val="24"/>
                <w:vertAlign w:val="subscript"/>
              </w:rPr>
              <w:t>3</w:t>
            </w:r>
            <w:r>
              <w:rPr>
                <w:color w:val="auto"/>
                <w:kern w:val="0"/>
                <w:sz w:val="24"/>
                <w:szCs w:val="24"/>
              </w:rPr>
              <w:t>-N</w:t>
            </w:r>
          </w:p>
        </w:tc>
        <w:tc>
          <w:tcPr>
            <w:tcW w:w="477" w:type="pct"/>
            <w:vAlign w:val="center"/>
          </w:tcPr>
          <w:p w14:paraId="56225C0A">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color w:val="auto"/>
                <w:kern w:val="0"/>
                <w:sz w:val="24"/>
                <w:szCs w:val="24"/>
              </w:rPr>
            </w:pPr>
            <w:r>
              <w:rPr>
                <w:rFonts w:hint="eastAsia" w:ascii="Times New Roman"/>
                <w:color w:val="auto"/>
                <w:sz w:val="24"/>
                <w:szCs w:val="24"/>
              </w:rPr>
              <w:t>/</w:t>
            </w:r>
          </w:p>
        </w:tc>
        <w:tc>
          <w:tcPr>
            <w:tcW w:w="640" w:type="pct"/>
            <w:vAlign w:val="center"/>
          </w:tcPr>
          <w:p w14:paraId="0A74A1B0">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D5BC4B7">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宋体"/>
                <w:color w:val="auto"/>
                <w:sz w:val="24"/>
                <w:szCs w:val="24"/>
                <w:lang w:val="en-US" w:eastAsia="zh-CN"/>
              </w:rPr>
            </w:pPr>
            <w:r>
              <w:rPr>
                <w:rFonts w:hint="eastAsia"/>
                <w:color w:val="auto"/>
                <w:sz w:val="24"/>
                <w:szCs w:val="24"/>
                <w:lang w:val="en-US" w:eastAsia="zh-CN"/>
              </w:rPr>
              <w:t>/</w:t>
            </w:r>
          </w:p>
        </w:tc>
        <w:tc>
          <w:tcPr>
            <w:tcW w:w="563" w:type="pct"/>
            <w:vAlign w:val="center"/>
          </w:tcPr>
          <w:p w14:paraId="4A6FE9FB">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ascii="Times New Roman"/>
                <w:color w:val="auto"/>
                <w:sz w:val="24"/>
                <w:szCs w:val="24"/>
              </w:rPr>
            </w:pPr>
            <w:r>
              <w:rPr>
                <w:rFonts w:hint="eastAsia"/>
                <w:color w:val="auto"/>
                <w:sz w:val="24"/>
                <w:szCs w:val="24"/>
                <w:lang w:val="en-US" w:eastAsia="zh-CN"/>
              </w:rPr>
              <w:t>/</w:t>
            </w:r>
          </w:p>
        </w:tc>
        <w:tc>
          <w:tcPr>
            <w:tcW w:w="667" w:type="pct"/>
            <w:vAlign w:val="center"/>
          </w:tcPr>
          <w:p w14:paraId="5E3BA814">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1F2730F6">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02" w:type="pct"/>
            <w:vAlign w:val="center"/>
          </w:tcPr>
          <w:p w14:paraId="75554415">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color w:val="auto"/>
                <w:kern w:val="0"/>
                <w:sz w:val="24"/>
                <w:szCs w:val="24"/>
                <w:lang w:val="en-US" w:eastAsia="zh-CN"/>
              </w:rPr>
            </w:pPr>
            <w:r>
              <w:rPr>
                <w:rFonts w:hint="eastAsia"/>
                <w:color w:val="auto"/>
                <w:kern w:val="0"/>
                <w:sz w:val="24"/>
                <w:szCs w:val="24"/>
                <w:lang w:val="en-US" w:eastAsia="zh-CN"/>
              </w:rPr>
              <w:t>/</w:t>
            </w:r>
          </w:p>
        </w:tc>
      </w:tr>
      <w:tr w14:paraId="515A4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restart"/>
            <w:vAlign w:val="center"/>
          </w:tcPr>
          <w:p w14:paraId="5782121C">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一般工业</w:t>
            </w:r>
          </w:p>
          <w:p w14:paraId="67033C0F">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固体废物</w:t>
            </w:r>
          </w:p>
        </w:tc>
        <w:tc>
          <w:tcPr>
            <w:tcW w:w="487" w:type="pct"/>
            <w:vAlign w:val="center"/>
          </w:tcPr>
          <w:p w14:paraId="6013F205">
            <w:pPr>
              <w:keepNext w:val="0"/>
              <w:keepLines w:val="0"/>
              <w:pageBreakBefore w:val="0"/>
              <w:widowControl w:val="0"/>
              <w:kinsoku/>
              <w:wordWrap/>
              <w:overflowPunct/>
              <w:topLinePunct w:val="0"/>
              <w:autoSpaceDE/>
              <w:autoSpaceDN/>
              <w:bidi w:val="0"/>
              <w:spacing w:line="240" w:lineRule="auto"/>
              <w:ind w:left="0" w:leftChars="0"/>
              <w:jc w:val="center"/>
              <w:textAlignment w:val="auto"/>
              <w:rPr>
                <w:color w:val="auto"/>
                <w:kern w:val="0"/>
                <w:sz w:val="24"/>
                <w:szCs w:val="24"/>
              </w:rPr>
            </w:pPr>
            <w:r>
              <w:rPr>
                <w:color w:val="auto"/>
                <w:kern w:val="0"/>
                <w:sz w:val="24"/>
                <w:szCs w:val="24"/>
              </w:rPr>
              <w:t>生活垃圾</w:t>
            </w:r>
          </w:p>
        </w:tc>
        <w:tc>
          <w:tcPr>
            <w:tcW w:w="477" w:type="pct"/>
            <w:vAlign w:val="center"/>
          </w:tcPr>
          <w:p w14:paraId="5F32DA68">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color w:val="auto"/>
                <w:kern w:val="0"/>
                <w:sz w:val="24"/>
                <w:szCs w:val="24"/>
              </w:rPr>
            </w:pPr>
            <w:r>
              <w:rPr>
                <w:rFonts w:hint="eastAsia" w:ascii="Times New Roman"/>
                <w:color w:val="auto"/>
                <w:sz w:val="24"/>
                <w:szCs w:val="24"/>
              </w:rPr>
              <w:t>1.5</w:t>
            </w:r>
            <w:r>
              <w:rPr>
                <w:rFonts w:hint="default" w:ascii="Times New Roman"/>
                <w:color w:val="auto"/>
                <w:sz w:val="24"/>
                <w:szCs w:val="24"/>
              </w:rPr>
              <w:t>t/a</w:t>
            </w:r>
          </w:p>
        </w:tc>
        <w:tc>
          <w:tcPr>
            <w:tcW w:w="640" w:type="pct"/>
            <w:vAlign w:val="center"/>
          </w:tcPr>
          <w:p w14:paraId="6AFCF9E0">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7AA24B5B">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snapToGrid w:val="0"/>
                <w:color w:val="auto"/>
                <w:kern w:val="21"/>
                <w:sz w:val="24"/>
                <w:szCs w:val="24"/>
                <w:lang w:val="en-US" w:eastAsia="zh-CN"/>
              </w:rPr>
            </w:pPr>
            <w:r>
              <w:rPr>
                <w:rFonts w:hint="eastAsia"/>
                <w:snapToGrid w:val="0"/>
                <w:color w:val="auto"/>
                <w:kern w:val="21"/>
                <w:sz w:val="24"/>
                <w:szCs w:val="24"/>
                <w:lang w:val="en-US" w:eastAsia="zh-CN"/>
              </w:rPr>
              <w:t>/</w:t>
            </w:r>
          </w:p>
        </w:tc>
        <w:tc>
          <w:tcPr>
            <w:tcW w:w="563" w:type="pct"/>
            <w:vAlign w:val="center"/>
          </w:tcPr>
          <w:p w14:paraId="1279E61B">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eastAsia="宋体"/>
                <w:color w:val="auto"/>
                <w:sz w:val="24"/>
                <w:szCs w:val="24"/>
                <w:lang w:eastAsia="zh-CN"/>
              </w:rPr>
            </w:pPr>
            <w:r>
              <w:rPr>
                <w:rFonts w:hint="eastAsia"/>
                <w:color w:val="auto"/>
                <w:kern w:val="0"/>
                <w:sz w:val="24"/>
                <w:szCs w:val="24"/>
                <w:lang w:val="en-US" w:eastAsia="zh-CN"/>
              </w:rPr>
              <w:t>0.45</w:t>
            </w:r>
            <w:r>
              <w:rPr>
                <w:rFonts w:hint="default" w:ascii="Times New Roman" w:hAnsi="Times New Roman" w:cs="Times New Roman"/>
                <w:color w:val="auto"/>
                <w:kern w:val="0"/>
                <w:sz w:val="24"/>
                <w:szCs w:val="24"/>
              </w:rPr>
              <w:t>t/a</w:t>
            </w:r>
          </w:p>
        </w:tc>
        <w:tc>
          <w:tcPr>
            <w:tcW w:w="667" w:type="pct"/>
            <w:vAlign w:val="center"/>
          </w:tcPr>
          <w:p w14:paraId="21023AED">
            <w:pPr>
              <w:keepNext w:val="0"/>
              <w:keepLines w:val="0"/>
              <w:pageBreakBefore w:val="0"/>
              <w:widowControl w:val="0"/>
              <w:kinsoku/>
              <w:wordWrap/>
              <w:overflowPunct/>
              <w:topLinePunct w:val="0"/>
              <w:autoSpaceDE/>
              <w:autoSpaceDN/>
              <w:bidi w:val="0"/>
              <w:spacing w:line="240" w:lineRule="auto"/>
              <w:ind w:left="0" w:leftChars="0"/>
              <w:jc w:val="center"/>
              <w:textAlignment w:val="auto"/>
              <w:rPr>
                <w:snapToGrid w:val="0"/>
                <w:color w:val="auto"/>
                <w:kern w:val="21"/>
                <w:sz w:val="24"/>
                <w:szCs w:val="24"/>
              </w:rPr>
            </w:pPr>
            <w:r>
              <w:rPr>
                <w:rFonts w:hint="eastAsia"/>
                <w:color w:val="auto"/>
                <w:kern w:val="0"/>
                <w:sz w:val="24"/>
                <w:szCs w:val="24"/>
                <w:lang w:val="en-US" w:eastAsia="zh-CN"/>
              </w:rPr>
              <w:t>0</w:t>
            </w:r>
          </w:p>
        </w:tc>
        <w:tc>
          <w:tcPr>
            <w:tcW w:w="502" w:type="pct"/>
            <w:shd w:val="clear" w:color="auto" w:fill="auto"/>
            <w:vAlign w:val="center"/>
          </w:tcPr>
          <w:p w14:paraId="2F70E65C">
            <w:pPr>
              <w:jc w:val="center"/>
              <w:rPr>
                <w:rFonts w:ascii="Times New Roman" w:hAnsi="Times New Roman" w:eastAsia="宋体" w:cs="Times New Roman"/>
                <w:snapToGrid w:val="0"/>
                <w:color w:val="auto"/>
                <w:kern w:val="21"/>
                <w:sz w:val="24"/>
                <w:szCs w:val="24"/>
                <w:lang w:val="en-US" w:eastAsia="zh-CN" w:bidi="ar-SA"/>
              </w:rPr>
            </w:pPr>
            <w:r>
              <w:rPr>
                <w:rFonts w:hint="eastAsia"/>
                <w:color w:val="auto"/>
                <w:kern w:val="0"/>
                <w:sz w:val="24"/>
                <w:szCs w:val="24"/>
                <w:lang w:val="en-US" w:eastAsia="zh-CN"/>
              </w:rPr>
              <w:t>1.95</w:t>
            </w:r>
            <w:r>
              <w:rPr>
                <w:rFonts w:hint="default" w:ascii="Times New Roman" w:hAnsi="Times New Roman" w:cs="Times New Roman"/>
                <w:color w:val="auto"/>
                <w:kern w:val="0"/>
                <w:sz w:val="24"/>
                <w:szCs w:val="24"/>
              </w:rPr>
              <w:t>t/a</w:t>
            </w:r>
          </w:p>
        </w:tc>
        <w:tc>
          <w:tcPr>
            <w:tcW w:w="502" w:type="pct"/>
            <w:shd w:val="clear" w:color="auto" w:fill="auto"/>
            <w:vAlign w:val="center"/>
          </w:tcPr>
          <w:p w14:paraId="25ABD7F8">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+0.45</w:t>
            </w:r>
            <w:r>
              <w:rPr>
                <w:rFonts w:hint="default" w:ascii="Times New Roman" w:hAnsi="Times New Roman" w:cs="Times New Roman"/>
                <w:color w:val="auto"/>
                <w:kern w:val="0"/>
                <w:sz w:val="24"/>
                <w:szCs w:val="24"/>
              </w:rPr>
              <w:t>t/a</w:t>
            </w:r>
          </w:p>
        </w:tc>
      </w:tr>
      <w:tr w14:paraId="160A5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404EE9AD">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532385ED">
            <w:pPr>
              <w:keepNext w:val="0"/>
              <w:keepLines w:val="0"/>
              <w:pageBreakBefore w:val="0"/>
              <w:widowControl w:val="0"/>
              <w:kinsoku/>
              <w:wordWrap/>
              <w:overflowPunct/>
              <w:topLinePunct w:val="0"/>
              <w:autoSpaceDE/>
              <w:autoSpaceDN/>
              <w:bidi w:val="0"/>
              <w:spacing w:line="240" w:lineRule="auto"/>
              <w:ind w:left="0" w:leftChars="0"/>
              <w:jc w:val="center"/>
              <w:textAlignment w:val="auto"/>
              <w:rPr>
                <w:color w:val="auto"/>
                <w:kern w:val="0"/>
                <w:sz w:val="24"/>
                <w:szCs w:val="24"/>
              </w:rPr>
            </w:pPr>
            <w:r>
              <w:rPr>
                <w:rFonts w:hint="eastAsia"/>
                <w:color w:val="auto"/>
                <w:kern w:val="0"/>
                <w:sz w:val="24"/>
                <w:szCs w:val="24"/>
              </w:rPr>
              <w:t>废弃桶、废包装袋</w:t>
            </w:r>
          </w:p>
        </w:tc>
        <w:tc>
          <w:tcPr>
            <w:tcW w:w="477" w:type="pct"/>
            <w:vAlign w:val="center"/>
          </w:tcPr>
          <w:p w14:paraId="536BAF77">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color w:val="auto"/>
                <w:kern w:val="0"/>
                <w:sz w:val="24"/>
                <w:szCs w:val="24"/>
              </w:rPr>
            </w:pPr>
            <w:r>
              <w:rPr>
                <w:rFonts w:hint="eastAsia" w:ascii="Times New Roman" w:hAnsi="Times New Roman" w:eastAsia="宋体" w:cs="Times New Roman"/>
                <w:color w:val="auto"/>
                <w:sz w:val="24"/>
                <w:szCs w:val="24"/>
                <w:lang w:val="en-US" w:eastAsia="zh-CN"/>
              </w:rPr>
              <w:t>1.2t</w:t>
            </w:r>
            <w:r>
              <w:rPr>
                <w:rFonts w:hint="default" w:ascii="Times New Roman" w:hAnsi="Times New Roman" w:eastAsia="宋体" w:cs="Times New Roman"/>
                <w:color w:val="auto"/>
                <w:sz w:val="24"/>
                <w:szCs w:val="24"/>
              </w:rPr>
              <w:t>/a</w:t>
            </w:r>
          </w:p>
        </w:tc>
        <w:tc>
          <w:tcPr>
            <w:tcW w:w="640" w:type="pct"/>
            <w:vAlign w:val="center"/>
          </w:tcPr>
          <w:p w14:paraId="0A556A19">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color w:val="auto"/>
                <w:sz w:val="24"/>
                <w:szCs w:val="24"/>
              </w:rPr>
            </w:pPr>
            <w:r>
              <w:rPr>
                <w:rFonts w:hint="eastAsia" w:ascii="Times New Roman"/>
                <w:color w:val="auto"/>
                <w:sz w:val="24"/>
                <w:szCs w:val="24"/>
              </w:rPr>
              <w:t>/</w:t>
            </w:r>
          </w:p>
        </w:tc>
        <w:tc>
          <w:tcPr>
            <w:tcW w:w="568" w:type="pct"/>
            <w:vAlign w:val="center"/>
          </w:tcPr>
          <w:p w14:paraId="5F2FE270">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63" w:type="pct"/>
            <w:vAlign w:val="center"/>
          </w:tcPr>
          <w:p w14:paraId="3BD0B75B">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color w:val="auto"/>
                <w:sz w:val="24"/>
                <w:szCs w:val="24"/>
                <w:lang w:eastAsia="zh-CN"/>
              </w:rPr>
            </w:pPr>
            <w:r>
              <w:rPr>
                <w:rFonts w:hint="eastAsia"/>
                <w:color w:val="auto"/>
                <w:kern w:val="0"/>
                <w:sz w:val="24"/>
                <w:szCs w:val="24"/>
                <w:lang w:val="en-US" w:eastAsia="zh-CN"/>
              </w:rPr>
              <w:t>0.1</w:t>
            </w:r>
            <w:r>
              <w:rPr>
                <w:rFonts w:hint="default" w:ascii="Times New Roman" w:hAnsi="Times New Roman" w:cs="Times New Roman"/>
                <w:color w:val="auto"/>
                <w:kern w:val="0"/>
                <w:sz w:val="24"/>
                <w:szCs w:val="24"/>
              </w:rPr>
              <w:t>t/a</w:t>
            </w:r>
          </w:p>
        </w:tc>
        <w:tc>
          <w:tcPr>
            <w:tcW w:w="667" w:type="pct"/>
            <w:vAlign w:val="center"/>
          </w:tcPr>
          <w:p w14:paraId="7EFCB533">
            <w:pPr>
              <w:keepNext w:val="0"/>
              <w:keepLines w:val="0"/>
              <w:pageBreakBefore w:val="0"/>
              <w:widowControl w:val="0"/>
              <w:kinsoku/>
              <w:wordWrap/>
              <w:overflowPunct/>
              <w:topLinePunct w:val="0"/>
              <w:autoSpaceDE/>
              <w:autoSpaceDN/>
              <w:bidi w:val="0"/>
              <w:spacing w:line="240" w:lineRule="auto"/>
              <w:ind w:left="0" w:leftChars="0"/>
              <w:jc w:val="center"/>
              <w:textAlignment w:val="auto"/>
              <w:rPr>
                <w:color w:val="auto"/>
                <w:kern w:val="0"/>
                <w:sz w:val="24"/>
                <w:szCs w:val="24"/>
              </w:rPr>
            </w:pPr>
            <w:r>
              <w:rPr>
                <w:rFonts w:hint="eastAsia"/>
                <w:color w:val="auto"/>
                <w:kern w:val="0"/>
                <w:sz w:val="24"/>
                <w:szCs w:val="24"/>
                <w:lang w:val="en-US" w:eastAsia="zh-CN"/>
              </w:rPr>
              <w:t>0</w:t>
            </w:r>
          </w:p>
        </w:tc>
        <w:tc>
          <w:tcPr>
            <w:tcW w:w="502" w:type="pct"/>
            <w:shd w:val="clear" w:color="auto" w:fill="auto"/>
            <w:vAlign w:val="center"/>
          </w:tcPr>
          <w:p w14:paraId="28C4D1B1">
            <w:pPr>
              <w:jc w:val="center"/>
              <w:rPr>
                <w:rFonts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1.3t</w:t>
            </w:r>
            <w:r>
              <w:rPr>
                <w:rFonts w:hint="default" w:ascii="Times New Roman" w:hAnsi="Times New Roman" w:cs="Times New Roman"/>
                <w:color w:val="auto"/>
                <w:kern w:val="0"/>
                <w:sz w:val="24"/>
                <w:szCs w:val="24"/>
              </w:rPr>
              <w:t>/a</w:t>
            </w:r>
          </w:p>
        </w:tc>
        <w:tc>
          <w:tcPr>
            <w:tcW w:w="502" w:type="pct"/>
            <w:shd w:val="clear" w:color="auto" w:fill="auto"/>
            <w:vAlign w:val="center"/>
          </w:tcPr>
          <w:p w14:paraId="1CFDB09D">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+0.1</w:t>
            </w:r>
            <w:r>
              <w:rPr>
                <w:rFonts w:hint="default" w:ascii="Times New Roman" w:hAnsi="Times New Roman" w:cs="Times New Roman"/>
                <w:color w:val="auto"/>
                <w:kern w:val="0"/>
                <w:sz w:val="24"/>
                <w:szCs w:val="24"/>
              </w:rPr>
              <w:t>t/a</w:t>
            </w:r>
          </w:p>
        </w:tc>
      </w:tr>
      <w:tr w14:paraId="59864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68B3317D">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4272569E">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color w:val="auto"/>
                <w:kern w:val="0"/>
                <w:sz w:val="24"/>
                <w:szCs w:val="24"/>
                <w:lang w:eastAsia="zh-CN"/>
              </w:rPr>
            </w:pPr>
            <w:r>
              <w:rPr>
                <w:color w:val="auto"/>
                <w:kern w:val="0"/>
                <w:sz w:val="24"/>
                <w:szCs w:val="24"/>
              </w:rPr>
              <w:t>除尘器收集</w:t>
            </w:r>
            <w:r>
              <w:rPr>
                <w:rFonts w:hint="eastAsia"/>
                <w:color w:val="auto"/>
                <w:kern w:val="0"/>
                <w:sz w:val="24"/>
                <w:szCs w:val="24"/>
                <w:lang w:eastAsia="zh-CN"/>
              </w:rPr>
              <w:t>颗粒物</w:t>
            </w:r>
          </w:p>
        </w:tc>
        <w:tc>
          <w:tcPr>
            <w:tcW w:w="477" w:type="pct"/>
            <w:vAlign w:val="center"/>
          </w:tcPr>
          <w:p w14:paraId="71D64C97">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rFonts w:hint="eastAsia" w:eastAsia="宋体"/>
                <w:color w:val="auto"/>
                <w:kern w:val="0"/>
                <w:sz w:val="24"/>
                <w:szCs w:val="24"/>
                <w:lang w:val="en-US" w:eastAsia="zh-CN"/>
              </w:rPr>
            </w:pPr>
            <w:r>
              <w:rPr>
                <w:rFonts w:hint="eastAsia" w:ascii="Times New Roman" w:hAnsi="Times New Roman" w:eastAsia="宋体" w:cs="Times New Roman"/>
                <w:color w:val="auto"/>
                <w:sz w:val="24"/>
                <w:szCs w:val="24"/>
                <w:lang w:val="en-US" w:eastAsia="zh-CN"/>
              </w:rPr>
              <w:t>51t</w:t>
            </w:r>
            <w:r>
              <w:rPr>
                <w:rFonts w:hint="default" w:ascii="Times New Roman" w:hAnsi="Times New Roman" w:eastAsia="宋体" w:cs="Times New Roman"/>
                <w:color w:val="auto"/>
                <w:sz w:val="24"/>
                <w:szCs w:val="24"/>
              </w:rPr>
              <w:t>/a</w:t>
            </w:r>
          </w:p>
        </w:tc>
        <w:tc>
          <w:tcPr>
            <w:tcW w:w="640" w:type="pct"/>
            <w:vAlign w:val="center"/>
          </w:tcPr>
          <w:p w14:paraId="00717937">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eastAsia="宋体"/>
                <w:color w:val="auto"/>
                <w:sz w:val="24"/>
                <w:szCs w:val="24"/>
                <w:lang w:val="en-US" w:eastAsia="zh-CN"/>
              </w:rPr>
            </w:pPr>
            <w:r>
              <w:rPr>
                <w:rFonts w:hint="eastAsia" w:ascii="Times New Roman"/>
                <w:color w:val="auto"/>
                <w:sz w:val="24"/>
                <w:szCs w:val="24"/>
                <w:lang w:val="en-US" w:eastAsia="zh-CN"/>
              </w:rPr>
              <w:t>/</w:t>
            </w:r>
          </w:p>
        </w:tc>
        <w:tc>
          <w:tcPr>
            <w:tcW w:w="568" w:type="pct"/>
            <w:vAlign w:val="center"/>
          </w:tcPr>
          <w:p w14:paraId="178F05BB">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63" w:type="pct"/>
            <w:vAlign w:val="center"/>
          </w:tcPr>
          <w:p w14:paraId="16ED0862">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eastAsia="宋体"/>
                <w:color w:val="auto"/>
                <w:sz w:val="24"/>
                <w:szCs w:val="24"/>
                <w:lang w:val="en-US" w:eastAsia="zh-CN"/>
              </w:rPr>
            </w:pPr>
            <w:r>
              <w:rPr>
                <w:rFonts w:hint="eastAsia" w:cs="Times New Roman"/>
                <w:color w:val="auto"/>
                <w:kern w:val="0"/>
                <w:sz w:val="24"/>
                <w:szCs w:val="24"/>
                <w:lang w:val="en-US" w:eastAsia="zh-CN"/>
              </w:rPr>
              <w:t>40.85</w:t>
            </w:r>
            <w:r>
              <w:rPr>
                <w:rFonts w:hint="default" w:ascii="Times New Roman" w:hAnsi="Times New Roman" w:cs="Times New Roman"/>
                <w:color w:val="auto"/>
                <w:kern w:val="0"/>
                <w:sz w:val="24"/>
                <w:szCs w:val="24"/>
              </w:rPr>
              <w:t>t/a</w:t>
            </w:r>
          </w:p>
        </w:tc>
        <w:tc>
          <w:tcPr>
            <w:tcW w:w="667" w:type="pct"/>
            <w:vAlign w:val="center"/>
          </w:tcPr>
          <w:p w14:paraId="08FF6AE3">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color w:val="auto"/>
                <w:kern w:val="0"/>
                <w:sz w:val="24"/>
                <w:szCs w:val="24"/>
              </w:rPr>
            </w:pPr>
            <w:r>
              <w:rPr>
                <w:rFonts w:hint="eastAsia" w:cs="Times New Roman"/>
                <w:color w:val="auto"/>
                <w:kern w:val="0"/>
                <w:sz w:val="24"/>
                <w:szCs w:val="24"/>
                <w:lang w:val="en-US" w:eastAsia="zh-CN"/>
              </w:rPr>
              <w:t>0</w:t>
            </w:r>
          </w:p>
        </w:tc>
        <w:tc>
          <w:tcPr>
            <w:tcW w:w="502" w:type="pct"/>
            <w:shd w:val="clear" w:color="auto" w:fill="auto"/>
            <w:vAlign w:val="center"/>
          </w:tcPr>
          <w:p w14:paraId="60E2EE32">
            <w:pPr>
              <w:jc w:val="center"/>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rPr>
              <w:t>91.85</w:t>
            </w:r>
            <w:r>
              <w:rPr>
                <w:rFonts w:hint="default" w:ascii="Times New Roman" w:hAnsi="Times New Roman" w:cs="Times New Roman"/>
                <w:color w:val="auto"/>
                <w:kern w:val="0"/>
                <w:sz w:val="24"/>
                <w:szCs w:val="24"/>
              </w:rPr>
              <w:t>t/a</w:t>
            </w:r>
          </w:p>
        </w:tc>
        <w:tc>
          <w:tcPr>
            <w:tcW w:w="502" w:type="pct"/>
            <w:shd w:val="clear" w:color="auto" w:fill="auto"/>
            <w:vAlign w:val="center"/>
          </w:tcPr>
          <w:p w14:paraId="302A8B4F">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rPr>
              <w:t>+40.85</w:t>
            </w:r>
            <w:r>
              <w:rPr>
                <w:rFonts w:hint="default" w:ascii="Times New Roman" w:hAnsi="Times New Roman" w:cs="Times New Roman"/>
                <w:color w:val="auto"/>
                <w:kern w:val="0"/>
                <w:sz w:val="24"/>
                <w:szCs w:val="24"/>
              </w:rPr>
              <w:t>t/a</w:t>
            </w:r>
          </w:p>
        </w:tc>
      </w:tr>
      <w:tr w14:paraId="10BD5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69333331">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74586A14">
            <w:pPr>
              <w:keepNext w:val="0"/>
              <w:keepLines w:val="0"/>
              <w:pageBreakBefore w:val="0"/>
              <w:widowControl w:val="0"/>
              <w:kinsoku/>
              <w:wordWrap/>
              <w:overflowPunct/>
              <w:topLinePunct w:val="0"/>
              <w:autoSpaceDE/>
              <w:autoSpaceDN/>
              <w:bidi w:val="0"/>
              <w:spacing w:line="240" w:lineRule="auto"/>
              <w:ind w:left="0" w:leftChars="0"/>
              <w:jc w:val="center"/>
              <w:textAlignment w:val="auto"/>
              <w:rPr>
                <w:color w:val="auto"/>
                <w:kern w:val="0"/>
                <w:sz w:val="24"/>
                <w:szCs w:val="24"/>
              </w:rPr>
            </w:pPr>
            <w:r>
              <w:rPr>
                <w:rFonts w:hint="eastAsia"/>
                <w:color w:val="auto"/>
                <w:kern w:val="0"/>
                <w:sz w:val="24"/>
                <w:szCs w:val="24"/>
              </w:rPr>
              <w:t>不合格品</w:t>
            </w:r>
          </w:p>
        </w:tc>
        <w:tc>
          <w:tcPr>
            <w:tcW w:w="477" w:type="pct"/>
            <w:vAlign w:val="center"/>
          </w:tcPr>
          <w:p w14:paraId="0CA00357">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rFonts w:hint="eastAsia" w:eastAsia="宋体"/>
                <w:color w:val="auto"/>
                <w:kern w:val="0"/>
                <w:sz w:val="24"/>
                <w:szCs w:val="24"/>
                <w:lang w:val="en-US" w:eastAsia="zh-CN"/>
              </w:rPr>
            </w:pPr>
            <w:r>
              <w:rPr>
                <w:rFonts w:hint="eastAsia" w:ascii="Times New Roman" w:eastAsia="宋体"/>
                <w:color w:val="auto"/>
                <w:sz w:val="24"/>
                <w:szCs w:val="24"/>
                <w:lang w:val="en-US" w:eastAsia="zh-CN"/>
              </w:rPr>
              <w:t>100</w:t>
            </w:r>
            <w:r>
              <w:rPr>
                <w:rFonts w:hint="eastAsia"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640" w:type="pct"/>
            <w:vAlign w:val="center"/>
          </w:tcPr>
          <w:p w14:paraId="45A51A9C">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eastAsia="宋体"/>
                <w:color w:val="auto"/>
                <w:sz w:val="24"/>
                <w:szCs w:val="24"/>
                <w:lang w:val="en-US" w:eastAsia="zh-CN"/>
              </w:rPr>
            </w:pPr>
            <w:r>
              <w:rPr>
                <w:rFonts w:hint="eastAsia" w:ascii="Times New Roman"/>
                <w:color w:val="auto"/>
                <w:sz w:val="24"/>
                <w:szCs w:val="24"/>
                <w:lang w:val="en-US" w:eastAsia="zh-CN"/>
              </w:rPr>
              <w:t>/</w:t>
            </w:r>
          </w:p>
        </w:tc>
        <w:tc>
          <w:tcPr>
            <w:tcW w:w="568" w:type="pct"/>
            <w:vAlign w:val="center"/>
          </w:tcPr>
          <w:p w14:paraId="1381B9BE">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color w:val="auto"/>
                <w:kern w:val="0"/>
                <w:sz w:val="24"/>
                <w:szCs w:val="24"/>
                <w:lang w:val="en-US" w:eastAsia="zh-CN"/>
              </w:rPr>
            </w:pPr>
            <w:r>
              <w:rPr>
                <w:rFonts w:hint="eastAsia"/>
                <w:color w:val="auto"/>
                <w:kern w:val="0"/>
                <w:sz w:val="24"/>
                <w:szCs w:val="24"/>
                <w:lang w:val="en-US" w:eastAsia="zh-CN"/>
              </w:rPr>
              <w:t>/</w:t>
            </w:r>
          </w:p>
        </w:tc>
        <w:tc>
          <w:tcPr>
            <w:tcW w:w="563" w:type="pct"/>
            <w:vAlign w:val="center"/>
          </w:tcPr>
          <w:p w14:paraId="1101A770">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eastAsia="宋体"/>
                <w:color w:val="auto"/>
                <w:sz w:val="24"/>
                <w:szCs w:val="24"/>
                <w:lang w:val="en-US" w:eastAsia="zh-CN"/>
              </w:rPr>
            </w:pPr>
            <w:r>
              <w:rPr>
                <w:rFonts w:hint="eastAsia"/>
                <w:color w:val="auto"/>
                <w:kern w:val="0"/>
                <w:sz w:val="24"/>
                <w:szCs w:val="24"/>
                <w:lang w:val="en-US" w:eastAsia="zh-CN"/>
              </w:rPr>
              <w:t>0</w:t>
            </w:r>
            <w:r>
              <w:rPr>
                <w:rFonts w:hint="eastAsia"/>
                <w:color w:val="auto"/>
                <w:kern w:val="0"/>
                <w:sz w:val="24"/>
                <w:szCs w:val="24"/>
              </w:rPr>
              <w:t>t/a</w:t>
            </w:r>
          </w:p>
        </w:tc>
        <w:tc>
          <w:tcPr>
            <w:tcW w:w="667" w:type="pct"/>
            <w:vAlign w:val="center"/>
          </w:tcPr>
          <w:p w14:paraId="3ED2A490">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color w:val="auto"/>
                <w:kern w:val="0"/>
                <w:sz w:val="24"/>
                <w:szCs w:val="24"/>
              </w:rPr>
            </w:pPr>
            <w:r>
              <w:rPr>
                <w:rFonts w:hint="eastAsia"/>
                <w:color w:val="auto"/>
                <w:kern w:val="0"/>
                <w:sz w:val="24"/>
                <w:szCs w:val="24"/>
                <w:lang w:val="en-US" w:eastAsia="zh-CN"/>
              </w:rPr>
              <w:t>0</w:t>
            </w:r>
          </w:p>
        </w:tc>
        <w:tc>
          <w:tcPr>
            <w:tcW w:w="502" w:type="pct"/>
            <w:shd w:val="clear" w:color="auto" w:fill="auto"/>
            <w:vAlign w:val="center"/>
          </w:tcPr>
          <w:p w14:paraId="4672FEF2">
            <w:pPr>
              <w:jc w:val="center"/>
              <w:rPr>
                <w:rFonts w:hint="eastAsia"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100t</w:t>
            </w:r>
            <w:r>
              <w:rPr>
                <w:rFonts w:hint="eastAsia"/>
                <w:color w:val="auto"/>
                <w:kern w:val="0"/>
                <w:sz w:val="24"/>
                <w:szCs w:val="24"/>
              </w:rPr>
              <w:t>/a</w:t>
            </w:r>
          </w:p>
        </w:tc>
        <w:tc>
          <w:tcPr>
            <w:tcW w:w="502" w:type="pct"/>
            <w:shd w:val="clear" w:color="auto" w:fill="auto"/>
            <w:vAlign w:val="center"/>
          </w:tcPr>
          <w:p w14:paraId="7CE39532">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+0</w:t>
            </w:r>
            <w:r>
              <w:rPr>
                <w:rFonts w:hint="eastAsia"/>
                <w:color w:val="auto"/>
                <w:kern w:val="0"/>
                <w:sz w:val="24"/>
                <w:szCs w:val="24"/>
              </w:rPr>
              <w:t>t/a</w:t>
            </w:r>
          </w:p>
        </w:tc>
      </w:tr>
      <w:tr w14:paraId="4171F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Merge w:val="continue"/>
            <w:vAlign w:val="center"/>
          </w:tcPr>
          <w:p w14:paraId="2B16D29A">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p>
        </w:tc>
        <w:tc>
          <w:tcPr>
            <w:tcW w:w="487" w:type="pct"/>
            <w:vAlign w:val="center"/>
          </w:tcPr>
          <w:p w14:paraId="558E0357">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color w:val="auto"/>
                <w:kern w:val="0"/>
                <w:sz w:val="24"/>
                <w:szCs w:val="24"/>
                <w:lang w:eastAsia="zh-CN"/>
              </w:rPr>
            </w:pPr>
            <w:r>
              <w:rPr>
                <w:rFonts w:hint="eastAsia"/>
                <w:color w:val="auto"/>
                <w:kern w:val="0"/>
                <w:sz w:val="24"/>
                <w:szCs w:val="24"/>
                <w:lang w:eastAsia="zh-CN"/>
              </w:rPr>
              <w:t>沉淀池</w:t>
            </w:r>
          </w:p>
          <w:p w14:paraId="5A0A000F">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eastAsia="宋体"/>
                <w:color w:val="auto"/>
                <w:kern w:val="0"/>
                <w:sz w:val="24"/>
                <w:szCs w:val="24"/>
                <w:lang w:eastAsia="zh-CN"/>
              </w:rPr>
            </w:pPr>
            <w:r>
              <w:rPr>
                <w:rFonts w:hint="eastAsia"/>
                <w:color w:val="auto"/>
                <w:kern w:val="0"/>
                <w:sz w:val="24"/>
                <w:szCs w:val="24"/>
                <w:lang w:eastAsia="zh-CN"/>
              </w:rPr>
              <w:t>沉渣</w:t>
            </w:r>
          </w:p>
        </w:tc>
        <w:tc>
          <w:tcPr>
            <w:tcW w:w="477" w:type="pct"/>
            <w:vAlign w:val="center"/>
          </w:tcPr>
          <w:p w14:paraId="1C7FA6FA">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rFonts w:hint="eastAsia" w:eastAsia="宋体"/>
                <w:color w:val="auto"/>
                <w:kern w:val="0"/>
                <w:sz w:val="24"/>
                <w:szCs w:val="24"/>
                <w:lang w:val="en-US" w:eastAsia="zh-CN"/>
              </w:rPr>
            </w:pPr>
            <w:r>
              <w:rPr>
                <w:rFonts w:hint="eastAsia" w:ascii="Times New Roman" w:hAnsi="Times New Roman" w:eastAsia="宋体" w:cs="Times New Roman"/>
                <w:color w:val="auto"/>
                <w:sz w:val="24"/>
                <w:szCs w:val="24"/>
                <w:lang w:val="en-US" w:eastAsia="zh-CN"/>
              </w:rPr>
              <w:t>9t</w:t>
            </w:r>
            <w:r>
              <w:rPr>
                <w:rFonts w:hint="default" w:ascii="Times New Roman" w:hAnsi="Times New Roman" w:eastAsia="宋体" w:cs="Times New Roman"/>
                <w:color w:val="auto"/>
                <w:sz w:val="24"/>
                <w:szCs w:val="24"/>
              </w:rPr>
              <w:t>/a</w:t>
            </w:r>
          </w:p>
        </w:tc>
        <w:tc>
          <w:tcPr>
            <w:tcW w:w="640" w:type="pct"/>
            <w:vAlign w:val="center"/>
          </w:tcPr>
          <w:p w14:paraId="15263F9D">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eastAsia="宋体"/>
                <w:color w:val="auto"/>
                <w:sz w:val="24"/>
                <w:szCs w:val="24"/>
                <w:lang w:val="en-US" w:eastAsia="zh-CN"/>
              </w:rPr>
            </w:pPr>
            <w:r>
              <w:rPr>
                <w:rFonts w:hint="eastAsia" w:ascii="Times New Roman"/>
                <w:color w:val="auto"/>
                <w:sz w:val="24"/>
                <w:szCs w:val="24"/>
                <w:lang w:val="en-US" w:eastAsia="zh-CN"/>
              </w:rPr>
              <w:t>/</w:t>
            </w:r>
          </w:p>
        </w:tc>
        <w:tc>
          <w:tcPr>
            <w:tcW w:w="568" w:type="pct"/>
            <w:vAlign w:val="center"/>
          </w:tcPr>
          <w:p w14:paraId="267F444B">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default"/>
                <w:color w:val="auto"/>
                <w:kern w:val="0"/>
                <w:sz w:val="24"/>
                <w:szCs w:val="24"/>
                <w:lang w:val="en-US" w:eastAsia="zh-CN"/>
              </w:rPr>
            </w:pPr>
            <w:r>
              <w:rPr>
                <w:rFonts w:hint="eastAsia"/>
                <w:color w:val="auto"/>
                <w:kern w:val="0"/>
                <w:sz w:val="24"/>
                <w:szCs w:val="24"/>
                <w:lang w:val="en-US" w:eastAsia="zh-CN"/>
              </w:rPr>
              <w:t>/</w:t>
            </w:r>
          </w:p>
        </w:tc>
        <w:tc>
          <w:tcPr>
            <w:tcW w:w="563" w:type="pct"/>
            <w:vAlign w:val="center"/>
          </w:tcPr>
          <w:p w14:paraId="367F1C83">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eastAsia="宋体"/>
                <w:color w:val="auto"/>
                <w:sz w:val="24"/>
                <w:szCs w:val="24"/>
                <w:lang w:val="en-US" w:eastAsia="zh-CN"/>
              </w:rPr>
            </w:pPr>
            <w:r>
              <w:rPr>
                <w:rFonts w:hint="eastAsia"/>
                <w:color w:val="auto"/>
                <w:kern w:val="0"/>
                <w:sz w:val="24"/>
                <w:szCs w:val="24"/>
                <w:lang w:val="en-US" w:eastAsia="zh-CN"/>
              </w:rPr>
              <w:t>0t/a</w:t>
            </w:r>
          </w:p>
        </w:tc>
        <w:tc>
          <w:tcPr>
            <w:tcW w:w="667" w:type="pct"/>
            <w:vAlign w:val="center"/>
          </w:tcPr>
          <w:p w14:paraId="01485C52">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color w:val="auto"/>
                <w:kern w:val="0"/>
                <w:sz w:val="24"/>
                <w:szCs w:val="24"/>
                <w:lang w:val="en-US" w:eastAsia="zh-CN"/>
              </w:rPr>
            </w:pPr>
            <w:r>
              <w:rPr>
                <w:rFonts w:hint="eastAsia"/>
                <w:color w:val="auto"/>
                <w:kern w:val="0"/>
                <w:sz w:val="24"/>
                <w:szCs w:val="24"/>
                <w:lang w:val="en-US" w:eastAsia="zh-CN"/>
              </w:rPr>
              <w:t>0</w:t>
            </w:r>
          </w:p>
        </w:tc>
        <w:tc>
          <w:tcPr>
            <w:tcW w:w="502" w:type="pct"/>
            <w:shd w:val="clear" w:color="auto" w:fill="auto"/>
            <w:vAlign w:val="center"/>
          </w:tcPr>
          <w:p w14:paraId="7669A938">
            <w:pPr>
              <w:jc w:val="center"/>
              <w:rPr>
                <w:rFonts w:hint="eastAsia"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9t/a</w:t>
            </w:r>
          </w:p>
        </w:tc>
        <w:tc>
          <w:tcPr>
            <w:tcW w:w="502" w:type="pct"/>
            <w:shd w:val="clear" w:color="auto" w:fill="auto"/>
            <w:vAlign w:val="center"/>
          </w:tcPr>
          <w:p w14:paraId="7B5947A7">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0"/>
                <w:sz w:val="24"/>
                <w:szCs w:val="24"/>
                <w:lang w:val="en-US" w:eastAsia="zh-CN" w:bidi="ar-SA"/>
              </w:rPr>
            </w:pPr>
            <w:r>
              <w:rPr>
                <w:rFonts w:hint="eastAsia"/>
                <w:color w:val="auto"/>
                <w:kern w:val="0"/>
                <w:sz w:val="24"/>
                <w:szCs w:val="24"/>
                <w:lang w:val="en-US" w:eastAsia="zh-CN"/>
              </w:rPr>
              <w:t>+0t/a</w:t>
            </w:r>
          </w:p>
        </w:tc>
      </w:tr>
      <w:tr w14:paraId="263D3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9" w:type="pct"/>
            <w:vAlign w:val="center"/>
          </w:tcPr>
          <w:p w14:paraId="102E4B8D">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ascii="Times New Roman"/>
                <w:color w:val="auto"/>
                <w:sz w:val="24"/>
                <w:szCs w:val="24"/>
              </w:rPr>
              <w:t>危险废物</w:t>
            </w:r>
          </w:p>
        </w:tc>
        <w:tc>
          <w:tcPr>
            <w:tcW w:w="487" w:type="pct"/>
            <w:vAlign w:val="center"/>
          </w:tcPr>
          <w:p w14:paraId="742EA066">
            <w:pPr>
              <w:keepNext w:val="0"/>
              <w:keepLines w:val="0"/>
              <w:pageBreakBefore w:val="0"/>
              <w:widowControl w:val="0"/>
              <w:kinsoku/>
              <w:wordWrap/>
              <w:overflowPunct/>
              <w:topLinePunct w:val="0"/>
              <w:autoSpaceDE/>
              <w:autoSpaceDN/>
              <w:bidi w:val="0"/>
              <w:spacing w:line="240" w:lineRule="auto"/>
              <w:ind w:left="0" w:leftChars="0"/>
              <w:jc w:val="center"/>
              <w:textAlignment w:val="auto"/>
              <w:rPr>
                <w:bCs/>
                <w:color w:val="auto"/>
                <w:kern w:val="0"/>
                <w:sz w:val="24"/>
                <w:szCs w:val="24"/>
              </w:rPr>
            </w:pPr>
            <w:r>
              <w:rPr>
                <w:rFonts w:hint="eastAsia"/>
                <w:bCs/>
                <w:color w:val="auto"/>
                <w:kern w:val="0"/>
                <w:sz w:val="24"/>
                <w:szCs w:val="24"/>
              </w:rPr>
              <w:t>废</w:t>
            </w:r>
            <w:r>
              <w:rPr>
                <w:rFonts w:hint="eastAsia"/>
                <w:bCs/>
                <w:color w:val="auto"/>
                <w:kern w:val="0"/>
                <w:sz w:val="24"/>
                <w:szCs w:val="24"/>
                <w:lang w:eastAsia="zh-CN"/>
              </w:rPr>
              <w:t>机油</w:t>
            </w:r>
          </w:p>
        </w:tc>
        <w:tc>
          <w:tcPr>
            <w:tcW w:w="477" w:type="pct"/>
            <w:vAlign w:val="center"/>
          </w:tcPr>
          <w:p w14:paraId="3D9B1E6A">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color w:val="auto"/>
                <w:kern w:val="0"/>
                <w:sz w:val="24"/>
                <w:szCs w:val="24"/>
              </w:rPr>
            </w:pPr>
            <w:r>
              <w:rPr>
                <w:rFonts w:hint="eastAsia" w:ascii="Times New Roman" w:hAnsi="Times New Roman" w:eastAsia="宋体" w:cs="Times New Roman"/>
                <w:color w:val="auto"/>
                <w:sz w:val="24"/>
                <w:szCs w:val="24"/>
                <w:lang w:val="en-US" w:eastAsia="zh-CN"/>
              </w:rPr>
              <w:t>0.15t</w:t>
            </w:r>
            <w:r>
              <w:rPr>
                <w:rFonts w:hint="default" w:ascii="Times New Roman" w:hAnsi="Times New Roman" w:eastAsia="宋体" w:cs="Times New Roman"/>
                <w:color w:val="auto"/>
                <w:sz w:val="24"/>
                <w:szCs w:val="24"/>
              </w:rPr>
              <w:t>/a</w:t>
            </w:r>
          </w:p>
        </w:tc>
        <w:tc>
          <w:tcPr>
            <w:tcW w:w="640" w:type="pct"/>
            <w:vAlign w:val="center"/>
          </w:tcPr>
          <w:p w14:paraId="6CBB4F3C">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ascii="Times New Roman"/>
                <w:color w:val="auto"/>
                <w:sz w:val="24"/>
                <w:szCs w:val="24"/>
              </w:rPr>
            </w:pPr>
            <w:r>
              <w:rPr>
                <w:rFonts w:hint="eastAsia" w:ascii="Times New Roman"/>
                <w:color w:val="auto"/>
                <w:sz w:val="24"/>
                <w:szCs w:val="24"/>
              </w:rPr>
              <w:t>/</w:t>
            </w:r>
          </w:p>
        </w:tc>
        <w:tc>
          <w:tcPr>
            <w:tcW w:w="568" w:type="pct"/>
            <w:vAlign w:val="center"/>
          </w:tcPr>
          <w:p w14:paraId="54E5ED38">
            <w:pPr>
              <w:pStyle w:val="42"/>
              <w:keepNext w:val="0"/>
              <w:keepLines w:val="0"/>
              <w:pageBreakBefore w:val="0"/>
              <w:widowControl w:val="0"/>
              <w:kinsoku/>
              <w:wordWrap/>
              <w:overflowPunct/>
              <w:topLinePunct w:val="0"/>
              <w:autoSpaceDE/>
              <w:autoSpaceDN/>
              <w:bidi w:val="0"/>
              <w:spacing w:beforeLines="0" w:afterLines="0" w:line="240" w:lineRule="auto"/>
              <w:ind w:left="480" w:leftChars="0"/>
              <w:textAlignment w:val="auto"/>
              <w:rPr>
                <w:rFonts w:hint="eastAsia" w:ascii="Times New Roman" w:eastAsia="宋体"/>
                <w:color w:val="auto"/>
                <w:sz w:val="24"/>
                <w:szCs w:val="24"/>
                <w:lang w:val="en-US" w:eastAsia="zh-CN"/>
              </w:rPr>
            </w:pPr>
            <w:r>
              <w:rPr>
                <w:rFonts w:hint="eastAsia" w:ascii="Times New Roman"/>
                <w:color w:val="auto"/>
                <w:sz w:val="24"/>
                <w:szCs w:val="24"/>
                <w:lang w:val="en-US" w:eastAsia="zh-CN"/>
              </w:rPr>
              <w:t>/</w:t>
            </w:r>
          </w:p>
        </w:tc>
        <w:tc>
          <w:tcPr>
            <w:tcW w:w="563" w:type="pct"/>
            <w:vAlign w:val="center"/>
          </w:tcPr>
          <w:p w14:paraId="2BD548E9">
            <w:pPr>
              <w:pStyle w:val="42"/>
              <w:keepNext w:val="0"/>
              <w:keepLines w:val="0"/>
              <w:pageBreakBefore w:val="0"/>
              <w:widowControl w:val="0"/>
              <w:kinsoku/>
              <w:wordWrap/>
              <w:overflowPunct/>
              <w:topLinePunct w:val="0"/>
              <w:autoSpaceDE/>
              <w:autoSpaceDN/>
              <w:bidi w:val="0"/>
              <w:spacing w:beforeLines="0" w:afterLines="0" w:line="240" w:lineRule="auto"/>
              <w:ind w:left="480" w:leftChars="0" w:hanging="480" w:hangingChars="200"/>
              <w:textAlignment w:val="auto"/>
              <w:rPr>
                <w:rFonts w:hint="eastAsia" w:ascii="Times New Roman" w:eastAsia="宋体"/>
                <w:color w:val="auto"/>
                <w:sz w:val="24"/>
                <w:szCs w:val="24"/>
                <w:lang w:eastAsia="zh-CN"/>
              </w:rPr>
            </w:pPr>
            <w:r>
              <w:rPr>
                <w:rFonts w:hint="eastAsia" w:ascii="Times New Roman"/>
                <w:color w:val="auto"/>
                <w:sz w:val="24"/>
                <w:szCs w:val="24"/>
              </w:rPr>
              <w:t>0.</w:t>
            </w:r>
            <w:r>
              <w:rPr>
                <w:rFonts w:hint="eastAsia" w:ascii="Times New Roman"/>
                <w:color w:val="auto"/>
                <w:sz w:val="24"/>
                <w:szCs w:val="24"/>
                <w:lang w:val="en-US" w:eastAsia="zh-CN"/>
              </w:rPr>
              <w:t>5</w:t>
            </w:r>
            <w:r>
              <w:rPr>
                <w:rFonts w:hint="eastAsia" w:ascii="Times New Roman"/>
                <w:color w:val="auto"/>
                <w:sz w:val="24"/>
                <w:szCs w:val="24"/>
              </w:rPr>
              <w:t>t/a</w:t>
            </w:r>
          </w:p>
        </w:tc>
        <w:tc>
          <w:tcPr>
            <w:tcW w:w="667" w:type="pct"/>
            <w:vAlign w:val="center"/>
          </w:tcPr>
          <w:p w14:paraId="7846103D">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ascii="Times New Roman"/>
                <w:color w:val="auto"/>
                <w:sz w:val="24"/>
                <w:szCs w:val="24"/>
              </w:rPr>
            </w:pPr>
            <w:r>
              <w:rPr>
                <w:rFonts w:hint="eastAsia"/>
                <w:color w:val="auto"/>
                <w:sz w:val="24"/>
                <w:szCs w:val="24"/>
                <w:lang w:val="en-US" w:eastAsia="zh-CN"/>
              </w:rPr>
              <w:t>0</w:t>
            </w:r>
          </w:p>
        </w:tc>
        <w:tc>
          <w:tcPr>
            <w:tcW w:w="502" w:type="pct"/>
            <w:shd w:val="clear" w:color="auto" w:fill="auto"/>
            <w:vAlign w:val="center"/>
          </w:tcPr>
          <w:p w14:paraId="09679123">
            <w:pPr>
              <w:spacing w:beforeLines="0" w:afterLines="0" w:line="240" w:lineRule="auto"/>
              <w:jc w:val="center"/>
              <w:rPr>
                <w:rFonts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0.65</w:t>
            </w:r>
            <w:r>
              <w:rPr>
                <w:rFonts w:hint="eastAsia" w:ascii="Times New Roman"/>
                <w:color w:val="auto"/>
                <w:sz w:val="24"/>
                <w:szCs w:val="24"/>
              </w:rPr>
              <w:t>t/a</w:t>
            </w:r>
          </w:p>
        </w:tc>
        <w:tc>
          <w:tcPr>
            <w:tcW w:w="502" w:type="pct"/>
            <w:shd w:val="clear" w:color="auto" w:fill="auto"/>
            <w:vAlign w:val="center"/>
          </w:tcPr>
          <w:p w14:paraId="77F7ABE7">
            <w:pPr>
              <w:keepNext w:val="0"/>
              <w:keepLines w:val="0"/>
              <w:pageBreakBefore w:val="0"/>
              <w:widowControl w:val="0"/>
              <w:kinsoku/>
              <w:wordWrap/>
              <w:overflowPunct/>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color w:val="auto"/>
                <w:sz w:val="24"/>
                <w:szCs w:val="24"/>
                <w:lang w:val="en-US" w:eastAsia="zh-CN"/>
              </w:rPr>
              <w:t>+</w:t>
            </w:r>
            <w:r>
              <w:rPr>
                <w:rFonts w:hint="eastAsia" w:ascii="Times New Roman"/>
                <w:color w:val="auto"/>
                <w:sz w:val="24"/>
                <w:szCs w:val="24"/>
              </w:rPr>
              <w:t>0.</w:t>
            </w:r>
            <w:r>
              <w:rPr>
                <w:rFonts w:hint="eastAsia" w:ascii="Times New Roman"/>
                <w:color w:val="auto"/>
                <w:sz w:val="24"/>
                <w:szCs w:val="24"/>
                <w:lang w:val="en-US" w:eastAsia="zh-CN"/>
              </w:rPr>
              <w:t>5</w:t>
            </w:r>
            <w:r>
              <w:rPr>
                <w:rFonts w:hint="eastAsia" w:ascii="Times New Roman"/>
                <w:color w:val="auto"/>
                <w:sz w:val="24"/>
                <w:szCs w:val="24"/>
              </w:rPr>
              <w:t>t/a</w:t>
            </w:r>
          </w:p>
        </w:tc>
      </w:tr>
    </w:tbl>
    <w:p w14:paraId="0B0D2470">
      <w:pPr>
        <w:pStyle w:val="42"/>
        <w:spacing w:beforeLines="0" w:after="31" w:line="260" w:lineRule="auto"/>
        <w:jc w:val="left"/>
      </w:pPr>
      <w:r>
        <w:rPr>
          <w:rFonts w:ascii="Times New Roman"/>
          <w:szCs w:val="21"/>
        </w:rPr>
        <w:t>注：</w:t>
      </w:r>
      <w:r>
        <w:rPr>
          <w:rFonts w:ascii="Times New Roman"/>
          <w:szCs w:val="21"/>
        </w:rPr>
        <w:fldChar w:fldCharType="begin"/>
      </w:r>
      <w:r>
        <w:rPr>
          <w:rFonts w:ascii="Times New Roman"/>
          <w:szCs w:val="21"/>
        </w:rPr>
        <w:instrText xml:space="preserve"> = 6 \* GB3 \* MERGEFORMAT </w:instrText>
      </w:r>
      <w:r>
        <w:rPr>
          <w:rFonts w:ascii="Times New Roman"/>
          <w:szCs w:val="21"/>
        </w:rPr>
        <w:fldChar w:fldCharType="separate"/>
      </w:r>
      <w:r>
        <w:rPr>
          <w:rFonts w:ascii="Times New Roman"/>
          <w:szCs w:val="21"/>
        </w:rPr>
        <w:t>⑥</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1 \* GB3 \* MERGEFORMAT </w:instrText>
      </w:r>
      <w:r>
        <w:rPr>
          <w:rFonts w:ascii="Times New Roman"/>
          <w:szCs w:val="21"/>
        </w:rPr>
        <w:fldChar w:fldCharType="separate"/>
      </w:r>
      <w:r>
        <w:rPr>
          <w:rFonts w:ascii="Times New Roman"/>
          <w:szCs w:val="21"/>
        </w:rPr>
        <w:t>①</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3 \* GB3 \* MERGEFORMAT </w:instrText>
      </w:r>
      <w:r>
        <w:rPr>
          <w:rFonts w:ascii="Times New Roman"/>
          <w:szCs w:val="21"/>
        </w:rPr>
        <w:fldChar w:fldCharType="separate"/>
      </w:r>
      <w:r>
        <w:rPr>
          <w:rFonts w:ascii="Times New Roman"/>
          <w:szCs w:val="21"/>
        </w:rPr>
        <w:t>③</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4 \* GB3 \* MERGEFORMAT </w:instrText>
      </w:r>
      <w:r>
        <w:rPr>
          <w:rFonts w:ascii="Times New Roman"/>
          <w:szCs w:val="21"/>
        </w:rPr>
        <w:fldChar w:fldCharType="separate"/>
      </w:r>
      <w:r>
        <w:rPr>
          <w:rFonts w:ascii="Times New Roman"/>
          <w:szCs w:val="21"/>
        </w:rPr>
        <w:t>④</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5 \* GB3 \* MERGEFORMAT </w:instrText>
      </w:r>
      <w:r>
        <w:rPr>
          <w:rFonts w:ascii="Times New Roman"/>
          <w:szCs w:val="21"/>
        </w:rPr>
        <w:fldChar w:fldCharType="separate"/>
      </w:r>
      <w:r>
        <w:rPr>
          <w:rFonts w:ascii="Times New Roman"/>
          <w:szCs w:val="21"/>
        </w:rPr>
        <w:t>⑤</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7 \* GB3 \* MERGEFORMAT </w:instrText>
      </w:r>
      <w:r>
        <w:rPr>
          <w:rFonts w:ascii="Times New Roman"/>
          <w:szCs w:val="21"/>
        </w:rPr>
        <w:fldChar w:fldCharType="separate"/>
      </w:r>
      <w:r>
        <w:rPr>
          <w:rFonts w:ascii="Times New Roman"/>
          <w:szCs w:val="21"/>
        </w:rPr>
        <w:t>⑦</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6 \* GB3 \* MERGEFORMAT </w:instrText>
      </w:r>
      <w:r>
        <w:rPr>
          <w:rFonts w:ascii="Times New Roman"/>
          <w:szCs w:val="21"/>
        </w:rPr>
        <w:fldChar w:fldCharType="separate"/>
      </w:r>
      <w:r>
        <w:rPr>
          <w:rFonts w:ascii="Times New Roman"/>
          <w:szCs w:val="21"/>
        </w:rPr>
        <w:t>⑥</w:t>
      </w:r>
      <w:r>
        <w:rPr>
          <w:rFonts w:ascii="Times New Roman"/>
          <w:szCs w:val="21"/>
        </w:rPr>
        <w:fldChar w:fldCharType="end"/>
      </w:r>
      <w:r>
        <w:rPr>
          <w:rFonts w:ascii="Times New Roman"/>
          <w:szCs w:val="21"/>
        </w:rPr>
        <w:t>-</w:t>
      </w:r>
      <w:r>
        <w:rPr>
          <w:rFonts w:ascii="Times New Roman"/>
          <w:szCs w:val="21"/>
        </w:rPr>
        <w:fldChar w:fldCharType="begin"/>
      </w:r>
      <w:r>
        <w:rPr>
          <w:rFonts w:ascii="Times New Roman"/>
          <w:szCs w:val="21"/>
        </w:rPr>
        <w:instrText xml:space="preserve"> = 1 \* GB3 \* MERGEFORMAT </w:instrText>
      </w:r>
      <w:r>
        <w:rPr>
          <w:rFonts w:ascii="Times New Roman"/>
          <w:szCs w:val="21"/>
        </w:rPr>
        <w:fldChar w:fldCharType="separate"/>
      </w:r>
      <w:r>
        <w:rPr>
          <w:rFonts w:ascii="Times New Roman"/>
          <w:szCs w:val="21"/>
        </w:rPr>
        <w:t>①</w:t>
      </w:r>
      <w:r>
        <w:rPr>
          <w:rFonts w:ascii="Times New Roman"/>
          <w:szCs w:val="21"/>
        </w:rPr>
        <w:fldChar w:fldCharType="end"/>
      </w:r>
    </w:p>
    <w:sectPr>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宋?">
    <w:altName w:val="宋体"/>
    <w:panose1 w:val="00000000000000000000"/>
    <w:charset w:val="81"/>
    <w:family w:val="auto"/>
    <w:pitch w:val="default"/>
    <w:sig w:usb0="00000000" w:usb1="00000000" w:usb2="00000010" w:usb3="00000000" w:csb0="00080000"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62C5B">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B7C1C">
                          <w:pPr>
                            <w:pStyle w:val="18"/>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C4B7C1C">
                    <w:pPr>
                      <w:pStyle w:val="1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33D69">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F7D2E"/>
    <w:multiLevelType w:val="singleLevel"/>
    <w:tmpl w:val="E81F7D2E"/>
    <w:lvl w:ilvl="0" w:tentative="0">
      <w:start w:val="2"/>
      <w:numFmt w:val="decimal"/>
      <w:suff w:val="nothing"/>
      <w:lvlText w:val="（%1）"/>
      <w:lvlJc w:val="left"/>
    </w:lvl>
  </w:abstractNum>
  <w:abstractNum w:abstractNumId="1">
    <w:nsid w:val="F836F78D"/>
    <w:multiLevelType w:val="singleLevel"/>
    <w:tmpl w:val="F836F78D"/>
    <w:lvl w:ilvl="0" w:tentative="0">
      <w:start w:val="1"/>
      <w:numFmt w:val="decimal"/>
      <w:suff w:val="nothing"/>
      <w:lvlText w:val="%1、"/>
      <w:lvlJc w:val="left"/>
    </w:lvl>
  </w:abstractNum>
  <w:abstractNum w:abstractNumId="2">
    <w:nsid w:val="230290E9"/>
    <w:multiLevelType w:val="singleLevel"/>
    <w:tmpl w:val="230290E9"/>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hZDZkMjhlMzdjZWY5YmUyYWMxMjY4NzBkMTE3OWQifQ=="/>
  </w:docVars>
  <w:rsids>
    <w:rsidRoot w:val="0C1F2DCC"/>
    <w:rsid w:val="00005C9A"/>
    <w:rsid w:val="00042267"/>
    <w:rsid w:val="00063A81"/>
    <w:rsid w:val="00077858"/>
    <w:rsid w:val="000E4CC8"/>
    <w:rsid w:val="001141B7"/>
    <w:rsid w:val="001607C2"/>
    <w:rsid w:val="001C48C7"/>
    <w:rsid w:val="001E0D14"/>
    <w:rsid w:val="0022599F"/>
    <w:rsid w:val="00246794"/>
    <w:rsid w:val="0026033F"/>
    <w:rsid w:val="00267887"/>
    <w:rsid w:val="00291C9D"/>
    <w:rsid w:val="002A79CD"/>
    <w:rsid w:val="002B2AF1"/>
    <w:rsid w:val="002E2A01"/>
    <w:rsid w:val="00304D46"/>
    <w:rsid w:val="00360E24"/>
    <w:rsid w:val="003A6B0B"/>
    <w:rsid w:val="003A6F8F"/>
    <w:rsid w:val="003F417C"/>
    <w:rsid w:val="004272F2"/>
    <w:rsid w:val="00511B8E"/>
    <w:rsid w:val="00560A2E"/>
    <w:rsid w:val="00595525"/>
    <w:rsid w:val="0061134D"/>
    <w:rsid w:val="00612B32"/>
    <w:rsid w:val="00625D60"/>
    <w:rsid w:val="0064444E"/>
    <w:rsid w:val="006714A6"/>
    <w:rsid w:val="006A2187"/>
    <w:rsid w:val="00713E3F"/>
    <w:rsid w:val="007151F5"/>
    <w:rsid w:val="00806123"/>
    <w:rsid w:val="00813679"/>
    <w:rsid w:val="008A247B"/>
    <w:rsid w:val="008B0528"/>
    <w:rsid w:val="00911F82"/>
    <w:rsid w:val="0091407C"/>
    <w:rsid w:val="00924535"/>
    <w:rsid w:val="00927A84"/>
    <w:rsid w:val="00932AE2"/>
    <w:rsid w:val="009F432C"/>
    <w:rsid w:val="00A206AD"/>
    <w:rsid w:val="00A34082"/>
    <w:rsid w:val="00A35E24"/>
    <w:rsid w:val="00A52506"/>
    <w:rsid w:val="00A951C5"/>
    <w:rsid w:val="00AF04CC"/>
    <w:rsid w:val="00B32418"/>
    <w:rsid w:val="00B406C6"/>
    <w:rsid w:val="00B52690"/>
    <w:rsid w:val="00B5443F"/>
    <w:rsid w:val="00B83EB7"/>
    <w:rsid w:val="00BA2A66"/>
    <w:rsid w:val="00BA6A98"/>
    <w:rsid w:val="00BC2B0F"/>
    <w:rsid w:val="00C52A95"/>
    <w:rsid w:val="00C72B4E"/>
    <w:rsid w:val="00C77DB1"/>
    <w:rsid w:val="00CB629C"/>
    <w:rsid w:val="00CC0950"/>
    <w:rsid w:val="00CF5A9E"/>
    <w:rsid w:val="00CF7090"/>
    <w:rsid w:val="00D4547A"/>
    <w:rsid w:val="00D66D43"/>
    <w:rsid w:val="00DC0FBC"/>
    <w:rsid w:val="00E7644C"/>
    <w:rsid w:val="00E95210"/>
    <w:rsid w:val="00ED0BE1"/>
    <w:rsid w:val="00ED1C1A"/>
    <w:rsid w:val="00F33212"/>
    <w:rsid w:val="01442B49"/>
    <w:rsid w:val="014632E9"/>
    <w:rsid w:val="01466841"/>
    <w:rsid w:val="014E6758"/>
    <w:rsid w:val="015A25A9"/>
    <w:rsid w:val="01610122"/>
    <w:rsid w:val="01632C99"/>
    <w:rsid w:val="01697F39"/>
    <w:rsid w:val="017936BE"/>
    <w:rsid w:val="018B433A"/>
    <w:rsid w:val="018C16E0"/>
    <w:rsid w:val="018C574A"/>
    <w:rsid w:val="018F4C90"/>
    <w:rsid w:val="0198409B"/>
    <w:rsid w:val="01A26771"/>
    <w:rsid w:val="01B82438"/>
    <w:rsid w:val="01B85F94"/>
    <w:rsid w:val="01C06EC1"/>
    <w:rsid w:val="01DF2DB5"/>
    <w:rsid w:val="01E23011"/>
    <w:rsid w:val="01E8571A"/>
    <w:rsid w:val="02083043"/>
    <w:rsid w:val="0227136C"/>
    <w:rsid w:val="023A4BFB"/>
    <w:rsid w:val="02451616"/>
    <w:rsid w:val="02697CA6"/>
    <w:rsid w:val="027922D3"/>
    <w:rsid w:val="029D518A"/>
    <w:rsid w:val="02A930AC"/>
    <w:rsid w:val="02B321E0"/>
    <w:rsid w:val="02B473C2"/>
    <w:rsid w:val="02B52371"/>
    <w:rsid w:val="02B8279A"/>
    <w:rsid w:val="02CA7918"/>
    <w:rsid w:val="02F2197A"/>
    <w:rsid w:val="0309313E"/>
    <w:rsid w:val="030F486F"/>
    <w:rsid w:val="031A3BF0"/>
    <w:rsid w:val="032639FF"/>
    <w:rsid w:val="03507189"/>
    <w:rsid w:val="035C6DF3"/>
    <w:rsid w:val="03B63E88"/>
    <w:rsid w:val="03CC1D1E"/>
    <w:rsid w:val="04072F97"/>
    <w:rsid w:val="041F4F2F"/>
    <w:rsid w:val="04400FB7"/>
    <w:rsid w:val="046454DD"/>
    <w:rsid w:val="04A15406"/>
    <w:rsid w:val="04C85F2D"/>
    <w:rsid w:val="04CB3461"/>
    <w:rsid w:val="04F73278"/>
    <w:rsid w:val="04F944FB"/>
    <w:rsid w:val="052D4EEB"/>
    <w:rsid w:val="053700D7"/>
    <w:rsid w:val="055C1289"/>
    <w:rsid w:val="059142D1"/>
    <w:rsid w:val="05DB04A3"/>
    <w:rsid w:val="05DC159B"/>
    <w:rsid w:val="05FC1E78"/>
    <w:rsid w:val="06066A1E"/>
    <w:rsid w:val="060D2611"/>
    <w:rsid w:val="0627491E"/>
    <w:rsid w:val="06377541"/>
    <w:rsid w:val="064A6047"/>
    <w:rsid w:val="0659586C"/>
    <w:rsid w:val="065B2751"/>
    <w:rsid w:val="0662275C"/>
    <w:rsid w:val="0674148A"/>
    <w:rsid w:val="06771F57"/>
    <w:rsid w:val="06A200AD"/>
    <w:rsid w:val="06A47BDD"/>
    <w:rsid w:val="06D73361"/>
    <w:rsid w:val="06EE226F"/>
    <w:rsid w:val="070800AD"/>
    <w:rsid w:val="07212DDD"/>
    <w:rsid w:val="072B545A"/>
    <w:rsid w:val="073E6B90"/>
    <w:rsid w:val="07456567"/>
    <w:rsid w:val="074D3623"/>
    <w:rsid w:val="0767791B"/>
    <w:rsid w:val="07D0225B"/>
    <w:rsid w:val="07DC6820"/>
    <w:rsid w:val="07E1316C"/>
    <w:rsid w:val="07FD3577"/>
    <w:rsid w:val="082B0327"/>
    <w:rsid w:val="082C214F"/>
    <w:rsid w:val="083D58C4"/>
    <w:rsid w:val="08437117"/>
    <w:rsid w:val="084C7436"/>
    <w:rsid w:val="085E01B4"/>
    <w:rsid w:val="08757E68"/>
    <w:rsid w:val="08857F6D"/>
    <w:rsid w:val="08DD4532"/>
    <w:rsid w:val="08F0070A"/>
    <w:rsid w:val="08FA1588"/>
    <w:rsid w:val="09134014"/>
    <w:rsid w:val="091C7001"/>
    <w:rsid w:val="092B34F0"/>
    <w:rsid w:val="093C7F60"/>
    <w:rsid w:val="093E0542"/>
    <w:rsid w:val="09B12175"/>
    <w:rsid w:val="09EB76C8"/>
    <w:rsid w:val="09EE1921"/>
    <w:rsid w:val="09F85730"/>
    <w:rsid w:val="09FC684E"/>
    <w:rsid w:val="0A08577D"/>
    <w:rsid w:val="0A1576C5"/>
    <w:rsid w:val="0A22344A"/>
    <w:rsid w:val="0A2B3AFA"/>
    <w:rsid w:val="0A6A5323"/>
    <w:rsid w:val="0A760658"/>
    <w:rsid w:val="0A783E4C"/>
    <w:rsid w:val="0A876DA4"/>
    <w:rsid w:val="0A8B6BDA"/>
    <w:rsid w:val="0A9A7ED3"/>
    <w:rsid w:val="0AA5353C"/>
    <w:rsid w:val="0AC126BD"/>
    <w:rsid w:val="0AC54FD0"/>
    <w:rsid w:val="0ACA6D38"/>
    <w:rsid w:val="0AD93DD1"/>
    <w:rsid w:val="0AE47DFA"/>
    <w:rsid w:val="0AEA6446"/>
    <w:rsid w:val="0B2068A2"/>
    <w:rsid w:val="0B255CCD"/>
    <w:rsid w:val="0B4C054D"/>
    <w:rsid w:val="0B4D1BF1"/>
    <w:rsid w:val="0B4F31EC"/>
    <w:rsid w:val="0B6242F0"/>
    <w:rsid w:val="0B783FE8"/>
    <w:rsid w:val="0B793D00"/>
    <w:rsid w:val="0BB17841"/>
    <w:rsid w:val="0BB92BF9"/>
    <w:rsid w:val="0BBD342B"/>
    <w:rsid w:val="0BBE234C"/>
    <w:rsid w:val="0BDE2A9B"/>
    <w:rsid w:val="0BE300B2"/>
    <w:rsid w:val="0BFA7FFF"/>
    <w:rsid w:val="0C1F2DCC"/>
    <w:rsid w:val="0C2D252D"/>
    <w:rsid w:val="0C2F7405"/>
    <w:rsid w:val="0C4F6551"/>
    <w:rsid w:val="0C7D22B4"/>
    <w:rsid w:val="0C7E427E"/>
    <w:rsid w:val="0CC84FD1"/>
    <w:rsid w:val="0CF13FFA"/>
    <w:rsid w:val="0CF42427"/>
    <w:rsid w:val="0D0360C1"/>
    <w:rsid w:val="0D047EF0"/>
    <w:rsid w:val="0D0677C9"/>
    <w:rsid w:val="0D364F58"/>
    <w:rsid w:val="0D435C89"/>
    <w:rsid w:val="0D645222"/>
    <w:rsid w:val="0D81672D"/>
    <w:rsid w:val="0D841A9C"/>
    <w:rsid w:val="0D8E04F1"/>
    <w:rsid w:val="0D904269"/>
    <w:rsid w:val="0D9B6D90"/>
    <w:rsid w:val="0DAC4BAD"/>
    <w:rsid w:val="0DAE614A"/>
    <w:rsid w:val="0DAF57AB"/>
    <w:rsid w:val="0DFD7F15"/>
    <w:rsid w:val="0E026CCE"/>
    <w:rsid w:val="0E0662D9"/>
    <w:rsid w:val="0E1A5E05"/>
    <w:rsid w:val="0E213113"/>
    <w:rsid w:val="0E241805"/>
    <w:rsid w:val="0E4134C0"/>
    <w:rsid w:val="0E5067DC"/>
    <w:rsid w:val="0E76601D"/>
    <w:rsid w:val="0E873A5B"/>
    <w:rsid w:val="0E98315E"/>
    <w:rsid w:val="0E9C3207"/>
    <w:rsid w:val="0E9C4D57"/>
    <w:rsid w:val="0EC45B3A"/>
    <w:rsid w:val="0EC8358F"/>
    <w:rsid w:val="0ECA7307"/>
    <w:rsid w:val="0ECC4B2E"/>
    <w:rsid w:val="0EE96F42"/>
    <w:rsid w:val="0F11462F"/>
    <w:rsid w:val="0F26430D"/>
    <w:rsid w:val="0F2B145A"/>
    <w:rsid w:val="0F2B249C"/>
    <w:rsid w:val="0F357C2D"/>
    <w:rsid w:val="0F3C0423"/>
    <w:rsid w:val="0F3C5806"/>
    <w:rsid w:val="0F6E03DF"/>
    <w:rsid w:val="0F827BE2"/>
    <w:rsid w:val="0F9D4D1E"/>
    <w:rsid w:val="0FAA39E5"/>
    <w:rsid w:val="0FC05FDF"/>
    <w:rsid w:val="0FC94435"/>
    <w:rsid w:val="0FD536AF"/>
    <w:rsid w:val="1001144E"/>
    <w:rsid w:val="100C2CA2"/>
    <w:rsid w:val="100D41FF"/>
    <w:rsid w:val="101F7CD8"/>
    <w:rsid w:val="102B2DC0"/>
    <w:rsid w:val="106D746C"/>
    <w:rsid w:val="107620E6"/>
    <w:rsid w:val="10822CDF"/>
    <w:rsid w:val="108E5B44"/>
    <w:rsid w:val="10967B98"/>
    <w:rsid w:val="109951E3"/>
    <w:rsid w:val="10996BDA"/>
    <w:rsid w:val="10BA4D47"/>
    <w:rsid w:val="10C96CAE"/>
    <w:rsid w:val="10FE2C70"/>
    <w:rsid w:val="10FF2CA0"/>
    <w:rsid w:val="11062F9A"/>
    <w:rsid w:val="11080E7F"/>
    <w:rsid w:val="11350F7E"/>
    <w:rsid w:val="113636DA"/>
    <w:rsid w:val="113E5D8A"/>
    <w:rsid w:val="114478CC"/>
    <w:rsid w:val="114E4DC0"/>
    <w:rsid w:val="11616FFB"/>
    <w:rsid w:val="11681FE1"/>
    <w:rsid w:val="1198551F"/>
    <w:rsid w:val="11A73171"/>
    <w:rsid w:val="11AF40C6"/>
    <w:rsid w:val="11C25C30"/>
    <w:rsid w:val="11D16BFE"/>
    <w:rsid w:val="11E061B8"/>
    <w:rsid w:val="11FE3E97"/>
    <w:rsid w:val="12027C77"/>
    <w:rsid w:val="12133237"/>
    <w:rsid w:val="12154D3D"/>
    <w:rsid w:val="12176D07"/>
    <w:rsid w:val="121A05A5"/>
    <w:rsid w:val="12576D02"/>
    <w:rsid w:val="126704C7"/>
    <w:rsid w:val="12695589"/>
    <w:rsid w:val="1272218F"/>
    <w:rsid w:val="12A72D1C"/>
    <w:rsid w:val="12B1737F"/>
    <w:rsid w:val="12D35DA0"/>
    <w:rsid w:val="12E20AB8"/>
    <w:rsid w:val="1302463D"/>
    <w:rsid w:val="13166FBF"/>
    <w:rsid w:val="13222E57"/>
    <w:rsid w:val="135B0E75"/>
    <w:rsid w:val="135F095F"/>
    <w:rsid w:val="13644166"/>
    <w:rsid w:val="13A9398F"/>
    <w:rsid w:val="13C540FC"/>
    <w:rsid w:val="13E32E07"/>
    <w:rsid w:val="13F647FB"/>
    <w:rsid w:val="14125FD5"/>
    <w:rsid w:val="141B23B3"/>
    <w:rsid w:val="142179C9"/>
    <w:rsid w:val="14221993"/>
    <w:rsid w:val="14237BE5"/>
    <w:rsid w:val="14487140"/>
    <w:rsid w:val="144D4C62"/>
    <w:rsid w:val="14733FAA"/>
    <w:rsid w:val="14D44292"/>
    <w:rsid w:val="14E022D7"/>
    <w:rsid w:val="14E33B01"/>
    <w:rsid w:val="150D2643"/>
    <w:rsid w:val="15204194"/>
    <w:rsid w:val="153723B4"/>
    <w:rsid w:val="15403824"/>
    <w:rsid w:val="15531688"/>
    <w:rsid w:val="1554390E"/>
    <w:rsid w:val="15714980"/>
    <w:rsid w:val="15826874"/>
    <w:rsid w:val="15830FC4"/>
    <w:rsid w:val="15A27BB8"/>
    <w:rsid w:val="15AD564F"/>
    <w:rsid w:val="15ED6C00"/>
    <w:rsid w:val="15FF3ED9"/>
    <w:rsid w:val="16040F59"/>
    <w:rsid w:val="163946DA"/>
    <w:rsid w:val="16397379"/>
    <w:rsid w:val="16553E12"/>
    <w:rsid w:val="167A7865"/>
    <w:rsid w:val="168D7598"/>
    <w:rsid w:val="16970417"/>
    <w:rsid w:val="169C6666"/>
    <w:rsid w:val="16A20C0C"/>
    <w:rsid w:val="16AE3CEF"/>
    <w:rsid w:val="16BE26F9"/>
    <w:rsid w:val="16BF27D3"/>
    <w:rsid w:val="16C227A1"/>
    <w:rsid w:val="16C41C8F"/>
    <w:rsid w:val="16C86785"/>
    <w:rsid w:val="16D61039"/>
    <w:rsid w:val="16E7248D"/>
    <w:rsid w:val="170034B7"/>
    <w:rsid w:val="170371DE"/>
    <w:rsid w:val="171C015C"/>
    <w:rsid w:val="171F2E06"/>
    <w:rsid w:val="17234F8D"/>
    <w:rsid w:val="17946FA9"/>
    <w:rsid w:val="17AB16F0"/>
    <w:rsid w:val="17B40A94"/>
    <w:rsid w:val="17F65611"/>
    <w:rsid w:val="17F739D5"/>
    <w:rsid w:val="180E295A"/>
    <w:rsid w:val="18356139"/>
    <w:rsid w:val="183D0B4A"/>
    <w:rsid w:val="185C1E3F"/>
    <w:rsid w:val="18A90457"/>
    <w:rsid w:val="18B1621A"/>
    <w:rsid w:val="18C94142"/>
    <w:rsid w:val="18D06747"/>
    <w:rsid w:val="18F002B2"/>
    <w:rsid w:val="191143D5"/>
    <w:rsid w:val="192B6EBD"/>
    <w:rsid w:val="194B20B3"/>
    <w:rsid w:val="19550115"/>
    <w:rsid w:val="195779F8"/>
    <w:rsid w:val="19856003"/>
    <w:rsid w:val="198623EC"/>
    <w:rsid w:val="19C825D2"/>
    <w:rsid w:val="19D007FC"/>
    <w:rsid w:val="19E15E91"/>
    <w:rsid w:val="1A172FB9"/>
    <w:rsid w:val="1A193AB0"/>
    <w:rsid w:val="1A362BB5"/>
    <w:rsid w:val="1A650025"/>
    <w:rsid w:val="1A703458"/>
    <w:rsid w:val="1A884E61"/>
    <w:rsid w:val="1A8A2D12"/>
    <w:rsid w:val="1AC93287"/>
    <w:rsid w:val="1AE73726"/>
    <w:rsid w:val="1AEE755E"/>
    <w:rsid w:val="1AF20A7D"/>
    <w:rsid w:val="1B1A3DEC"/>
    <w:rsid w:val="1B1C538E"/>
    <w:rsid w:val="1B344848"/>
    <w:rsid w:val="1B3C348F"/>
    <w:rsid w:val="1B3F4E91"/>
    <w:rsid w:val="1B56391A"/>
    <w:rsid w:val="1B855C23"/>
    <w:rsid w:val="1BA644D9"/>
    <w:rsid w:val="1BB70D86"/>
    <w:rsid w:val="1BD7788B"/>
    <w:rsid w:val="1C0F1283"/>
    <w:rsid w:val="1C116575"/>
    <w:rsid w:val="1C204A0A"/>
    <w:rsid w:val="1C4C627A"/>
    <w:rsid w:val="1C4D5C5B"/>
    <w:rsid w:val="1C512AC8"/>
    <w:rsid w:val="1C5839CE"/>
    <w:rsid w:val="1C660B0B"/>
    <w:rsid w:val="1C6C5EA1"/>
    <w:rsid w:val="1C820B09"/>
    <w:rsid w:val="1C847FCD"/>
    <w:rsid w:val="1C8B27CB"/>
    <w:rsid w:val="1CAA7995"/>
    <w:rsid w:val="1CB3587E"/>
    <w:rsid w:val="1CCE1F86"/>
    <w:rsid w:val="1CE75528"/>
    <w:rsid w:val="1CED1CDC"/>
    <w:rsid w:val="1CFD09E0"/>
    <w:rsid w:val="1CFE11EF"/>
    <w:rsid w:val="1D047E88"/>
    <w:rsid w:val="1D175677"/>
    <w:rsid w:val="1D1A13FE"/>
    <w:rsid w:val="1D412E8A"/>
    <w:rsid w:val="1D550FFF"/>
    <w:rsid w:val="1D605915"/>
    <w:rsid w:val="1D690B19"/>
    <w:rsid w:val="1DE026A3"/>
    <w:rsid w:val="1DFB6315"/>
    <w:rsid w:val="1E3948D8"/>
    <w:rsid w:val="1E623311"/>
    <w:rsid w:val="1E6C189B"/>
    <w:rsid w:val="1E711FE0"/>
    <w:rsid w:val="1E7B4EF2"/>
    <w:rsid w:val="1E854FF8"/>
    <w:rsid w:val="1EAB0F03"/>
    <w:rsid w:val="1EAB15DD"/>
    <w:rsid w:val="1EB11141"/>
    <w:rsid w:val="1ED82BB3"/>
    <w:rsid w:val="1EE61958"/>
    <w:rsid w:val="1F040908"/>
    <w:rsid w:val="1F070103"/>
    <w:rsid w:val="1F131000"/>
    <w:rsid w:val="1F8134DC"/>
    <w:rsid w:val="1F82086B"/>
    <w:rsid w:val="1F903C55"/>
    <w:rsid w:val="1F9E6C9B"/>
    <w:rsid w:val="1FA414E1"/>
    <w:rsid w:val="1FA52E9B"/>
    <w:rsid w:val="1FC009DE"/>
    <w:rsid w:val="1FCA27F0"/>
    <w:rsid w:val="1FCD0893"/>
    <w:rsid w:val="1FD85EA7"/>
    <w:rsid w:val="204818E9"/>
    <w:rsid w:val="20511C40"/>
    <w:rsid w:val="20634F5D"/>
    <w:rsid w:val="206C021E"/>
    <w:rsid w:val="20810319"/>
    <w:rsid w:val="20942FC2"/>
    <w:rsid w:val="209B41AC"/>
    <w:rsid w:val="20A13BF3"/>
    <w:rsid w:val="20A24053"/>
    <w:rsid w:val="20A45DD5"/>
    <w:rsid w:val="20A774A8"/>
    <w:rsid w:val="20E34258"/>
    <w:rsid w:val="2140333D"/>
    <w:rsid w:val="2150158B"/>
    <w:rsid w:val="215533AC"/>
    <w:rsid w:val="217456BD"/>
    <w:rsid w:val="21820941"/>
    <w:rsid w:val="21973AD7"/>
    <w:rsid w:val="21C47114"/>
    <w:rsid w:val="21C67E02"/>
    <w:rsid w:val="21C94C40"/>
    <w:rsid w:val="2210107D"/>
    <w:rsid w:val="22112669"/>
    <w:rsid w:val="22154A23"/>
    <w:rsid w:val="224F496F"/>
    <w:rsid w:val="22525B39"/>
    <w:rsid w:val="226E2D08"/>
    <w:rsid w:val="22723AE6"/>
    <w:rsid w:val="228A4478"/>
    <w:rsid w:val="22DC3905"/>
    <w:rsid w:val="22DF4E34"/>
    <w:rsid w:val="22E20C6B"/>
    <w:rsid w:val="22E36792"/>
    <w:rsid w:val="22FB2B5B"/>
    <w:rsid w:val="230D281F"/>
    <w:rsid w:val="230E4F54"/>
    <w:rsid w:val="231C6C0C"/>
    <w:rsid w:val="232D6ACA"/>
    <w:rsid w:val="234A007C"/>
    <w:rsid w:val="234C07DB"/>
    <w:rsid w:val="23582DB3"/>
    <w:rsid w:val="237F4EB8"/>
    <w:rsid w:val="23B42AC3"/>
    <w:rsid w:val="23C04D9C"/>
    <w:rsid w:val="241910E8"/>
    <w:rsid w:val="242D23BA"/>
    <w:rsid w:val="243D11CD"/>
    <w:rsid w:val="243F38C6"/>
    <w:rsid w:val="244B521D"/>
    <w:rsid w:val="24631927"/>
    <w:rsid w:val="246D27B7"/>
    <w:rsid w:val="246E3050"/>
    <w:rsid w:val="24704055"/>
    <w:rsid w:val="248366DB"/>
    <w:rsid w:val="24861743"/>
    <w:rsid w:val="24951333"/>
    <w:rsid w:val="24967F5F"/>
    <w:rsid w:val="24A361D8"/>
    <w:rsid w:val="24AC0D88"/>
    <w:rsid w:val="24B04ABD"/>
    <w:rsid w:val="24C35D2A"/>
    <w:rsid w:val="24E50A8B"/>
    <w:rsid w:val="24E810CA"/>
    <w:rsid w:val="252962B8"/>
    <w:rsid w:val="25733DFD"/>
    <w:rsid w:val="25842C2F"/>
    <w:rsid w:val="25914FED"/>
    <w:rsid w:val="25CA53CE"/>
    <w:rsid w:val="25E33F61"/>
    <w:rsid w:val="25F1570B"/>
    <w:rsid w:val="25F87081"/>
    <w:rsid w:val="261836C2"/>
    <w:rsid w:val="261B0BE5"/>
    <w:rsid w:val="26243349"/>
    <w:rsid w:val="262B46D7"/>
    <w:rsid w:val="26325116"/>
    <w:rsid w:val="2641707A"/>
    <w:rsid w:val="266D6A9E"/>
    <w:rsid w:val="268632D1"/>
    <w:rsid w:val="2689097C"/>
    <w:rsid w:val="269D3AE8"/>
    <w:rsid w:val="26C6222D"/>
    <w:rsid w:val="26C62864"/>
    <w:rsid w:val="26C94AB8"/>
    <w:rsid w:val="26DF395B"/>
    <w:rsid w:val="27321142"/>
    <w:rsid w:val="275D209A"/>
    <w:rsid w:val="27731758"/>
    <w:rsid w:val="278C0871"/>
    <w:rsid w:val="27CF6287"/>
    <w:rsid w:val="27D43884"/>
    <w:rsid w:val="27ED292C"/>
    <w:rsid w:val="28164F13"/>
    <w:rsid w:val="282B3C6E"/>
    <w:rsid w:val="282F4953"/>
    <w:rsid w:val="28501936"/>
    <w:rsid w:val="28AE0D1D"/>
    <w:rsid w:val="28BA4AEC"/>
    <w:rsid w:val="28E62B38"/>
    <w:rsid w:val="290F58EC"/>
    <w:rsid w:val="2911526E"/>
    <w:rsid w:val="29170E8E"/>
    <w:rsid w:val="29332221"/>
    <w:rsid w:val="29432365"/>
    <w:rsid w:val="2944442E"/>
    <w:rsid w:val="29564161"/>
    <w:rsid w:val="29724D07"/>
    <w:rsid w:val="2975478A"/>
    <w:rsid w:val="297C3111"/>
    <w:rsid w:val="298170A7"/>
    <w:rsid w:val="29AB1F7D"/>
    <w:rsid w:val="29AE5D4B"/>
    <w:rsid w:val="29D15596"/>
    <w:rsid w:val="29D62BAC"/>
    <w:rsid w:val="29E131D0"/>
    <w:rsid w:val="29EC0622"/>
    <w:rsid w:val="29F300F3"/>
    <w:rsid w:val="29F51159"/>
    <w:rsid w:val="2A282186"/>
    <w:rsid w:val="2A307DDF"/>
    <w:rsid w:val="2A7638F5"/>
    <w:rsid w:val="2A7C03DA"/>
    <w:rsid w:val="2AA57968"/>
    <w:rsid w:val="2AB2365B"/>
    <w:rsid w:val="2ABA3689"/>
    <w:rsid w:val="2AC85C14"/>
    <w:rsid w:val="2AC929EB"/>
    <w:rsid w:val="2AE242A4"/>
    <w:rsid w:val="2AEF5AF1"/>
    <w:rsid w:val="2AF1292B"/>
    <w:rsid w:val="2B5B15BB"/>
    <w:rsid w:val="2B5F6B58"/>
    <w:rsid w:val="2B626DED"/>
    <w:rsid w:val="2B921DBA"/>
    <w:rsid w:val="2B946BF8"/>
    <w:rsid w:val="2B982812"/>
    <w:rsid w:val="2BB416C0"/>
    <w:rsid w:val="2BC3298F"/>
    <w:rsid w:val="2BE14393"/>
    <w:rsid w:val="2BE14CEF"/>
    <w:rsid w:val="2BEC0DDA"/>
    <w:rsid w:val="2BF13CCD"/>
    <w:rsid w:val="2C0326A1"/>
    <w:rsid w:val="2C093C58"/>
    <w:rsid w:val="2C144A64"/>
    <w:rsid w:val="2C2E2261"/>
    <w:rsid w:val="2C3167C0"/>
    <w:rsid w:val="2C3F712F"/>
    <w:rsid w:val="2C460478"/>
    <w:rsid w:val="2C581B67"/>
    <w:rsid w:val="2C5D2038"/>
    <w:rsid w:val="2C650273"/>
    <w:rsid w:val="2C6941AB"/>
    <w:rsid w:val="2C756168"/>
    <w:rsid w:val="2C774EC1"/>
    <w:rsid w:val="2C866E9C"/>
    <w:rsid w:val="2C921832"/>
    <w:rsid w:val="2CA35621"/>
    <w:rsid w:val="2CC309B9"/>
    <w:rsid w:val="2CF134E7"/>
    <w:rsid w:val="2CF25A16"/>
    <w:rsid w:val="2CFF3B52"/>
    <w:rsid w:val="2D0B0C6D"/>
    <w:rsid w:val="2D0D7704"/>
    <w:rsid w:val="2D256324"/>
    <w:rsid w:val="2D376058"/>
    <w:rsid w:val="2D485B6F"/>
    <w:rsid w:val="2D7B0A4D"/>
    <w:rsid w:val="2D970F00"/>
    <w:rsid w:val="2DAD1E76"/>
    <w:rsid w:val="2DAF2092"/>
    <w:rsid w:val="2DC518B5"/>
    <w:rsid w:val="2DC90DA8"/>
    <w:rsid w:val="2DE97352"/>
    <w:rsid w:val="2E036741"/>
    <w:rsid w:val="2E16181F"/>
    <w:rsid w:val="2E290331"/>
    <w:rsid w:val="2E385C78"/>
    <w:rsid w:val="2E3D7722"/>
    <w:rsid w:val="2E562DAF"/>
    <w:rsid w:val="2E7163B9"/>
    <w:rsid w:val="2E7F11A2"/>
    <w:rsid w:val="2E8B1A8D"/>
    <w:rsid w:val="2E924175"/>
    <w:rsid w:val="2EF835C5"/>
    <w:rsid w:val="2F5A662F"/>
    <w:rsid w:val="2F8F217B"/>
    <w:rsid w:val="2FBC45F2"/>
    <w:rsid w:val="2FDF195C"/>
    <w:rsid w:val="2FED502D"/>
    <w:rsid w:val="2FF1220A"/>
    <w:rsid w:val="2FF26C4D"/>
    <w:rsid w:val="305536E3"/>
    <w:rsid w:val="30656A38"/>
    <w:rsid w:val="30A4011C"/>
    <w:rsid w:val="30F304E8"/>
    <w:rsid w:val="30FF1CFC"/>
    <w:rsid w:val="310349C4"/>
    <w:rsid w:val="31070CEE"/>
    <w:rsid w:val="314F5092"/>
    <w:rsid w:val="31594C51"/>
    <w:rsid w:val="315E1E05"/>
    <w:rsid w:val="317753A4"/>
    <w:rsid w:val="318F0210"/>
    <w:rsid w:val="31996DFC"/>
    <w:rsid w:val="31AD6A0A"/>
    <w:rsid w:val="31B4737A"/>
    <w:rsid w:val="31B52719"/>
    <w:rsid w:val="31B811EB"/>
    <w:rsid w:val="31D3018C"/>
    <w:rsid w:val="322936B9"/>
    <w:rsid w:val="322E0A14"/>
    <w:rsid w:val="323F1908"/>
    <w:rsid w:val="32872F23"/>
    <w:rsid w:val="32A74481"/>
    <w:rsid w:val="32CF2A6C"/>
    <w:rsid w:val="32DF0932"/>
    <w:rsid w:val="32DF6F75"/>
    <w:rsid w:val="32EB3845"/>
    <w:rsid w:val="32EE71B8"/>
    <w:rsid w:val="32EF2FCD"/>
    <w:rsid w:val="32FF7967"/>
    <w:rsid w:val="333252F7"/>
    <w:rsid w:val="3335189F"/>
    <w:rsid w:val="3338676E"/>
    <w:rsid w:val="335D5A35"/>
    <w:rsid w:val="337771AE"/>
    <w:rsid w:val="33784018"/>
    <w:rsid w:val="337A02B2"/>
    <w:rsid w:val="33B50EFF"/>
    <w:rsid w:val="33BB396A"/>
    <w:rsid w:val="33C543BD"/>
    <w:rsid w:val="33CB73FA"/>
    <w:rsid w:val="33E7562F"/>
    <w:rsid w:val="33F06035"/>
    <w:rsid w:val="33FD0488"/>
    <w:rsid w:val="34042BA3"/>
    <w:rsid w:val="34104E2B"/>
    <w:rsid w:val="34171E42"/>
    <w:rsid w:val="341F7855"/>
    <w:rsid w:val="342140CD"/>
    <w:rsid w:val="349E0F74"/>
    <w:rsid w:val="34DA326E"/>
    <w:rsid w:val="34E15227"/>
    <w:rsid w:val="34EE76AA"/>
    <w:rsid w:val="35011612"/>
    <w:rsid w:val="35016C30"/>
    <w:rsid w:val="352E5F92"/>
    <w:rsid w:val="353E5148"/>
    <w:rsid w:val="35455463"/>
    <w:rsid w:val="35783017"/>
    <w:rsid w:val="358F726C"/>
    <w:rsid w:val="35C85C72"/>
    <w:rsid w:val="35D703D8"/>
    <w:rsid w:val="35E520D6"/>
    <w:rsid w:val="35FE06F6"/>
    <w:rsid w:val="3667175C"/>
    <w:rsid w:val="36870179"/>
    <w:rsid w:val="36A431A9"/>
    <w:rsid w:val="36AA011E"/>
    <w:rsid w:val="36AB7D35"/>
    <w:rsid w:val="36AF15A0"/>
    <w:rsid w:val="36B67DF6"/>
    <w:rsid w:val="36BC4078"/>
    <w:rsid w:val="36FD2CC6"/>
    <w:rsid w:val="36FF508D"/>
    <w:rsid w:val="3709636F"/>
    <w:rsid w:val="37256DC6"/>
    <w:rsid w:val="37333E6F"/>
    <w:rsid w:val="374A5DA5"/>
    <w:rsid w:val="3780270D"/>
    <w:rsid w:val="37812475"/>
    <w:rsid w:val="37863396"/>
    <w:rsid w:val="37922E3E"/>
    <w:rsid w:val="37A21024"/>
    <w:rsid w:val="37A3275F"/>
    <w:rsid w:val="37BA7082"/>
    <w:rsid w:val="37E30E33"/>
    <w:rsid w:val="37EA5FC5"/>
    <w:rsid w:val="37EF0A51"/>
    <w:rsid w:val="37FA05CC"/>
    <w:rsid w:val="38034CAF"/>
    <w:rsid w:val="3805006D"/>
    <w:rsid w:val="38091A80"/>
    <w:rsid w:val="380A05F1"/>
    <w:rsid w:val="38465777"/>
    <w:rsid w:val="386F1A27"/>
    <w:rsid w:val="38C942FF"/>
    <w:rsid w:val="38DF5443"/>
    <w:rsid w:val="38F40EC4"/>
    <w:rsid w:val="38F64790"/>
    <w:rsid w:val="39273424"/>
    <w:rsid w:val="3934169D"/>
    <w:rsid w:val="393E6FD6"/>
    <w:rsid w:val="39495149"/>
    <w:rsid w:val="3961360B"/>
    <w:rsid w:val="39680B74"/>
    <w:rsid w:val="39916AF0"/>
    <w:rsid w:val="399C0A6A"/>
    <w:rsid w:val="39BF073A"/>
    <w:rsid w:val="39D53B7F"/>
    <w:rsid w:val="39DD07B6"/>
    <w:rsid w:val="39EE5C6E"/>
    <w:rsid w:val="39F50C04"/>
    <w:rsid w:val="3A015A23"/>
    <w:rsid w:val="3A0D261A"/>
    <w:rsid w:val="3A241712"/>
    <w:rsid w:val="3A2B2986"/>
    <w:rsid w:val="3A40349F"/>
    <w:rsid w:val="3A5678FA"/>
    <w:rsid w:val="3A583722"/>
    <w:rsid w:val="3A685AA2"/>
    <w:rsid w:val="3A690E64"/>
    <w:rsid w:val="3AA27967"/>
    <w:rsid w:val="3AAE3A31"/>
    <w:rsid w:val="3ABB7ABF"/>
    <w:rsid w:val="3AD849D6"/>
    <w:rsid w:val="3ADD2A25"/>
    <w:rsid w:val="3AE570F3"/>
    <w:rsid w:val="3AE6621C"/>
    <w:rsid w:val="3B0C0B24"/>
    <w:rsid w:val="3B15262F"/>
    <w:rsid w:val="3B416558"/>
    <w:rsid w:val="3B763ABC"/>
    <w:rsid w:val="3B980E56"/>
    <w:rsid w:val="3BBC25F4"/>
    <w:rsid w:val="3BC71223"/>
    <w:rsid w:val="3C4D4F50"/>
    <w:rsid w:val="3C5D17F3"/>
    <w:rsid w:val="3C5F437B"/>
    <w:rsid w:val="3C964B49"/>
    <w:rsid w:val="3CEA279F"/>
    <w:rsid w:val="3D0365E2"/>
    <w:rsid w:val="3D283C4A"/>
    <w:rsid w:val="3D3636BD"/>
    <w:rsid w:val="3D4A3EE3"/>
    <w:rsid w:val="3D6443AF"/>
    <w:rsid w:val="3DBA7B59"/>
    <w:rsid w:val="3DEC662F"/>
    <w:rsid w:val="3DF31B27"/>
    <w:rsid w:val="3DFA4C63"/>
    <w:rsid w:val="3E0B72B1"/>
    <w:rsid w:val="3E104487"/>
    <w:rsid w:val="3E197D64"/>
    <w:rsid w:val="3E3735FB"/>
    <w:rsid w:val="3E3839DE"/>
    <w:rsid w:val="3E3D4260"/>
    <w:rsid w:val="3E501F63"/>
    <w:rsid w:val="3E657343"/>
    <w:rsid w:val="3E6A08F3"/>
    <w:rsid w:val="3E742234"/>
    <w:rsid w:val="3E8C53A5"/>
    <w:rsid w:val="3EB305B6"/>
    <w:rsid w:val="3ED35DA5"/>
    <w:rsid w:val="3EE1322D"/>
    <w:rsid w:val="3EEB27FE"/>
    <w:rsid w:val="3F00757E"/>
    <w:rsid w:val="3F2F48E2"/>
    <w:rsid w:val="3F47212A"/>
    <w:rsid w:val="3F913DAA"/>
    <w:rsid w:val="3FD414E4"/>
    <w:rsid w:val="40093884"/>
    <w:rsid w:val="40142EAD"/>
    <w:rsid w:val="402D1AAD"/>
    <w:rsid w:val="40646634"/>
    <w:rsid w:val="407231D7"/>
    <w:rsid w:val="40757C3F"/>
    <w:rsid w:val="4092438B"/>
    <w:rsid w:val="409F1AF2"/>
    <w:rsid w:val="40AF2AA7"/>
    <w:rsid w:val="40DC7974"/>
    <w:rsid w:val="40F754EE"/>
    <w:rsid w:val="411029F0"/>
    <w:rsid w:val="41181490"/>
    <w:rsid w:val="41267976"/>
    <w:rsid w:val="414601C0"/>
    <w:rsid w:val="414F21FB"/>
    <w:rsid w:val="416B7C26"/>
    <w:rsid w:val="41800EAA"/>
    <w:rsid w:val="41BB6E00"/>
    <w:rsid w:val="41C51A2C"/>
    <w:rsid w:val="41C60598"/>
    <w:rsid w:val="41CE17D7"/>
    <w:rsid w:val="41D07597"/>
    <w:rsid w:val="41DA7286"/>
    <w:rsid w:val="41DD28D2"/>
    <w:rsid w:val="41E93DF9"/>
    <w:rsid w:val="42111F89"/>
    <w:rsid w:val="421F2E2C"/>
    <w:rsid w:val="422F7524"/>
    <w:rsid w:val="42590B55"/>
    <w:rsid w:val="42646575"/>
    <w:rsid w:val="428F18F3"/>
    <w:rsid w:val="42B24DB9"/>
    <w:rsid w:val="42C6780A"/>
    <w:rsid w:val="42D3262D"/>
    <w:rsid w:val="42DD6902"/>
    <w:rsid w:val="42E33757"/>
    <w:rsid w:val="42E973DF"/>
    <w:rsid w:val="430D7664"/>
    <w:rsid w:val="430E1A42"/>
    <w:rsid w:val="430F4ABF"/>
    <w:rsid w:val="43170066"/>
    <w:rsid w:val="4320516C"/>
    <w:rsid w:val="43323701"/>
    <w:rsid w:val="433F173E"/>
    <w:rsid w:val="43710AF9"/>
    <w:rsid w:val="437D0900"/>
    <w:rsid w:val="439A0C45"/>
    <w:rsid w:val="43A45F94"/>
    <w:rsid w:val="43E15BC4"/>
    <w:rsid w:val="43E46244"/>
    <w:rsid w:val="43EC4F6C"/>
    <w:rsid w:val="43FC73FB"/>
    <w:rsid w:val="44115403"/>
    <w:rsid w:val="441C408F"/>
    <w:rsid w:val="44415C92"/>
    <w:rsid w:val="44597031"/>
    <w:rsid w:val="445C6678"/>
    <w:rsid w:val="446E00D6"/>
    <w:rsid w:val="447367AC"/>
    <w:rsid w:val="449878BF"/>
    <w:rsid w:val="44AC40EF"/>
    <w:rsid w:val="44BA514C"/>
    <w:rsid w:val="44C4421D"/>
    <w:rsid w:val="44DD067C"/>
    <w:rsid w:val="44F45B7C"/>
    <w:rsid w:val="450D00C2"/>
    <w:rsid w:val="455C1665"/>
    <w:rsid w:val="456652D4"/>
    <w:rsid w:val="45723C79"/>
    <w:rsid w:val="459C4979"/>
    <w:rsid w:val="45AC5ACD"/>
    <w:rsid w:val="45C0360C"/>
    <w:rsid w:val="45E87A97"/>
    <w:rsid w:val="461049D4"/>
    <w:rsid w:val="461070E8"/>
    <w:rsid w:val="4626304F"/>
    <w:rsid w:val="462C5BD6"/>
    <w:rsid w:val="462E6385"/>
    <w:rsid w:val="46660BBD"/>
    <w:rsid w:val="467F21AA"/>
    <w:rsid w:val="468C4323"/>
    <w:rsid w:val="46A73DFF"/>
    <w:rsid w:val="46A95479"/>
    <w:rsid w:val="46B207D1"/>
    <w:rsid w:val="46BD74EB"/>
    <w:rsid w:val="46DD6EC6"/>
    <w:rsid w:val="46F25071"/>
    <w:rsid w:val="47160D44"/>
    <w:rsid w:val="47595CE4"/>
    <w:rsid w:val="475D7F74"/>
    <w:rsid w:val="476D4547"/>
    <w:rsid w:val="477213B5"/>
    <w:rsid w:val="478F28C0"/>
    <w:rsid w:val="47A619B8"/>
    <w:rsid w:val="47F50935"/>
    <w:rsid w:val="47F55EF3"/>
    <w:rsid w:val="48163BFA"/>
    <w:rsid w:val="482A7CE1"/>
    <w:rsid w:val="48352F7F"/>
    <w:rsid w:val="483D40CA"/>
    <w:rsid w:val="488F2252"/>
    <w:rsid w:val="48A0709A"/>
    <w:rsid w:val="48B12D0A"/>
    <w:rsid w:val="48B96EBD"/>
    <w:rsid w:val="48C347E4"/>
    <w:rsid w:val="48D1329E"/>
    <w:rsid w:val="48EF0DA1"/>
    <w:rsid w:val="48F55AB3"/>
    <w:rsid w:val="48F91BA2"/>
    <w:rsid w:val="490E543C"/>
    <w:rsid w:val="491675BC"/>
    <w:rsid w:val="491868E5"/>
    <w:rsid w:val="4920798D"/>
    <w:rsid w:val="493F5057"/>
    <w:rsid w:val="49485B83"/>
    <w:rsid w:val="495E0F0C"/>
    <w:rsid w:val="49607820"/>
    <w:rsid w:val="49793C61"/>
    <w:rsid w:val="497D4CBF"/>
    <w:rsid w:val="498D2E30"/>
    <w:rsid w:val="49BE123B"/>
    <w:rsid w:val="49BF6D61"/>
    <w:rsid w:val="49D33E49"/>
    <w:rsid w:val="49D547D7"/>
    <w:rsid w:val="49E52110"/>
    <w:rsid w:val="4A213237"/>
    <w:rsid w:val="4A4A14DD"/>
    <w:rsid w:val="4A5266E8"/>
    <w:rsid w:val="4A5644B4"/>
    <w:rsid w:val="4A804742"/>
    <w:rsid w:val="4AAC0A75"/>
    <w:rsid w:val="4ABA5374"/>
    <w:rsid w:val="4ADF3B5F"/>
    <w:rsid w:val="4B136FD1"/>
    <w:rsid w:val="4B273B92"/>
    <w:rsid w:val="4B2D3E10"/>
    <w:rsid w:val="4B686E38"/>
    <w:rsid w:val="4BAE204F"/>
    <w:rsid w:val="4BB9615E"/>
    <w:rsid w:val="4BD351FC"/>
    <w:rsid w:val="4BE67716"/>
    <w:rsid w:val="4BE710D5"/>
    <w:rsid w:val="4BFD1CCE"/>
    <w:rsid w:val="4C6308A5"/>
    <w:rsid w:val="4C8449BE"/>
    <w:rsid w:val="4C8B54A5"/>
    <w:rsid w:val="4C9D07DA"/>
    <w:rsid w:val="4CAD235E"/>
    <w:rsid w:val="4CBB57A1"/>
    <w:rsid w:val="4CDA2455"/>
    <w:rsid w:val="4D096C71"/>
    <w:rsid w:val="4D0D33BB"/>
    <w:rsid w:val="4D3E1441"/>
    <w:rsid w:val="4D557BB2"/>
    <w:rsid w:val="4D653138"/>
    <w:rsid w:val="4D7447F7"/>
    <w:rsid w:val="4D770071"/>
    <w:rsid w:val="4D7F5185"/>
    <w:rsid w:val="4D96567D"/>
    <w:rsid w:val="4DA846DC"/>
    <w:rsid w:val="4DA86FCA"/>
    <w:rsid w:val="4DBD53F4"/>
    <w:rsid w:val="4DC1754C"/>
    <w:rsid w:val="4DC64BA7"/>
    <w:rsid w:val="4DDE5ABF"/>
    <w:rsid w:val="4DF64584"/>
    <w:rsid w:val="4DF82831"/>
    <w:rsid w:val="4DF96CE5"/>
    <w:rsid w:val="4E0B0276"/>
    <w:rsid w:val="4E3521D8"/>
    <w:rsid w:val="4E4E7093"/>
    <w:rsid w:val="4E677901"/>
    <w:rsid w:val="4E6E3E55"/>
    <w:rsid w:val="4E7445BE"/>
    <w:rsid w:val="4E9D4F8D"/>
    <w:rsid w:val="4EC013DE"/>
    <w:rsid w:val="4EDD75C8"/>
    <w:rsid w:val="4EDE5EDB"/>
    <w:rsid w:val="4EFF6208"/>
    <w:rsid w:val="4F465A3B"/>
    <w:rsid w:val="4F7A7515"/>
    <w:rsid w:val="4F844638"/>
    <w:rsid w:val="4FC0750A"/>
    <w:rsid w:val="4FCE41A2"/>
    <w:rsid w:val="501F0559"/>
    <w:rsid w:val="50425AF1"/>
    <w:rsid w:val="504604FF"/>
    <w:rsid w:val="505C3827"/>
    <w:rsid w:val="50613B79"/>
    <w:rsid w:val="506672FB"/>
    <w:rsid w:val="508F1B83"/>
    <w:rsid w:val="509077B1"/>
    <w:rsid w:val="509E6B33"/>
    <w:rsid w:val="50A46614"/>
    <w:rsid w:val="50A46F51"/>
    <w:rsid w:val="50A9765B"/>
    <w:rsid w:val="50B60EBE"/>
    <w:rsid w:val="50CC576F"/>
    <w:rsid w:val="50ED2406"/>
    <w:rsid w:val="50FD7920"/>
    <w:rsid w:val="510C31D4"/>
    <w:rsid w:val="51207D9F"/>
    <w:rsid w:val="51273EEE"/>
    <w:rsid w:val="512B40EB"/>
    <w:rsid w:val="51325980"/>
    <w:rsid w:val="514701A7"/>
    <w:rsid w:val="51560AAD"/>
    <w:rsid w:val="516916E5"/>
    <w:rsid w:val="51691F9D"/>
    <w:rsid w:val="516C09FD"/>
    <w:rsid w:val="51714DE5"/>
    <w:rsid w:val="517444F8"/>
    <w:rsid w:val="5176762C"/>
    <w:rsid w:val="51B03B5F"/>
    <w:rsid w:val="51C24B77"/>
    <w:rsid w:val="51E16408"/>
    <w:rsid w:val="51E174C9"/>
    <w:rsid w:val="51E2438D"/>
    <w:rsid w:val="51E44BBF"/>
    <w:rsid w:val="52221E4F"/>
    <w:rsid w:val="52235B5E"/>
    <w:rsid w:val="524859B6"/>
    <w:rsid w:val="525D6D20"/>
    <w:rsid w:val="52724660"/>
    <w:rsid w:val="52890547"/>
    <w:rsid w:val="52C91556"/>
    <w:rsid w:val="52E9575C"/>
    <w:rsid w:val="52ED56C7"/>
    <w:rsid w:val="52EF4B5B"/>
    <w:rsid w:val="52FC52CA"/>
    <w:rsid w:val="53046FC0"/>
    <w:rsid w:val="53092709"/>
    <w:rsid w:val="533834C0"/>
    <w:rsid w:val="534E0E94"/>
    <w:rsid w:val="53594708"/>
    <w:rsid w:val="536270DB"/>
    <w:rsid w:val="536A3E9C"/>
    <w:rsid w:val="536B2E39"/>
    <w:rsid w:val="538A1F90"/>
    <w:rsid w:val="539226AB"/>
    <w:rsid w:val="539D7977"/>
    <w:rsid w:val="53BE7EF7"/>
    <w:rsid w:val="53C934E8"/>
    <w:rsid w:val="53D81FA2"/>
    <w:rsid w:val="53DC7843"/>
    <w:rsid w:val="53E144A4"/>
    <w:rsid w:val="53E53868"/>
    <w:rsid w:val="53E87720"/>
    <w:rsid w:val="53EF0513"/>
    <w:rsid w:val="540C5102"/>
    <w:rsid w:val="541008E5"/>
    <w:rsid w:val="54143355"/>
    <w:rsid w:val="541E7256"/>
    <w:rsid w:val="542C1497"/>
    <w:rsid w:val="544F555F"/>
    <w:rsid w:val="546F1220"/>
    <w:rsid w:val="54811482"/>
    <w:rsid w:val="54945119"/>
    <w:rsid w:val="54A20CCB"/>
    <w:rsid w:val="54AE46C0"/>
    <w:rsid w:val="54B27180"/>
    <w:rsid w:val="54B42950"/>
    <w:rsid w:val="54B82CD1"/>
    <w:rsid w:val="54BA25CA"/>
    <w:rsid w:val="54DB2C3A"/>
    <w:rsid w:val="54DE1FB6"/>
    <w:rsid w:val="54EF499E"/>
    <w:rsid w:val="54FF095A"/>
    <w:rsid w:val="550769BE"/>
    <w:rsid w:val="553347B2"/>
    <w:rsid w:val="554D5B69"/>
    <w:rsid w:val="55524F2D"/>
    <w:rsid w:val="555C0305"/>
    <w:rsid w:val="55674E7D"/>
    <w:rsid w:val="556D002C"/>
    <w:rsid w:val="55887F86"/>
    <w:rsid w:val="559155C0"/>
    <w:rsid w:val="55D13C81"/>
    <w:rsid w:val="55EA2F72"/>
    <w:rsid w:val="55F77B7D"/>
    <w:rsid w:val="5604091D"/>
    <w:rsid w:val="5606092B"/>
    <w:rsid w:val="5611748D"/>
    <w:rsid w:val="56157EE2"/>
    <w:rsid w:val="561C493E"/>
    <w:rsid w:val="56222B52"/>
    <w:rsid w:val="563A433F"/>
    <w:rsid w:val="567B6F8D"/>
    <w:rsid w:val="56FA48AB"/>
    <w:rsid w:val="57017014"/>
    <w:rsid w:val="571121E6"/>
    <w:rsid w:val="572F6F58"/>
    <w:rsid w:val="573D7550"/>
    <w:rsid w:val="57406E07"/>
    <w:rsid w:val="57420301"/>
    <w:rsid w:val="57571CBA"/>
    <w:rsid w:val="575E5E0B"/>
    <w:rsid w:val="576742A8"/>
    <w:rsid w:val="57862B07"/>
    <w:rsid w:val="578C3EDA"/>
    <w:rsid w:val="57923D07"/>
    <w:rsid w:val="57995614"/>
    <w:rsid w:val="57CB5E90"/>
    <w:rsid w:val="57D61323"/>
    <w:rsid w:val="57D97142"/>
    <w:rsid w:val="57E435D7"/>
    <w:rsid w:val="57EB6716"/>
    <w:rsid w:val="57EC7962"/>
    <w:rsid w:val="57F64296"/>
    <w:rsid w:val="581110D0"/>
    <w:rsid w:val="58486325"/>
    <w:rsid w:val="5855720E"/>
    <w:rsid w:val="586A0B5F"/>
    <w:rsid w:val="589D2B5D"/>
    <w:rsid w:val="58AA3715"/>
    <w:rsid w:val="58CB7C75"/>
    <w:rsid w:val="590637CC"/>
    <w:rsid w:val="59396B30"/>
    <w:rsid w:val="596D67DA"/>
    <w:rsid w:val="597178BD"/>
    <w:rsid w:val="597C19FF"/>
    <w:rsid w:val="598D50EC"/>
    <w:rsid w:val="599D2F5A"/>
    <w:rsid w:val="59A02FEB"/>
    <w:rsid w:val="59AB1EEB"/>
    <w:rsid w:val="59FD4D67"/>
    <w:rsid w:val="5A256DF3"/>
    <w:rsid w:val="5A3645F8"/>
    <w:rsid w:val="5A3731EF"/>
    <w:rsid w:val="5A576930"/>
    <w:rsid w:val="5A78237F"/>
    <w:rsid w:val="5A94176B"/>
    <w:rsid w:val="5AAE6976"/>
    <w:rsid w:val="5AC00CB1"/>
    <w:rsid w:val="5AD605A9"/>
    <w:rsid w:val="5ADC0752"/>
    <w:rsid w:val="5B305D11"/>
    <w:rsid w:val="5B3D232E"/>
    <w:rsid w:val="5B4362A5"/>
    <w:rsid w:val="5B4C2219"/>
    <w:rsid w:val="5B7D4CB3"/>
    <w:rsid w:val="5B9F02B8"/>
    <w:rsid w:val="5BF771A0"/>
    <w:rsid w:val="5C01181E"/>
    <w:rsid w:val="5C242FAD"/>
    <w:rsid w:val="5C2F7023"/>
    <w:rsid w:val="5C3B2380"/>
    <w:rsid w:val="5C560AA1"/>
    <w:rsid w:val="5C5765FF"/>
    <w:rsid w:val="5C71213D"/>
    <w:rsid w:val="5C7E5647"/>
    <w:rsid w:val="5C8956D8"/>
    <w:rsid w:val="5CB50921"/>
    <w:rsid w:val="5CB97CEE"/>
    <w:rsid w:val="5CDF5465"/>
    <w:rsid w:val="5CF91664"/>
    <w:rsid w:val="5D0315F4"/>
    <w:rsid w:val="5D0F3364"/>
    <w:rsid w:val="5D5E4DB7"/>
    <w:rsid w:val="5D6879E4"/>
    <w:rsid w:val="5D743365"/>
    <w:rsid w:val="5D7568A0"/>
    <w:rsid w:val="5DAD53F7"/>
    <w:rsid w:val="5DC40909"/>
    <w:rsid w:val="5DC60FED"/>
    <w:rsid w:val="5DD37010"/>
    <w:rsid w:val="5DD40DE1"/>
    <w:rsid w:val="5DE2512E"/>
    <w:rsid w:val="5E01029F"/>
    <w:rsid w:val="5E2E29DB"/>
    <w:rsid w:val="5E6D48B4"/>
    <w:rsid w:val="5E710C51"/>
    <w:rsid w:val="5E724AF3"/>
    <w:rsid w:val="5E7B2085"/>
    <w:rsid w:val="5EA642E3"/>
    <w:rsid w:val="5ECF75EF"/>
    <w:rsid w:val="5ED25F87"/>
    <w:rsid w:val="5EFE791D"/>
    <w:rsid w:val="5F1C0996"/>
    <w:rsid w:val="5F1F0576"/>
    <w:rsid w:val="5F247AF2"/>
    <w:rsid w:val="5F2913F5"/>
    <w:rsid w:val="5F8778BC"/>
    <w:rsid w:val="5F881C77"/>
    <w:rsid w:val="5F985324"/>
    <w:rsid w:val="5F9F4996"/>
    <w:rsid w:val="5FCC6692"/>
    <w:rsid w:val="5FD3198D"/>
    <w:rsid w:val="5FDD7B11"/>
    <w:rsid w:val="5FE52B23"/>
    <w:rsid w:val="5FF27A39"/>
    <w:rsid w:val="60152B44"/>
    <w:rsid w:val="60250C53"/>
    <w:rsid w:val="60643201"/>
    <w:rsid w:val="60A32AE1"/>
    <w:rsid w:val="60B860A6"/>
    <w:rsid w:val="60D355CB"/>
    <w:rsid w:val="60E43825"/>
    <w:rsid w:val="60EF15C7"/>
    <w:rsid w:val="610030FD"/>
    <w:rsid w:val="61204F0E"/>
    <w:rsid w:val="613D7BA6"/>
    <w:rsid w:val="6146003C"/>
    <w:rsid w:val="61562471"/>
    <w:rsid w:val="615B34AF"/>
    <w:rsid w:val="61842912"/>
    <w:rsid w:val="61A26F1A"/>
    <w:rsid w:val="61E138C1"/>
    <w:rsid w:val="61E6211C"/>
    <w:rsid w:val="61F234B5"/>
    <w:rsid w:val="623600B0"/>
    <w:rsid w:val="623A72C4"/>
    <w:rsid w:val="624D53FA"/>
    <w:rsid w:val="62554C77"/>
    <w:rsid w:val="62612C54"/>
    <w:rsid w:val="627B3DA9"/>
    <w:rsid w:val="627F5A03"/>
    <w:rsid w:val="62AC4A48"/>
    <w:rsid w:val="62BC284B"/>
    <w:rsid w:val="62BD2580"/>
    <w:rsid w:val="62F51D1A"/>
    <w:rsid w:val="63007400"/>
    <w:rsid w:val="6303439D"/>
    <w:rsid w:val="630A37D1"/>
    <w:rsid w:val="63147CC6"/>
    <w:rsid w:val="631A30FD"/>
    <w:rsid w:val="63640C4D"/>
    <w:rsid w:val="637E63A2"/>
    <w:rsid w:val="63881792"/>
    <w:rsid w:val="639E415F"/>
    <w:rsid w:val="63AC2144"/>
    <w:rsid w:val="63E33F1D"/>
    <w:rsid w:val="6401123F"/>
    <w:rsid w:val="64177A6E"/>
    <w:rsid w:val="644545DB"/>
    <w:rsid w:val="644665A5"/>
    <w:rsid w:val="644F4CFA"/>
    <w:rsid w:val="646079C8"/>
    <w:rsid w:val="64706BCE"/>
    <w:rsid w:val="64712BA1"/>
    <w:rsid w:val="64787B86"/>
    <w:rsid w:val="647C795A"/>
    <w:rsid w:val="64A05CB5"/>
    <w:rsid w:val="64AA5F21"/>
    <w:rsid w:val="64AF5C32"/>
    <w:rsid w:val="64BE25DF"/>
    <w:rsid w:val="64C319A4"/>
    <w:rsid w:val="64C92CD0"/>
    <w:rsid w:val="64CB3C7D"/>
    <w:rsid w:val="64FB738F"/>
    <w:rsid w:val="650E70C3"/>
    <w:rsid w:val="651A24C7"/>
    <w:rsid w:val="655967AF"/>
    <w:rsid w:val="655A5E64"/>
    <w:rsid w:val="657038D9"/>
    <w:rsid w:val="657607C4"/>
    <w:rsid w:val="65B914ED"/>
    <w:rsid w:val="65C22231"/>
    <w:rsid w:val="65CB5462"/>
    <w:rsid w:val="65DD0AAC"/>
    <w:rsid w:val="65E96A61"/>
    <w:rsid w:val="661C76A7"/>
    <w:rsid w:val="665925BF"/>
    <w:rsid w:val="665C58B7"/>
    <w:rsid w:val="66963803"/>
    <w:rsid w:val="66A51887"/>
    <w:rsid w:val="66A8003B"/>
    <w:rsid w:val="66BC14F6"/>
    <w:rsid w:val="66D57CFB"/>
    <w:rsid w:val="66E67245"/>
    <w:rsid w:val="66E72694"/>
    <w:rsid w:val="66EF7987"/>
    <w:rsid w:val="66F93DD9"/>
    <w:rsid w:val="670F44B0"/>
    <w:rsid w:val="671C29BF"/>
    <w:rsid w:val="67340937"/>
    <w:rsid w:val="67362901"/>
    <w:rsid w:val="677551D7"/>
    <w:rsid w:val="677E67CE"/>
    <w:rsid w:val="67852F40"/>
    <w:rsid w:val="678E18B5"/>
    <w:rsid w:val="67A51237"/>
    <w:rsid w:val="67B35CFF"/>
    <w:rsid w:val="67C91246"/>
    <w:rsid w:val="67CC6DC1"/>
    <w:rsid w:val="67CD5A44"/>
    <w:rsid w:val="67EE2BAD"/>
    <w:rsid w:val="68017668"/>
    <w:rsid w:val="681731B9"/>
    <w:rsid w:val="68223CCB"/>
    <w:rsid w:val="68352BB8"/>
    <w:rsid w:val="68357177"/>
    <w:rsid w:val="6837221D"/>
    <w:rsid w:val="686C6461"/>
    <w:rsid w:val="68826485"/>
    <w:rsid w:val="68B40C7F"/>
    <w:rsid w:val="68BE670A"/>
    <w:rsid w:val="68C161FA"/>
    <w:rsid w:val="68C63BDB"/>
    <w:rsid w:val="68C95493"/>
    <w:rsid w:val="68D91796"/>
    <w:rsid w:val="68D94FAF"/>
    <w:rsid w:val="69024477"/>
    <w:rsid w:val="69150BF2"/>
    <w:rsid w:val="692E4436"/>
    <w:rsid w:val="694A61EF"/>
    <w:rsid w:val="69894F6A"/>
    <w:rsid w:val="69933E4B"/>
    <w:rsid w:val="69A20F81"/>
    <w:rsid w:val="69A35422"/>
    <w:rsid w:val="69AB3A7D"/>
    <w:rsid w:val="69C65BE4"/>
    <w:rsid w:val="69CC3FBB"/>
    <w:rsid w:val="69EA2045"/>
    <w:rsid w:val="6A1E2B6C"/>
    <w:rsid w:val="6A1E30C4"/>
    <w:rsid w:val="6A23271D"/>
    <w:rsid w:val="6A2E1BE4"/>
    <w:rsid w:val="6A301A1C"/>
    <w:rsid w:val="6A396919"/>
    <w:rsid w:val="6A3A22E5"/>
    <w:rsid w:val="6A4F36E8"/>
    <w:rsid w:val="6A81100C"/>
    <w:rsid w:val="6AB044B1"/>
    <w:rsid w:val="6ABE0726"/>
    <w:rsid w:val="6ACD0E86"/>
    <w:rsid w:val="6AD2381B"/>
    <w:rsid w:val="6AD4043F"/>
    <w:rsid w:val="6AD64330"/>
    <w:rsid w:val="6AF65D94"/>
    <w:rsid w:val="6AF761FE"/>
    <w:rsid w:val="6B1D005F"/>
    <w:rsid w:val="6B416685"/>
    <w:rsid w:val="6B541E95"/>
    <w:rsid w:val="6B9C4371"/>
    <w:rsid w:val="6BC42A7C"/>
    <w:rsid w:val="6BC7490C"/>
    <w:rsid w:val="6BF73B05"/>
    <w:rsid w:val="6BFE3795"/>
    <w:rsid w:val="6C1B2AD6"/>
    <w:rsid w:val="6C1B3E31"/>
    <w:rsid w:val="6C222C56"/>
    <w:rsid w:val="6C316263"/>
    <w:rsid w:val="6C491A0C"/>
    <w:rsid w:val="6C4C0566"/>
    <w:rsid w:val="6C5D7DC3"/>
    <w:rsid w:val="6C943714"/>
    <w:rsid w:val="6C9A5918"/>
    <w:rsid w:val="6CB3355C"/>
    <w:rsid w:val="6CC6282E"/>
    <w:rsid w:val="6CD428BB"/>
    <w:rsid w:val="6D2D3E5E"/>
    <w:rsid w:val="6D325884"/>
    <w:rsid w:val="6D3D435D"/>
    <w:rsid w:val="6D677FE2"/>
    <w:rsid w:val="6D7D171B"/>
    <w:rsid w:val="6DA36813"/>
    <w:rsid w:val="6DAD4E3D"/>
    <w:rsid w:val="6DD43CBA"/>
    <w:rsid w:val="6DD64DC0"/>
    <w:rsid w:val="6DE41136"/>
    <w:rsid w:val="6DE60644"/>
    <w:rsid w:val="6E00489E"/>
    <w:rsid w:val="6E3F2638"/>
    <w:rsid w:val="6E470F4F"/>
    <w:rsid w:val="6E652406"/>
    <w:rsid w:val="6E7137CF"/>
    <w:rsid w:val="6E7855AD"/>
    <w:rsid w:val="6EB83E57"/>
    <w:rsid w:val="6EE24EE2"/>
    <w:rsid w:val="6F0318A2"/>
    <w:rsid w:val="6F1112C2"/>
    <w:rsid w:val="6F2A4A81"/>
    <w:rsid w:val="6F2C0ECD"/>
    <w:rsid w:val="6F462D57"/>
    <w:rsid w:val="6F4C2053"/>
    <w:rsid w:val="6F795A80"/>
    <w:rsid w:val="6FB1038F"/>
    <w:rsid w:val="6FBC37F6"/>
    <w:rsid w:val="6FC35FD5"/>
    <w:rsid w:val="6FCC6DB8"/>
    <w:rsid w:val="6FF43560"/>
    <w:rsid w:val="702C2566"/>
    <w:rsid w:val="70391B19"/>
    <w:rsid w:val="70413402"/>
    <w:rsid w:val="704B6D32"/>
    <w:rsid w:val="705E4C8A"/>
    <w:rsid w:val="7075449A"/>
    <w:rsid w:val="70A22ACD"/>
    <w:rsid w:val="70C3563F"/>
    <w:rsid w:val="70C63DB1"/>
    <w:rsid w:val="70E23694"/>
    <w:rsid w:val="711A444B"/>
    <w:rsid w:val="714753D0"/>
    <w:rsid w:val="71547A52"/>
    <w:rsid w:val="715645D0"/>
    <w:rsid w:val="716629CD"/>
    <w:rsid w:val="71796B56"/>
    <w:rsid w:val="71910A7F"/>
    <w:rsid w:val="71914028"/>
    <w:rsid w:val="71953D18"/>
    <w:rsid w:val="71B11590"/>
    <w:rsid w:val="71BF0D15"/>
    <w:rsid w:val="71CB1E97"/>
    <w:rsid w:val="71D76A8E"/>
    <w:rsid w:val="71FA7A5D"/>
    <w:rsid w:val="71FE634A"/>
    <w:rsid w:val="72097CD5"/>
    <w:rsid w:val="721C29E0"/>
    <w:rsid w:val="72210BA0"/>
    <w:rsid w:val="72404633"/>
    <w:rsid w:val="727147ED"/>
    <w:rsid w:val="72914E8F"/>
    <w:rsid w:val="729272A9"/>
    <w:rsid w:val="72930C07"/>
    <w:rsid w:val="72AC3309"/>
    <w:rsid w:val="72D96F1A"/>
    <w:rsid w:val="72DB7FA3"/>
    <w:rsid w:val="72F10F91"/>
    <w:rsid w:val="73206D4A"/>
    <w:rsid w:val="735F5D8A"/>
    <w:rsid w:val="736E458C"/>
    <w:rsid w:val="73707205"/>
    <w:rsid w:val="737C2873"/>
    <w:rsid w:val="738D7838"/>
    <w:rsid w:val="73B03ED3"/>
    <w:rsid w:val="73ED094A"/>
    <w:rsid w:val="73EF26C0"/>
    <w:rsid w:val="74133DA0"/>
    <w:rsid w:val="74363F40"/>
    <w:rsid w:val="743C1E05"/>
    <w:rsid w:val="746C5BB4"/>
    <w:rsid w:val="7474580E"/>
    <w:rsid w:val="74A570A6"/>
    <w:rsid w:val="74BF236C"/>
    <w:rsid w:val="74C46227"/>
    <w:rsid w:val="74C6686C"/>
    <w:rsid w:val="74F5489D"/>
    <w:rsid w:val="750758DC"/>
    <w:rsid w:val="75837B18"/>
    <w:rsid w:val="75873952"/>
    <w:rsid w:val="75A82C1C"/>
    <w:rsid w:val="75CD61DE"/>
    <w:rsid w:val="75CE1F56"/>
    <w:rsid w:val="75CF60AB"/>
    <w:rsid w:val="75DB558A"/>
    <w:rsid w:val="75E3187A"/>
    <w:rsid w:val="760D7895"/>
    <w:rsid w:val="76112442"/>
    <w:rsid w:val="762828A3"/>
    <w:rsid w:val="762B73A9"/>
    <w:rsid w:val="76344E5E"/>
    <w:rsid w:val="76417878"/>
    <w:rsid w:val="764378F7"/>
    <w:rsid w:val="764B6250"/>
    <w:rsid w:val="76563B35"/>
    <w:rsid w:val="76592168"/>
    <w:rsid w:val="765944FD"/>
    <w:rsid w:val="766102F3"/>
    <w:rsid w:val="768014A2"/>
    <w:rsid w:val="76A258BD"/>
    <w:rsid w:val="76A41725"/>
    <w:rsid w:val="76E732D0"/>
    <w:rsid w:val="76F61A9D"/>
    <w:rsid w:val="76F92560"/>
    <w:rsid w:val="76FE2C0B"/>
    <w:rsid w:val="770E0F8E"/>
    <w:rsid w:val="7715608F"/>
    <w:rsid w:val="77201069"/>
    <w:rsid w:val="77302A58"/>
    <w:rsid w:val="7734010A"/>
    <w:rsid w:val="773C570F"/>
    <w:rsid w:val="774B0EA4"/>
    <w:rsid w:val="7755123B"/>
    <w:rsid w:val="77633120"/>
    <w:rsid w:val="77710D34"/>
    <w:rsid w:val="778C3E77"/>
    <w:rsid w:val="779767D5"/>
    <w:rsid w:val="77A45665"/>
    <w:rsid w:val="77B62233"/>
    <w:rsid w:val="77ED7457"/>
    <w:rsid w:val="77FC3840"/>
    <w:rsid w:val="78262DFD"/>
    <w:rsid w:val="783C4642"/>
    <w:rsid w:val="7851156E"/>
    <w:rsid w:val="7854124E"/>
    <w:rsid w:val="78795E93"/>
    <w:rsid w:val="788B772B"/>
    <w:rsid w:val="78992CEF"/>
    <w:rsid w:val="78D75217"/>
    <w:rsid w:val="78FB12B4"/>
    <w:rsid w:val="790C6F5C"/>
    <w:rsid w:val="790E2F6A"/>
    <w:rsid w:val="791F4406"/>
    <w:rsid w:val="793076B5"/>
    <w:rsid w:val="79333A86"/>
    <w:rsid w:val="7944138C"/>
    <w:rsid w:val="794B6EAC"/>
    <w:rsid w:val="79516D9E"/>
    <w:rsid w:val="79607369"/>
    <w:rsid w:val="79802E69"/>
    <w:rsid w:val="79907C4E"/>
    <w:rsid w:val="79933C95"/>
    <w:rsid w:val="799408ED"/>
    <w:rsid w:val="79C36141"/>
    <w:rsid w:val="79C41373"/>
    <w:rsid w:val="79FD2E57"/>
    <w:rsid w:val="7A0D5810"/>
    <w:rsid w:val="7A212F9C"/>
    <w:rsid w:val="7A2C2A1F"/>
    <w:rsid w:val="7A3F7AA5"/>
    <w:rsid w:val="7A486039"/>
    <w:rsid w:val="7A49755B"/>
    <w:rsid w:val="7A4F07BE"/>
    <w:rsid w:val="7A97325F"/>
    <w:rsid w:val="7AD25982"/>
    <w:rsid w:val="7AD54640"/>
    <w:rsid w:val="7AF55CC9"/>
    <w:rsid w:val="7B1126EB"/>
    <w:rsid w:val="7B191EC6"/>
    <w:rsid w:val="7B3A6352"/>
    <w:rsid w:val="7B4236A6"/>
    <w:rsid w:val="7B513868"/>
    <w:rsid w:val="7B660B57"/>
    <w:rsid w:val="7B694BFB"/>
    <w:rsid w:val="7BA67BFD"/>
    <w:rsid w:val="7BA93249"/>
    <w:rsid w:val="7BCC5AFD"/>
    <w:rsid w:val="7C3C2E1B"/>
    <w:rsid w:val="7C3D681D"/>
    <w:rsid w:val="7C4A3E13"/>
    <w:rsid w:val="7C4E20AD"/>
    <w:rsid w:val="7C7A5CF2"/>
    <w:rsid w:val="7C8415C1"/>
    <w:rsid w:val="7C9E08D4"/>
    <w:rsid w:val="7CB35984"/>
    <w:rsid w:val="7CB63FC6"/>
    <w:rsid w:val="7CE502B1"/>
    <w:rsid w:val="7CF93BFA"/>
    <w:rsid w:val="7D056BA5"/>
    <w:rsid w:val="7D0B2CF5"/>
    <w:rsid w:val="7D2267FB"/>
    <w:rsid w:val="7D554115"/>
    <w:rsid w:val="7D726F14"/>
    <w:rsid w:val="7D807BD0"/>
    <w:rsid w:val="7DB87774"/>
    <w:rsid w:val="7DC531B0"/>
    <w:rsid w:val="7DED55ED"/>
    <w:rsid w:val="7E1C3938"/>
    <w:rsid w:val="7E2E6078"/>
    <w:rsid w:val="7E394AB6"/>
    <w:rsid w:val="7E3B34FD"/>
    <w:rsid w:val="7E8D3519"/>
    <w:rsid w:val="7E95735F"/>
    <w:rsid w:val="7EA3355B"/>
    <w:rsid w:val="7ECA4446"/>
    <w:rsid w:val="7ECC19DD"/>
    <w:rsid w:val="7EFE565A"/>
    <w:rsid w:val="7F052E8D"/>
    <w:rsid w:val="7F054C3B"/>
    <w:rsid w:val="7F067294"/>
    <w:rsid w:val="7F123C80"/>
    <w:rsid w:val="7F1937EB"/>
    <w:rsid w:val="7F2449A4"/>
    <w:rsid w:val="7F6820BF"/>
    <w:rsid w:val="7F6E46B3"/>
    <w:rsid w:val="7F762529"/>
    <w:rsid w:val="7F7678E7"/>
    <w:rsid w:val="7F8C55F6"/>
    <w:rsid w:val="7FBE6AC0"/>
    <w:rsid w:val="7FCA72F8"/>
    <w:rsid w:val="7FCC0B4F"/>
    <w:rsid w:val="7FD0349B"/>
    <w:rsid w:val="7FDF5694"/>
    <w:rsid w:val="7FE2489A"/>
    <w:rsid w:val="7FEE3AA0"/>
    <w:rsid w:val="7FFB746C"/>
    <w:rsid w:val="7FFC4290"/>
    <w:rsid w:val="7FFE0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uiPriority w:val="0"/>
    <w:pPr>
      <w:spacing w:beforeAutospacing="1" w:afterAutospacing="1"/>
      <w:jc w:val="left"/>
      <w:outlineLvl w:val="0"/>
    </w:pPr>
    <w:rPr>
      <w:rFonts w:hint="eastAsia" w:ascii="宋体" w:hAnsi="宋体"/>
      <w:b/>
      <w:bCs/>
      <w:kern w:val="44"/>
      <w:sz w:val="48"/>
      <w:szCs w:val="48"/>
    </w:rPr>
  </w:style>
  <w:style w:type="paragraph" w:styleId="6">
    <w:name w:val="heading 2"/>
    <w:basedOn w:val="1"/>
    <w:next w:val="1"/>
    <w:autoRedefine/>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7">
    <w:name w:val="heading 3"/>
    <w:basedOn w:val="1"/>
    <w:next w:val="1"/>
    <w:autoRedefine/>
    <w:unhideWhenUsed/>
    <w:qFormat/>
    <w:uiPriority w:val="0"/>
    <w:pPr>
      <w:keepNext/>
      <w:keepLines/>
      <w:spacing w:line="360" w:lineRule="auto"/>
      <w:jc w:val="left"/>
      <w:outlineLvl w:val="2"/>
    </w:pPr>
    <w:rPr>
      <w:rFonts w:ascii="Calibri" w:hAnsi="Calibri"/>
      <w:b/>
    </w:rPr>
  </w:style>
  <w:style w:type="paragraph" w:styleId="8">
    <w:name w:val="heading 4"/>
    <w:basedOn w:val="1"/>
    <w:next w:val="1"/>
    <w:qFormat/>
    <w:uiPriority w:val="9"/>
    <w:pPr>
      <w:keepNext/>
      <w:keepLines/>
      <w:spacing w:before="156" w:beforeLines="50" w:after="156" w:afterLines="50" w:line="380" w:lineRule="exact"/>
      <w:outlineLvl w:val="3"/>
    </w:pPr>
    <w:rPr>
      <w:rFonts w:eastAsia="黑体"/>
      <w:bCs/>
      <w:kern w:val="0"/>
      <w:sz w:val="24"/>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pPr>
  </w:style>
  <w:style w:type="paragraph" w:styleId="3">
    <w:name w:val="Body Text Indent"/>
    <w:basedOn w:val="1"/>
    <w:next w:val="4"/>
    <w:autoRedefine/>
    <w:qFormat/>
    <w:uiPriority w:val="0"/>
    <w:pPr>
      <w:spacing w:after="120"/>
      <w:ind w:left="420" w:leftChars="200"/>
    </w:pPr>
    <w:rPr>
      <w:kern w:val="0"/>
      <w:sz w:val="24"/>
      <w:szCs w:val="20"/>
    </w:rPr>
  </w:style>
  <w:style w:type="paragraph" w:styleId="4">
    <w:name w:val="Body Text Indent 2"/>
    <w:basedOn w:val="1"/>
    <w:next w:val="2"/>
    <w:autoRedefine/>
    <w:unhideWhenUsed/>
    <w:qFormat/>
    <w:uiPriority w:val="99"/>
    <w:pPr>
      <w:spacing w:after="120" w:line="480" w:lineRule="auto"/>
      <w:ind w:left="420" w:leftChars="200"/>
    </w:pPr>
  </w:style>
  <w:style w:type="paragraph" w:styleId="9">
    <w:name w:val="List 3"/>
    <w:basedOn w:val="1"/>
    <w:next w:val="1"/>
    <w:autoRedefine/>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10">
    <w:name w:val="Normal Indent"/>
    <w:basedOn w:val="1"/>
    <w:autoRedefine/>
    <w:qFormat/>
    <w:uiPriority w:val="0"/>
    <w:pPr>
      <w:adjustRightInd w:val="0"/>
      <w:spacing w:line="312" w:lineRule="atLeast"/>
      <w:ind w:firstLine="420"/>
      <w:textAlignment w:val="baseline"/>
    </w:pPr>
  </w:style>
  <w:style w:type="paragraph" w:styleId="11">
    <w:name w:val="caption"/>
    <w:basedOn w:val="1"/>
    <w:next w:val="1"/>
    <w:autoRedefine/>
    <w:qFormat/>
    <w:uiPriority w:val="0"/>
    <w:pPr>
      <w:jc w:val="center"/>
    </w:pPr>
    <w:rPr>
      <w:rFonts w:ascii="Cambria" w:hAnsi="Cambria"/>
      <w:b/>
      <w:sz w:val="24"/>
      <w:szCs w:val="20"/>
    </w:rPr>
  </w:style>
  <w:style w:type="paragraph" w:styleId="12">
    <w:name w:val="annotation text"/>
    <w:basedOn w:val="1"/>
    <w:link w:val="58"/>
    <w:autoRedefine/>
    <w:qFormat/>
    <w:uiPriority w:val="0"/>
    <w:pPr>
      <w:jc w:val="left"/>
    </w:pPr>
  </w:style>
  <w:style w:type="paragraph" w:styleId="13">
    <w:name w:val="Salutation"/>
    <w:basedOn w:val="1"/>
    <w:next w:val="1"/>
    <w:autoRedefine/>
    <w:qFormat/>
    <w:uiPriority w:val="0"/>
  </w:style>
  <w:style w:type="paragraph" w:styleId="14">
    <w:name w:val="Body Text"/>
    <w:basedOn w:val="1"/>
    <w:next w:val="15"/>
    <w:autoRedefine/>
    <w:qFormat/>
    <w:uiPriority w:val="0"/>
    <w:pPr>
      <w:widowControl/>
      <w:snapToGrid w:val="0"/>
      <w:spacing w:before="60" w:after="160" w:line="259" w:lineRule="auto"/>
      <w:ind w:right="113"/>
    </w:pPr>
    <w:rPr>
      <w:kern w:val="0"/>
      <w:sz w:val="18"/>
      <w:szCs w:val="20"/>
    </w:rPr>
  </w:style>
  <w:style w:type="paragraph" w:customStyle="1" w:styleId="15">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6">
    <w:name w:val="Plain Text"/>
    <w:basedOn w:val="1"/>
    <w:autoRedefine/>
    <w:unhideWhenUsed/>
    <w:qFormat/>
    <w:uiPriority w:val="99"/>
    <w:rPr>
      <w:rFonts w:ascii="宋体" w:hAnsi="Courier New" w:cs="Courier New"/>
      <w:szCs w:val="21"/>
    </w:rPr>
  </w:style>
  <w:style w:type="paragraph" w:styleId="17">
    <w:name w:val="Balloon Text"/>
    <w:basedOn w:val="1"/>
    <w:link w:val="67"/>
    <w:autoRedefine/>
    <w:qFormat/>
    <w:uiPriority w:val="0"/>
    <w:rPr>
      <w:sz w:val="18"/>
      <w:szCs w:val="18"/>
    </w:rPr>
  </w:style>
  <w:style w:type="paragraph" w:styleId="18">
    <w:name w:val="footer"/>
    <w:basedOn w:val="1"/>
    <w:autoRedefine/>
    <w:qFormat/>
    <w:uiPriority w:val="99"/>
    <w:pPr>
      <w:tabs>
        <w:tab w:val="center" w:pos="4153"/>
        <w:tab w:val="right" w:pos="8306"/>
      </w:tabs>
      <w:snapToGrid w:val="0"/>
      <w:jc w:val="left"/>
    </w:pPr>
    <w:rPr>
      <w:kern w:val="0"/>
      <w:sz w:val="18"/>
      <w:szCs w:val="20"/>
    </w:rPr>
  </w:style>
  <w:style w:type="paragraph" w:styleId="19">
    <w:name w:val="header"/>
    <w:basedOn w:val="1"/>
    <w:next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List"/>
    <w:basedOn w:val="1"/>
    <w:next w:val="14"/>
    <w:autoRedefine/>
    <w:qFormat/>
    <w:uiPriority w:val="99"/>
    <w:pPr>
      <w:widowControl/>
      <w:adjustRightInd w:val="0"/>
      <w:snapToGrid w:val="0"/>
      <w:spacing w:before="120" w:line="460" w:lineRule="atLeast"/>
      <w:ind w:left="420" w:hanging="420"/>
      <w:jc w:val="left"/>
    </w:pPr>
    <w:rPr>
      <w:rFonts w:ascii="宋体" w:cs="宋体"/>
      <w:b/>
      <w:bCs/>
      <w:kern w:val="0"/>
      <w:sz w:val="28"/>
      <w:szCs w:val="28"/>
      <w:lang w:eastAsia="en-US" w:bidi="en-US"/>
    </w:rPr>
  </w:style>
  <w:style w:type="paragraph" w:styleId="21">
    <w:name w:val="table of figures"/>
    <w:basedOn w:val="1"/>
    <w:next w:val="1"/>
    <w:qFormat/>
    <w:uiPriority w:val="0"/>
    <w:pPr>
      <w:ind w:left="200" w:leftChars="200" w:hanging="200" w:hangingChars="200"/>
    </w:pPr>
  </w:style>
  <w:style w:type="paragraph" w:styleId="22">
    <w:name w:val="toc 9"/>
    <w:basedOn w:val="1"/>
    <w:next w:val="1"/>
    <w:autoRedefine/>
    <w:qFormat/>
    <w:uiPriority w:val="0"/>
    <w:pPr>
      <w:widowControl/>
      <w:wordWrap w:val="0"/>
      <w:ind w:left="2975"/>
    </w:pPr>
    <w:rPr>
      <w:szCs w:val="22"/>
    </w:rPr>
  </w:style>
  <w:style w:type="paragraph" w:styleId="23">
    <w:name w:val="Body Text 2"/>
    <w:basedOn w:val="1"/>
    <w:autoRedefine/>
    <w:qFormat/>
    <w:uiPriority w:val="0"/>
    <w:rPr>
      <w:sz w:val="28"/>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2"/>
    <w:next w:val="12"/>
    <w:link w:val="59"/>
    <w:autoRedefine/>
    <w:qFormat/>
    <w:uiPriority w:val="0"/>
    <w:rPr>
      <w:b/>
      <w:bCs/>
    </w:rPr>
  </w:style>
  <w:style w:type="paragraph" w:styleId="26">
    <w:name w:val="Body Text First Indent"/>
    <w:basedOn w:val="14"/>
    <w:autoRedefine/>
    <w:unhideWhenUsed/>
    <w:qFormat/>
    <w:uiPriority w:val="99"/>
    <w:pPr>
      <w:widowControl w:val="0"/>
      <w:ind w:firstLine="420" w:firstLineChars="100"/>
    </w:pPr>
    <w:rPr>
      <w:kern w:val="2"/>
      <w:sz w:val="21"/>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0"/>
    <w:rPr>
      <w:b/>
    </w:rPr>
  </w:style>
  <w:style w:type="character" w:styleId="31">
    <w:name w:val="Emphasis"/>
    <w:basedOn w:val="29"/>
    <w:autoRedefine/>
    <w:qFormat/>
    <w:uiPriority w:val="0"/>
    <w:rPr>
      <w:i/>
    </w:rPr>
  </w:style>
  <w:style w:type="character" w:styleId="32">
    <w:name w:val="annotation reference"/>
    <w:basedOn w:val="29"/>
    <w:autoRedefine/>
    <w:semiHidden/>
    <w:qFormat/>
    <w:uiPriority w:val="0"/>
    <w:rPr>
      <w:sz w:val="21"/>
      <w:szCs w:val="21"/>
    </w:rPr>
  </w:style>
  <w:style w:type="paragraph" w:customStyle="1" w:styleId="33">
    <w:name w:val="Default"/>
    <w:basedOn w:val="34"/>
    <w:next w:val="9"/>
    <w:autoRedefine/>
    <w:qFormat/>
    <w:uiPriority w:val="0"/>
    <w:pPr>
      <w:autoSpaceDE w:val="0"/>
      <w:autoSpaceDN w:val="0"/>
    </w:pPr>
    <w:rPr>
      <w:rFonts w:ascii="Times New Roman" w:hAnsi="Times New Roman"/>
      <w:color w:val="000000"/>
      <w:sz w:val="24"/>
      <w:szCs w:val="24"/>
    </w:rPr>
  </w:style>
  <w:style w:type="paragraph" w:customStyle="1" w:styleId="34">
    <w:name w:val="纯文本1"/>
    <w:basedOn w:val="1"/>
    <w:autoRedefine/>
    <w:qFormat/>
    <w:uiPriority w:val="0"/>
    <w:pPr>
      <w:adjustRightInd w:val="0"/>
    </w:pPr>
    <w:rPr>
      <w:rFonts w:ascii="宋体" w:hAnsi="Courier New"/>
      <w:szCs w:val="20"/>
    </w:rPr>
  </w:style>
  <w:style w:type="paragraph" w:customStyle="1" w:styleId="35">
    <w:name w:val="Default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A-正文"/>
    <w:basedOn w:val="1"/>
    <w:autoRedefine/>
    <w:qFormat/>
    <w:uiPriority w:val="0"/>
    <w:pPr>
      <w:spacing w:line="560" w:lineRule="exact"/>
      <w:ind w:firstLine="560" w:firstLineChars="200"/>
    </w:pPr>
    <w:rPr>
      <w:rFonts w:eastAsia="仿宋_GB2312"/>
      <w:kern w:val="0"/>
      <w:sz w:val="24"/>
    </w:rPr>
  </w:style>
  <w:style w:type="paragraph" w:customStyle="1" w:styleId="37">
    <w:name w:val="表格内容"/>
    <w:basedOn w:val="38"/>
    <w:autoRedefine/>
    <w:qFormat/>
    <w:uiPriority w:val="0"/>
    <w:pPr>
      <w:spacing w:line="240" w:lineRule="atLeast"/>
    </w:pPr>
    <w:rPr>
      <w:rFonts w:eastAsia="宋体"/>
      <w:sz w:val="21"/>
    </w:rPr>
  </w:style>
  <w:style w:type="paragraph" w:customStyle="1" w:styleId="38">
    <w:name w:val="表格标题"/>
    <w:basedOn w:val="20"/>
    <w:next w:val="37"/>
    <w:autoRedefine/>
    <w:qFormat/>
    <w:uiPriority w:val="0"/>
    <w:pPr>
      <w:spacing w:before="0" w:line="360" w:lineRule="auto"/>
      <w:jc w:val="center"/>
    </w:pPr>
    <w:rPr>
      <w:rFonts w:ascii="Times New Roman" w:eastAsia="黑体"/>
      <w:sz w:val="24"/>
      <w:szCs w:val="20"/>
    </w:rPr>
  </w:style>
  <w:style w:type="paragraph" w:customStyle="1" w:styleId="39">
    <w:name w:val="正文 + 仿宋_GB2312"/>
    <w:basedOn w:val="1"/>
    <w:autoRedefine/>
    <w:qFormat/>
    <w:uiPriority w:val="99"/>
    <w:pPr>
      <w:ind w:firstLine="480" w:firstLineChars="200"/>
    </w:pPr>
    <w:rPr>
      <w:rFonts w:ascii="仿宋_GB2312" w:hAnsi="Calibri" w:eastAsia="仿宋_GB2312"/>
      <w:sz w:val="24"/>
    </w:rPr>
  </w:style>
  <w:style w:type="paragraph" w:customStyle="1" w:styleId="40">
    <w:name w:val="胡正文"/>
    <w:basedOn w:val="1"/>
    <w:autoRedefine/>
    <w:qFormat/>
    <w:uiPriority w:val="0"/>
    <w:pPr>
      <w:spacing w:line="360" w:lineRule="auto"/>
      <w:ind w:firstLine="200" w:firstLineChars="200"/>
      <w:jc w:val="left"/>
    </w:pPr>
    <w:rPr>
      <w:rFonts w:ascii="宋体" w:hAnsi="宋体"/>
      <w:sz w:val="24"/>
      <w:szCs w:val="28"/>
    </w:rPr>
  </w:style>
  <w:style w:type="paragraph" w:customStyle="1" w:styleId="41">
    <w:name w:val="图、表标题"/>
    <w:basedOn w:val="1"/>
    <w:autoRedefine/>
    <w:qFormat/>
    <w:uiPriority w:val="0"/>
    <w:pPr>
      <w:jc w:val="center"/>
    </w:pPr>
    <w:rPr>
      <w:b/>
    </w:rPr>
  </w:style>
  <w:style w:type="paragraph" w:customStyle="1" w:styleId="42">
    <w:name w:val="表格"/>
    <w:basedOn w:val="2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3">
    <w:name w:val="图、表内容"/>
    <w:basedOn w:val="1"/>
    <w:autoRedefine/>
    <w:qFormat/>
    <w:uiPriority w:val="0"/>
    <w:pPr>
      <w:jc w:val="center"/>
    </w:pPr>
  </w:style>
  <w:style w:type="character" w:customStyle="1" w:styleId="44">
    <w:name w:val="NormalCharacter"/>
    <w:link w:val="45"/>
    <w:autoRedefine/>
    <w:qFormat/>
    <w:uiPriority w:val="0"/>
    <w:rPr>
      <w:rFonts w:ascii="宋体" w:hAnsi="宋体" w:eastAsia="宋体"/>
      <w:kern w:val="2"/>
      <w:sz w:val="24"/>
      <w:szCs w:val="24"/>
      <w:lang w:val="en-US" w:eastAsia="zh-CN" w:bidi="ar-SA"/>
    </w:rPr>
  </w:style>
  <w:style w:type="paragraph" w:customStyle="1" w:styleId="45">
    <w:name w:val="UserStyle_12"/>
    <w:basedOn w:val="1"/>
    <w:link w:val="44"/>
    <w:autoRedefine/>
    <w:qFormat/>
    <w:uiPriority w:val="0"/>
    <w:pPr>
      <w:spacing w:after="50" w:line="360" w:lineRule="auto"/>
      <w:ind w:firstLine="200" w:firstLineChars="200"/>
      <w:textAlignment w:val="baseline"/>
    </w:pPr>
    <w:rPr>
      <w:rFonts w:ascii="宋体" w:hAnsi="宋体"/>
      <w:sz w:val="24"/>
    </w:rPr>
  </w:style>
  <w:style w:type="character" w:customStyle="1" w:styleId="46">
    <w:name w:val="fontstyle01"/>
    <w:basedOn w:val="29"/>
    <w:autoRedefine/>
    <w:qFormat/>
    <w:uiPriority w:val="0"/>
    <w:rPr>
      <w:rFonts w:hint="eastAsia" w:ascii="宋体" w:hAnsi="宋体" w:eastAsia="宋体"/>
      <w:color w:val="000000"/>
      <w:sz w:val="24"/>
      <w:szCs w:val="24"/>
    </w:rPr>
  </w:style>
  <w:style w:type="paragraph" w:customStyle="1" w:styleId="47">
    <w:name w:val="Table Paragraph"/>
    <w:basedOn w:val="1"/>
    <w:autoRedefine/>
    <w:qFormat/>
    <w:uiPriority w:val="1"/>
    <w:rPr>
      <w:rFonts w:ascii="宋体" w:hAnsi="宋体" w:cs="宋体"/>
      <w:lang w:val="zh-CN" w:bidi="zh-CN"/>
    </w:rPr>
  </w:style>
  <w:style w:type="paragraph" w:customStyle="1" w:styleId="48">
    <w:name w:val="Other|1"/>
    <w:basedOn w:val="1"/>
    <w:autoRedefine/>
    <w:qFormat/>
    <w:uiPriority w:val="0"/>
    <w:pPr>
      <w:jc w:val="center"/>
    </w:pPr>
    <w:rPr>
      <w:rFonts w:ascii="PMingLiU" w:hAnsi="PMingLiU" w:eastAsia="PMingLiU" w:cs="PMingLiU"/>
      <w:sz w:val="22"/>
      <w:szCs w:val="22"/>
    </w:rPr>
  </w:style>
  <w:style w:type="character" w:customStyle="1" w:styleId="49">
    <w:name w:val="fontstyle31"/>
    <w:basedOn w:val="29"/>
    <w:autoRedefine/>
    <w:qFormat/>
    <w:uiPriority w:val="0"/>
    <w:rPr>
      <w:rFonts w:ascii="Calibri" w:hAnsi="Calibri" w:cs="Calibri"/>
      <w:color w:val="000000"/>
      <w:sz w:val="24"/>
      <w:szCs w:val="24"/>
    </w:rPr>
  </w:style>
  <w:style w:type="paragraph" w:customStyle="1" w:styleId="50">
    <w:name w:val="报告表三级标题"/>
    <w:basedOn w:val="51"/>
    <w:next w:val="1"/>
    <w:autoRedefine/>
    <w:qFormat/>
    <w:uiPriority w:val="0"/>
    <w:pPr>
      <w:spacing w:before="0" w:after="0" w:line="360" w:lineRule="auto"/>
    </w:pPr>
    <w:rPr>
      <w:rFonts w:eastAsia="宋体"/>
      <w:b/>
      <w:sz w:val="28"/>
    </w:rPr>
  </w:style>
  <w:style w:type="paragraph" w:customStyle="1" w:styleId="51">
    <w:name w:val="报告表二级标题"/>
    <w:basedOn w:val="52"/>
    <w:next w:val="53"/>
    <w:autoRedefine/>
    <w:qFormat/>
    <w:uiPriority w:val="0"/>
    <w:pPr>
      <w:spacing w:before="156"/>
    </w:pPr>
    <w:rPr>
      <w:sz w:val="30"/>
    </w:rPr>
  </w:style>
  <w:style w:type="paragraph" w:customStyle="1" w:styleId="52">
    <w:name w:val="报告表一级标题"/>
    <w:basedOn w:val="1"/>
    <w:next w:val="53"/>
    <w:autoRedefine/>
    <w:qFormat/>
    <w:uiPriority w:val="0"/>
    <w:pPr>
      <w:spacing w:after="156"/>
      <w:jc w:val="left"/>
      <w:outlineLvl w:val="0"/>
    </w:pPr>
    <w:rPr>
      <w:rFonts w:eastAsia="黑体"/>
      <w:kern w:val="1"/>
      <w:sz w:val="32"/>
    </w:rPr>
  </w:style>
  <w:style w:type="paragraph" w:customStyle="1" w:styleId="53">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54">
    <w:name w:val="Char"/>
    <w:basedOn w:val="1"/>
    <w:autoRedefine/>
    <w:qFormat/>
    <w:uiPriority w:val="0"/>
    <w:rPr>
      <w:sz w:val="24"/>
    </w:rPr>
  </w:style>
  <w:style w:type="paragraph" w:customStyle="1" w:styleId="55">
    <w:name w:val="24磅正文"/>
    <w:basedOn w:val="1"/>
    <w:autoRedefine/>
    <w:qFormat/>
    <w:uiPriority w:val="0"/>
    <w:pPr>
      <w:spacing w:line="480" w:lineRule="exact"/>
      <w:ind w:firstLine="480" w:firstLineChars="200"/>
    </w:pPr>
  </w:style>
  <w:style w:type="paragraph" w:customStyle="1" w:styleId="56">
    <w:name w:val="表文字"/>
    <w:autoRedefine/>
    <w:qFormat/>
    <w:uiPriority w:val="0"/>
    <w:pPr>
      <w:adjustRightInd w:val="0"/>
      <w:snapToGrid w:val="0"/>
      <w:ind w:left="-50" w:leftChars="-50"/>
      <w:jc w:val="center"/>
    </w:pPr>
    <w:rPr>
      <w:rFonts w:ascii="Times New Roman" w:hAnsi="Times New Roman" w:eastAsia="宋体" w:cs="Times New Roman"/>
      <w:kern w:val="2"/>
      <w:sz w:val="21"/>
      <w:szCs w:val="24"/>
      <w:lang w:val="en-US" w:eastAsia="zh-CN" w:bidi="ar-SA"/>
    </w:rPr>
  </w:style>
  <w:style w:type="paragraph" w:customStyle="1" w:styleId="57">
    <w:name w:val="表格内文字"/>
    <w:basedOn w:val="1"/>
    <w:autoRedefine/>
    <w:qFormat/>
    <w:uiPriority w:val="0"/>
    <w:pPr>
      <w:tabs>
        <w:tab w:val="left" w:pos="0"/>
      </w:tabs>
      <w:adjustRightInd w:val="0"/>
      <w:snapToGrid w:val="0"/>
      <w:jc w:val="center"/>
    </w:pPr>
    <w:rPr>
      <w:kern w:val="0"/>
    </w:rPr>
  </w:style>
  <w:style w:type="character" w:customStyle="1" w:styleId="58">
    <w:name w:val="批注文字 字符"/>
    <w:basedOn w:val="29"/>
    <w:link w:val="12"/>
    <w:autoRedefine/>
    <w:qFormat/>
    <w:uiPriority w:val="0"/>
    <w:rPr>
      <w:kern w:val="2"/>
      <w:sz w:val="21"/>
      <w:szCs w:val="24"/>
    </w:rPr>
  </w:style>
  <w:style w:type="character" w:customStyle="1" w:styleId="59">
    <w:name w:val="批注主题 字符"/>
    <w:basedOn w:val="58"/>
    <w:link w:val="25"/>
    <w:autoRedefine/>
    <w:qFormat/>
    <w:uiPriority w:val="0"/>
    <w:rPr>
      <w:b/>
      <w:bCs/>
      <w:kern w:val="2"/>
      <w:sz w:val="21"/>
      <w:szCs w:val="24"/>
    </w:rPr>
  </w:style>
  <w:style w:type="paragraph" w:customStyle="1" w:styleId="60">
    <w:name w:val="Char1"/>
    <w:basedOn w:val="1"/>
    <w:autoRedefine/>
    <w:qFormat/>
    <w:uiPriority w:val="0"/>
    <w:rPr>
      <w:sz w:val="24"/>
    </w:rPr>
  </w:style>
  <w:style w:type="paragraph" w:customStyle="1" w:styleId="61">
    <w:name w:val="谏壁正文chen"/>
    <w:basedOn w:val="1"/>
    <w:autoRedefine/>
    <w:qFormat/>
    <w:uiPriority w:val="0"/>
    <w:pPr>
      <w:spacing w:line="360" w:lineRule="auto"/>
      <w:ind w:firstLine="200" w:firstLineChars="200"/>
    </w:pPr>
    <w:rPr>
      <w:sz w:val="24"/>
    </w:rPr>
  </w:style>
  <w:style w:type="paragraph" w:customStyle="1" w:styleId="62">
    <w:name w:val="BodyText1I2"/>
    <w:basedOn w:val="63"/>
    <w:next w:val="1"/>
    <w:autoRedefine/>
    <w:qFormat/>
    <w:uiPriority w:val="0"/>
    <w:pPr>
      <w:tabs>
        <w:tab w:val="left" w:pos="0"/>
      </w:tabs>
      <w:ind w:left="420" w:leftChars="200" w:firstLine="210" w:firstLineChars="200"/>
    </w:pPr>
    <w:rPr>
      <w:sz w:val="21"/>
    </w:rPr>
  </w:style>
  <w:style w:type="paragraph" w:customStyle="1" w:styleId="63">
    <w:name w:val="BodyTextIndent"/>
    <w:basedOn w:val="1"/>
    <w:next w:val="64"/>
    <w:autoRedefine/>
    <w:qFormat/>
    <w:uiPriority w:val="0"/>
    <w:pPr>
      <w:tabs>
        <w:tab w:val="left" w:pos="0"/>
      </w:tabs>
      <w:spacing w:line="360" w:lineRule="auto"/>
      <w:ind w:firstLine="570"/>
      <w:textAlignment w:val="baseline"/>
    </w:pPr>
    <w:rPr>
      <w:sz w:val="28"/>
      <w:szCs w:val="20"/>
    </w:rPr>
  </w:style>
  <w:style w:type="paragraph" w:customStyle="1" w:styleId="64">
    <w:name w:val="BodyTextIndent2"/>
    <w:basedOn w:val="1"/>
    <w:next w:val="62"/>
    <w:autoRedefine/>
    <w:qFormat/>
    <w:uiPriority w:val="0"/>
    <w:pPr>
      <w:spacing w:line="500" w:lineRule="exact"/>
      <w:ind w:firstLine="480"/>
      <w:textAlignment w:val="baseline"/>
    </w:pPr>
    <w:rPr>
      <w:rFonts w:eastAsia="楷体_GB2312"/>
      <w:sz w:val="28"/>
    </w:rPr>
  </w:style>
  <w:style w:type="paragraph" w:customStyle="1" w:styleId="65">
    <w:name w:val="Table Text"/>
    <w:basedOn w:val="1"/>
    <w:autoRedefine/>
    <w:semiHidden/>
    <w:qFormat/>
    <w:uiPriority w:val="0"/>
    <w:rPr>
      <w:rFonts w:ascii="宋体" w:hAnsi="宋体" w:cs="宋体"/>
      <w:sz w:val="20"/>
      <w:szCs w:val="20"/>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character" w:customStyle="1" w:styleId="67">
    <w:name w:val="批注框文本 字符"/>
    <w:basedOn w:val="29"/>
    <w:link w:val="17"/>
    <w:autoRedefine/>
    <w:qFormat/>
    <w:uiPriority w:val="0"/>
    <w:rPr>
      <w:kern w:val="2"/>
      <w:sz w:val="18"/>
      <w:szCs w:val="18"/>
    </w:rPr>
  </w:style>
  <w:style w:type="paragraph" w:customStyle="1" w:styleId="68">
    <w:name w:val="[1]正文"/>
    <w:basedOn w:val="1"/>
    <w:autoRedefine/>
    <w:qFormat/>
    <w:uiPriority w:val="0"/>
    <w:pPr>
      <w:autoSpaceDE w:val="0"/>
      <w:autoSpaceDN w:val="0"/>
      <w:spacing w:line="360" w:lineRule="auto"/>
      <w:ind w:firstLine="200" w:firstLineChars="200"/>
    </w:pPr>
    <w:rPr>
      <w:color w:val="000000"/>
      <w:kern w:val="0"/>
      <w:sz w:val="24"/>
      <w:szCs w:val="22"/>
      <w:lang w:val="zh-CN"/>
    </w:rPr>
  </w:style>
  <w:style w:type="paragraph" w:customStyle="1" w:styleId="69">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70">
    <w:name w:val="首行缩进"/>
    <w:basedOn w:val="1"/>
    <w:autoRedefine/>
    <w:qFormat/>
    <w:uiPriority w:val="0"/>
    <w:pPr>
      <w:widowControl/>
      <w:ind w:firstLine="480"/>
      <w:jc w:val="left"/>
    </w:pPr>
    <w:rPr>
      <w:rFonts w:ascii="Calibri" w:hAnsi="Calibri"/>
      <w:kern w:val="0"/>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16789</Words>
  <Characters>18387</Characters>
  <Lines>395</Lines>
  <Paragraphs>111</Paragraphs>
  <TotalTime>20</TotalTime>
  <ScaleCrop>false</ScaleCrop>
  <LinksUpToDate>false</LinksUpToDate>
  <CharactersWithSpaces>18625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2021-08-25T06:57:00Z</dcterms:created>
  <dc:creator>XJ.W</dc:creator>
  <cp:lastModifiedBy>段梦梦</cp:lastModifiedBy>
  <cp:lastPrinted>2025-07-01T07:32:00Z</cp:lastPrinted>
  <dcterms:modified xsi:type="dcterms:W3CDTF">2025-07-03T01:15:48Z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71C4957C11684224B32046A4A4DE639A_13</vt:lpwstr>
  </property>
  <property fmtid="{D5CDD505-2E9C-101B-9397-08002B2CF9AE}" pid="4" name="KSOTemplateDocerSaveRecord">
    <vt:lpwstr>eyJoZGlkIjoiYjk1MjlkOGJiYzlmYjcwMDNmOWU4YTZjMGRhODZiZmMiLCJ1c2VySWQiOiI0MjM3NjA2MjEifQ==</vt:lpwstr>
  </property>
</Properties>
</file>